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4"/>
        <w:ind w:left="1333" w:right="1746" w:firstLine="0"/>
        <w:jc w:val="center"/>
        <w:rPr>
          <w:color w:val="auto"/>
          <w:sz w:val="52"/>
          <w:highlight w:val="none"/>
        </w:rPr>
      </w:pPr>
      <w:bookmarkStart w:id="0" w:name="_Toc472585611"/>
      <w:bookmarkStart w:id="1" w:name="_Toc477190959"/>
      <w:bookmarkStart w:id="2" w:name="_Toc439236473"/>
      <w:r>
        <w:rPr>
          <w:rFonts w:hint="eastAsia"/>
          <w:color w:val="auto"/>
          <w:sz w:val="52"/>
          <w:highlight w:val="none"/>
          <w:lang w:eastAsia="zh-CN"/>
        </w:rPr>
        <w:t>肇源油田源35区块外扩开发钻井工程</w:t>
      </w:r>
      <w:r>
        <w:rPr>
          <w:rFonts w:hint="eastAsia"/>
          <w:color w:val="auto"/>
          <w:sz w:val="52"/>
          <w:highlight w:val="none"/>
        </w:rPr>
        <w:t>项目</w:t>
      </w:r>
      <w:r>
        <w:rPr>
          <w:color w:val="auto"/>
          <w:sz w:val="52"/>
          <w:highlight w:val="none"/>
        </w:rPr>
        <w:t>环境影响报告书</w:t>
      </w:r>
    </w:p>
    <w:p>
      <w:pPr>
        <w:spacing w:before="456"/>
        <w:ind w:left="1333" w:right="1749" w:firstLine="0"/>
        <w:jc w:val="center"/>
        <w:rPr>
          <w:color w:val="auto"/>
          <w:sz w:val="30"/>
          <w:highlight w:val="none"/>
        </w:rPr>
      </w:pPr>
      <w:r>
        <w:rPr>
          <w:color w:val="auto"/>
          <w:sz w:val="30"/>
          <w:highlight w:val="none"/>
        </w:rPr>
        <w:t>（）</w:t>
      </w:r>
    </w:p>
    <w:p>
      <w:pPr>
        <w:pStyle w:val="32"/>
        <w:rPr>
          <w:color w:val="auto"/>
          <w:sz w:val="30"/>
          <w:highlight w:val="none"/>
        </w:rPr>
      </w:pPr>
      <w:bookmarkStart w:id="1679" w:name="_GoBack"/>
      <w:bookmarkEnd w:id="1679"/>
    </w:p>
    <w:p>
      <w:pPr>
        <w:pStyle w:val="32"/>
        <w:rPr>
          <w:color w:val="auto"/>
          <w:sz w:val="30"/>
          <w:highlight w:val="none"/>
        </w:rPr>
      </w:pPr>
    </w:p>
    <w:p>
      <w:pPr>
        <w:pStyle w:val="32"/>
        <w:rPr>
          <w:color w:val="auto"/>
          <w:sz w:val="30"/>
          <w:highlight w:val="none"/>
        </w:rPr>
      </w:pPr>
    </w:p>
    <w:p>
      <w:pPr>
        <w:pStyle w:val="32"/>
        <w:rPr>
          <w:color w:val="auto"/>
          <w:sz w:val="30"/>
          <w:highlight w:val="none"/>
        </w:rPr>
      </w:pPr>
    </w:p>
    <w:p>
      <w:pPr>
        <w:pStyle w:val="32"/>
        <w:rPr>
          <w:color w:val="auto"/>
          <w:sz w:val="30"/>
          <w:highlight w:val="none"/>
        </w:rPr>
      </w:pPr>
    </w:p>
    <w:p>
      <w:pPr>
        <w:pStyle w:val="32"/>
        <w:rPr>
          <w:color w:val="auto"/>
          <w:sz w:val="30"/>
          <w:highlight w:val="none"/>
        </w:rPr>
      </w:pPr>
    </w:p>
    <w:p>
      <w:pPr>
        <w:pStyle w:val="32"/>
        <w:rPr>
          <w:color w:val="auto"/>
          <w:sz w:val="30"/>
          <w:highlight w:val="none"/>
        </w:rPr>
      </w:pPr>
    </w:p>
    <w:p>
      <w:pPr>
        <w:pStyle w:val="32"/>
        <w:rPr>
          <w:color w:val="auto"/>
          <w:sz w:val="30"/>
          <w:highlight w:val="none"/>
        </w:rPr>
      </w:pPr>
    </w:p>
    <w:p>
      <w:pPr>
        <w:pStyle w:val="32"/>
        <w:rPr>
          <w:color w:val="auto"/>
          <w:sz w:val="30"/>
          <w:highlight w:val="none"/>
        </w:rPr>
      </w:pPr>
    </w:p>
    <w:p>
      <w:pPr>
        <w:pStyle w:val="32"/>
        <w:rPr>
          <w:color w:val="auto"/>
          <w:sz w:val="30"/>
          <w:highlight w:val="none"/>
        </w:rPr>
      </w:pPr>
    </w:p>
    <w:p>
      <w:pPr>
        <w:keepNext w:val="0"/>
        <w:keepLines w:val="0"/>
        <w:pageBreakBefore w:val="0"/>
        <w:widowControl/>
        <w:tabs>
          <w:tab w:val="left" w:pos="3798"/>
        </w:tabs>
        <w:kinsoku/>
        <w:wordWrap/>
        <w:overflowPunct/>
        <w:topLinePunct w:val="0"/>
        <w:autoSpaceDE/>
        <w:autoSpaceDN/>
        <w:bidi w:val="0"/>
        <w:adjustRightInd/>
        <w:snapToGrid/>
        <w:spacing w:line="509" w:lineRule="auto"/>
        <w:ind w:right="0" w:firstLine="1500" w:firstLineChars="500"/>
        <w:jc w:val="both"/>
        <w:textAlignment w:val="auto"/>
        <w:rPr>
          <w:rFonts w:hint="eastAsia" w:eastAsia="宋体"/>
          <w:color w:val="auto"/>
          <w:sz w:val="30"/>
          <w:highlight w:val="none"/>
          <w:lang w:eastAsia="zh-CN"/>
        </w:rPr>
      </w:pPr>
      <w:r>
        <w:rPr>
          <w:color w:val="auto"/>
          <w:sz w:val="30"/>
          <w:highlight w:val="none"/>
        </w:rPr>
        <w:t>环评单位：</w:t>
      </w:r>
      <w:r>
        <w:rPr>
          <w:rFonts w:hint="eastAsia"/>
          <w:color w:val="auto"/>
          <w:sz w:val="30"/>
          <w:highlight w:val="none"/>
          <w:lang w:eastAsia="zh-CN"/>
        </w:rPr>
        <w:t>河北奇正环境科技有限公司</w:t>
      </w:r>
    </w:p>
    <w:p>
      <w:pPr>
        <w:keepNext w:val="0"/>
        <w:keepLines w:val="0"/>
        <w:pageBreakBefore w:val="0"/>
        <w:widowControl/>
        <w:tabs>
          <w:tab w:val="left" w:pos="3798"/>
        </w:tabs>
        <w:kinsoku/>
        <w:wordWrap/>
        <w:overflowPunct/>
        <w:topLinePunct w:val="0"/>
        <w:autoSpaceDE/>
        <w:autoSpaceDN/>
        <w:bidi w:val="0"/>
        <w:adjustRightInd/>
        <w:snapToGrid/>
        <w:spacing w:line="509" w:lineRule="auto"/>
        <w:ind w:right="0" w:firstLine="1500" w:firstLineChars="500"/>
        <w:jc w:val="both"/>
        <w:textAlignment w:val="auto"/>
        <w:rPr>
          <w:color w:val="auto"/>
          <w:sz w:val="30"/>
          <w:highlight w:val="none"/>
        </w:rPr>
      </w:pPr>
      <w:r>
        <w:rPr>
          <w:color w:val="auto"/>
          <w:sz w:val="30"/>
          <w:highlight w:val="none"/>
        </w:rPr>
        <w:t>建设单位：大庆油田有限责任公司第十采油</w:t>
      </w:r>
      <w:r>
        <w:rPr>
          <w:color w:val="auto"/>
          <w:spacing w:val="-18"/>
          <w:sz w:val="30"/>
          <w:highlight w:val="none"/>
        </w:rPr>
        <w:t>厂</w:t>
      </w:r>
    </w:p>
    <w:p>
      <w:pPr>
        <w:keepNext w:val="0"/>
        <w:keepLines w:val="0"/>
        <w:pageBreakBefore w:val="0"/>
        <w:widowControl/>
        <w:kinsoku/>
        <w:wordWrap/>
        <w:overflowPunct/>
        <w:topLinePunct w:val="0"/>
        <w:autoSpaceDE/>
        <w:autoSpaceDN/>
        <w:bidi w:val="0"/>
        <w:adjustRightInd/>
        <w:snapToGrid/>
        <w:ind w:left="0" w:right="0" w:firstLine="0"/>
        <w:jc w:val="center"/>
        <w:textAlignment w:val="auto"/>
        <w:rPr>
          <w:color w:val="auto"/>
          <w:sz w:val="30"/>
          <w:highlight w:val="none"/>
        </w:rPr>
      </w:pPr>
      <w:r>
        <w:rPr>
          <w:color w:val="auto"/>
          <w:sz w:val="30"/>
          <w:highlight w:val="none"/>
        </w:rPr>
        <w:t>202</w:t>
      </w:r>
      <w:r>
        <w:rPr>
          <w:rFonts w:hint="eastAsia"/>
          <w:color w:val="auto"/>
          <w:sz w:val="30"/>
          <w:highlight w:val="none"/>
          <w:lang w:val="en-US" w:eastAsia="zh-CN"/>
        </w:rPr>
        <w:t>2</w:t>
      </w:r>
      <w:r>
        <w:rPr>
          <w:color w:val="auto"/>
          <w:spacing w:val="-51"/>
          <w:sz w:val="30"/>
          <w:highlight w:val="none"/>
        </w:rPr>
        <w:t xml:space="preserve">年 </w:t>
      </w:r>
      <w:r>
        <w:rPr>
          <w:rFonts w:hint="eastAsia"/>
          <w:color w:val="auto"/>
          <w:spacing w:val="-51"/>
          <w:sz w:val="30"/>
          <w:highlight w:val="none"/>
          <w:lang w:val="en-US" w:eastAsia="zh-CN"/>
        </w:rPr>
        <w:t xml:space="preserve"> </w:t>
      </w:r>
      <w:r>
        <w:rPr>
          <w:rFonts w:hint="eastAsia"/>
          <w:color w:val="auto"/>
          <w:sz w:val="30"/>
          <w:highlight w:val="none"/>
          <w:lang w:val="en-US" w:eastAsia="zh-CN"/>
        </w:rPr>
        <w:t>3</w:t>
      </w:r>
      <w:r>
        <w:rPr>
          <w:color w:val="auto"/>
          <w:spacing w:val="-39"/>
          <w:sz w:val="30"/>
          <w:highlight w:val="none"/>
        </w:rPr>
        <w:t>月</w:t>
      </w:r>
    </w:p>
    <w:p>
      <w:pPr>
        <w:pStyle w:val="109"/>
        <w:widowControl w:val="0"/>
        <w:spacing w:line="240" w:lineRule="auto"/>
        <w:ind w:firstLine="0" w:firstLineChars="0"/>
        <w:jc w:val="center"/>
        <w:rPr>
          <w:rFonts w:ascii="Times New Roman" w:hAnsi="Times New Roman" w:eastAsiaTheme="minorEastAsia"/>
          <w:b/>
          <w:bCs w:val="0"/>
          <w:snapToGrid w:val="0"/>
          <w:color w:val="auto"/>
          <w:w w:val="99"/>
          <w:sz w:val="32"/>
          <w:szCs w:val="32"/>
          <w:highlight w:val="none"/>
        </w:rPr>
      </w:pPr>
    </w:p>
    <w:p>
      <w:pPr>
        <w:pStyle w:val="109"/>
        <w:widowControl w:val="0"/>
        <w:spacing w:line="240" w:lineRule="auto"/>
        <w:ind w:firstLine="0" w:firstLineChars="0"/>
        <w:jc w:val="center"/>
        <w:rPr>
          <w:rFonts w:ascii="Times New Roman" w:hAnsi="Times New Roman" w:eastAsiaTheme="minorEastAsia"/>
          <w:b/>
          <w:bCs w:val="0"/>
          <w:snapToGrid w:val="0"/>
          <w:color w:val="auto"/>
          <w:w w:val="99"/>
          <w:sz w:val="32"/>
          <w:szCs w:val="32"/>
          <w:highlight w:val="none"/>
        </w:rPr>
      </w:pPr>
    </w:p>
    <w:p>
      <w:pPr>
        <w:pStyle w:val="109"/>
        <w:widowControl w:val="0"/>
        <w:spacing w:line="240" w:lineRule="auto"/>
        <w:ind w:firstLine="0" w:firstLineChars="0"/>
        <w:jc w:val="center"/>
        <w:rPr>
          <w:rFonts w:hint="eastAsia" w:ascii="Times New Roman" w:hAnsi="Times New Roman" w:eastAsiaTheme="minorEastAsia"/>
          <w:b/>
          <w:bCs w:val="0"/>
          <w:snapToGrid w:val="0"/>
          <w:color w:val="auto"/>
          <w:w w:val="99"/>
          <w:sz w:val="32"/>
          <w:szCs w:val="32"/>
          <w:highlight w:val="none"/>
          <w:lang w:eastAsia="zh-CN"/>
        </w:rPr>
      </w:pPr>
    </w:p>
    <w:p>
      <w:pPr>
        <w:rPr>
          <w:rFonts w:hint="eastAsia" w:ascii="Times New Roman" w:hAnsi="Times New Roman" w:eastAsiaTheme="minorEastAsia"/>
          <w:b/>
          <w:bCs w:val="0"/>
          <w:snapToGrid w:val="0"/>
          <w:color w:val="auto"/>
          <w:w w:val="99"/>
          <w:sz w:val="32"/>
          <w:szCs w:val="32"/>
          <w:highlight w:val="none"/>
          <w:lang w:eastAsia="zh-CN"/>
        </w:rPr>
      </w:pPr>
    </w:p>
    <w:p>
      <w:pPr>
        <w:pStyle w:val="32"/>
        <w:rPr>
          <w:rFonts w:hint="eastAsia"/>
          <w:color w:val="auto"/>
          <w:highlight w:val="none"/>
          <w:lang w:eastAsia="zh-CN"/>
        </w:rPr>
      </w:pPr>
    </w:p>
    <w:p>
      <w:pPr>
        <w:pStyle w:val="109"/>
        <w:widowControl w:val="0"/>
        <w:spacing w:line="240" w:lineRule="auto"/>
        <w:ind w:firstLine="0" w:firstLineChars="0"/>
        <w:jc w:val="center"/>
        <w:rPr>
          <w:rFonts w:ascii="Times New Roman" w:hAnsi="Times New Roman" w:eastAsiaTheme="minorEastAsia"/>
          <w:b/>
          <w:bCs w:val="0"/>
          <w:snapToGrid w:val="0"/>
          <w:color w:val="auto"/>
          <w:w w:val="99"/>
          <w:sz w:val="32"/>
          <w:szCs w:val="32"/>
          <w:highlight w:val="none"/>
        </w:rPr>
      </w:pPr>
      <w:r>
        <w:rPr>
          <w:rFonts w:ascii="Times New Roman" w:hAnsi="Times New Roman" w:eastAsiaTheme="minorEastAsia"/>
          <w:b/>
          <w:bCs w:val="0"/>
          <w:snapToGrid w:val="0"/>
          <w:color w:val="auto"/>
          <w:w w:val="99"/>
          <w:sz w:val="32"/>
          <w:szCs w:val="32"/>
          <w:highlight w:val="none"/>
        </w:rPr>
        <w:t>目  录</w:t>
      </w:r>
    </w:p>
    <w:p>
      <w:pPr>
        <w:pStyle w:val="57"/>
        <w:tabs>
          <w:tab w:val="right" w:leader="dot" w:pos="9060"/>
        </w:tabs>
        <w:rPr>
          <w:rFonts w:ascii="Times New Roman" w:hAnsi="Times New Roman" w:eastAsiaTheme="minorEastAsia"/>
          <w:b w:val="0"/>
          <w:caps w:val="0"/>
          <w:color w:val="auto"/>
          <w:w w:val="99"/>
          <w:kern w:val="2"/>
          <w:sz w:val="24"/>
          <w:szCs w:val="24"/>
          <w:highlight w:val="none"/>
        </w:rPr>
      </w:pPr>
      <w:r>
        <w:rPr>
          <w:rFonts w:ascii="Times New Roman" w:hAnsi="Times New Roman" w:eastAsiaTheme="minorEastAsia"/>
          <w:b w:val="0"/>
          <w:color w:val="auto"/>
          <w:w w:val="99"/>
          <w:sz w:val="24"/>
          <w:szCs w:val="24"/>
          <w:highlight w:val="none"/>
        </w:rPr>
        <w:fldChar w:fldCharType="begin"/>
      </w:r>
      <w:r>
        <w:rPr>
          <w:rStyle w:val="96"/>
          <w:rFonts w:eastAsiaTheme="minorEastAsia"/>
          <w:b w:val="0"/>
          <w:color w:val="auto"/>
          <w:w w:val="99"/>
          <w:sz w:val="24"/>
          <w:szCs w:val="24"/>
          <w:highlight w:val="none"/>
        </w:rPr>
        <w:instrText xml:space="preserve"> TOC \o "1-3" \h \z \u </w:instrText>
      </w:r>
      <w:r>
        <w:rPr>
          <w:rFonts w:ascii="Times New Roman" w:hAnsi="Times New Roman" w:eastAsiaTheme="minorEastAsia"/>
          <w:b w:val="0"/>
          <w:color w:val="auto"/>
          <w:w w:val="99"/>
          <w:sz w:val="24"/>
          <w:szCs w:val="24"/>
          <w:highlight w:val="none"/>
        </w:rPr>
        <w:fldChar w:fldCharType="separate"/>
      </w:r>
      <w:r>
        <w:rPr>
          <w:color w:val="auto"/>
          <w:highlight w:val="none"/>
        </w:rPr>
        <w:fldChar w:fldCharType="begin"/>
      </w:r>
      <w:r>
        <w:rPr>
          <w:color w:val="auto"/>
          <w:highlight w:val="none"/>
        </w:rPr>
        <w:instrText xml:space="preserve"> HYPERLINK \l "_Toc80105088" </w:instrText>
      </w:r>
      <w:r>
        <w:rPr>
          <w:color w:val="auto"/>
          <w:highlight w:val="none"/>
        </w:rPr>
        <w:fldChar w:fldCharType="separate"/>
      </w:r>
      <w:r>
        <w:rPr>
          <w:rStyle w:val="96"/>
          <w:rFonts w:eastAsiaTheme="minorEastAsia"/>
          <w:b w:val="0"/>
          <w:snapToGrid w:val="0"/>
          <w:color w:val="auto"/>
          <w:w w:val="99"/>
          <w:sz w:val="24"/>
          <w:szCs w:val="24"/>
          <w:highlight w:val="none"/>
        </w:rPr>
        <w:t>1概述</w:t>
      </w:r>
      <w:r>
        <w:rPr>
          <w:rFonts w:ascii="Times New Roman" w:hAnsi="Times New Roman" w:eastAsiaTheme="minorEastAsia"/>
          <w:b w:val="0"/>
          <w:color w:val="auto"/>
          <w:w w:val="99"/>
          <w:sz w:val="24"/>
          <w:szCs w:val="24"/>
          <w:highlight w:val="none"/>
        </w:rPr>
        <w:tab/>
      </w:r>
      <w:r>
        <w:rPr>
          <w:rFonts w:ascii="Times New Roman" w:hAnsi="Times New Roman" w:eastAsiaTheme="minorEastAsia"/>
          <w:b w:val="0"/>
          <w:color w:val="auto"/>
          <w:w w:val="99"/>
          <w:sz w:val="24"/>
          <w:szCs w:val="24"/>
          <w:highlight w:val="none"/>
        </w:rPr>
        <w:fldChar w:fldCharType="begin"/>
      </w:r>
      <w:r>
        <w:rPr>
          <w:rFonts w:ascii="Times New Roman" w:hAnsi="Times New Roman" w:eastAsiaTheme="minorEastAsia"/>
          <w:b w:val="0"/>
          <w:color w:val="auto"/>
          <w:w w:val="99"/>
          <w:sz w:val="24"/>
          <w:szCs w:val="24"/>
          <w:highlight w:val="none"/>
        </w:rPr>
        <w:instrText xml:space="preserve"> PAGEREF _Toc80105088 \h </w:instrText>
      </w:r>
      <w:r>
        <w:rPr>
          <w:rFonts w:ascii="Times New Roman" w:hAnsi="Times New Roman" w:eastAsiaTheme="minorEastAsia"/>
          <w:b w:val="0"/>
          <w:color w:val="auto"/>
          <w:w w:val="99"/>
          <w:sz w:val="24"/>
          <w:szCs w:val="24"/>
          <w:highlight w:val="none"/>
        </w:rPr>
        <w:fldChar w:fldCharType="separate"/>
      </w:r>
      <w:r>
        <w:rPr>
          <w:rFonts w:ascii="Times New Roman" w:hAnsi="Times New Roman" w:eastAsiaTheme="minorEastAsia"/>
          <w:b w:val="0"/>
          <w:color w:val="auto"/>
          <w:w w:val="99"/>
          <w:sz w:val="24"/>
          <w:szCs w:val="24"/>
          <w:highlight w:val="none"/>
        </w:rPr>
        <w:t>1</w:t>
      </w:r>
      <w:r>
        <w:rPr>
          <w:rFonts w:ascii="Times New Roman" w:hAnsi="Times New Roman" w:eastAsiaTheme="minorEastAsia"/>
          <w:b w:val="0"/>
          <w:color w:val="auto"/>
          <w:w w:val="99"/>
          <w:sz w:val="24"/>
          <w:szCs w:val="24"/>
          <w:highlight w:val="none"/>
        </w:rPr>
        <w:fldChar w:fldCharType="end"/>
      </w:r>
      <w:r>
        <w:rPr>
          <w:rFonts w:ascii="Times New Roman" w:hAnsi="Times New Roman" w:eastAsiaTheme="minorEastAsia"/>
          <w:b w:val="0"/>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"_Toc80105089" </w:instrText>
      </w:r>
      <w:r>
        <w:rPr>
          <w:color w:val="auto"/>
          <w:highlight w:val="none"/>
        </w:rPr>
        <w:fldChar w:fldCharType="separate"/>
      </w:r>
      <w:r>
        <w:rPr>
          <w:rStyle w:val="96"/>
          <w:rFonts w:eastAsiaTheme="minorEastAsia"/>
          <w:snapToGrid w:val="0"/>
          <w:color w:val="auto"/>
          <w:w w:val="99"/>
          <w:sz w:val="24"/>
          <w:szCs w:val="24"/>
          <w:highlight w:val="none"/>
        </w:rPr>
        <w:t>1.1项目由来</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_Toc80105089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"_Toc80105090" </w:instrText>
      </w:r>
      <w:r>
        <w:rPr>
          <w:color w:val="auto"/>
          <w:highlight w:val="none"/>
        </w:rPr>
        <w:fldChar w:fldCharType="separate"/>
      </w:r>
      <w:r>
        <w:rPr>
          <w:rStyle w:val="96"/>
          <w:rFonts w:eastAsiaTheme="minorEastAsia"/>
          <w:snapToGrid w:val="0"/>
          <w:color w:val="auto"/>
          <w:w w:val="99"/>
          <w:sz w:val="24"/>
          <w:szCs w:val="24"/>
          <w:highlight w:val="none"/>
        </w:rPr>
        <w:t>1.2项目特点</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_Toc80105090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"_Toc80105094" </w:instrText>
      </w:r>
      <w:r>
        <w:rPr>
          <w:color w:val="auto"/>
          <w:highlight w:val="none"/>
        </w:rPr>
        <w:fldChar w:fldCharType="separate"/>
      </w:r>
      <w:r>
        <w:rPr>
          <w:rStyle w:val="96"/>
          <w:rFonts w:eastAsiaTheme="minorEastAsia"/>
          <w:snapToGrid w:val="0"/>
          <w:color w:val="auto"/>
          <w:w w:val="99"/>
          <w:sz w:val="24"/>
          <w:szCs w:val="24"/>
          <w:highlight w:val="none"/>
        </w:rPr>
        <w:t>1.3环境影响评价工作过程</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_Toc80105094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3</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"_Toc80105095" </w:instrText>
      </w:r>
      <w:r>
        <w:rPr>
          <w:color w:val="auto"/>
          <w:highlight w:val="none"/>
        </w:rPr>
        <w:fldChar w:fldCharType="separate"/>
      </w:r>
      <w:r>
        <w:rPr>
          <w:rStyle w:val="96"/>
          <w:rFonts w:eastAsiaTheme="minorEastAsia"/>
          <w:snapToGrid w:val="0"/>
          <w:color w:val="auto"/>
          <w:w w:val="99"/>
          <w:sz w:val="24"/>
          <w:szCs w:val="24"/>
          <w:highlight w:val="none"/>
        </w:rPr>
        <w:t>1.4分析判定相关情况</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_Toc80105095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6</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"_Toc80105101" </w:instrText>
      </w:r>
      <w:r>
        <w:rPr>
          <w:color w:val="auto"/>
          <w:highlight w:val="none"/>
        </w:rPr>
        <w:fldChar w:fldCharType="separate"/>
      </w:r>
      <w:r>
        <w:rPr>
          <w:rStyle w:val="96"/>
          <w:rFonts w:eastAsiaTheme="minorEastAsia"/>
          <w:snapToGrid w:val="0"/>
          <w:color w:val="auto"/>
          <w:w w:val="99"/>
          <w:sz w:val="24"/>
          <w:szCs w:val="24"/>
          <w:highlight w:val="none"/>
        </w:rPr>
        <w:t>1.5关注的主要环境问题及环境影响</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_Toc80105101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30</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"_Toc80105102" </w:instrText>
      </w:r>
      <w:r>
        <w:rPr>
          <w:color w:val="auto"/>
          <w:highlight w:val="none"/>
        </w:rPr>
        <w:fldChar w:fldCharType="separate"/>
      </w:r>
      <w:r>
        <w:rPr>
          <w:rStyle w:val="96"/>
          <w:rFonts w:eastAsiaTheme="minorEastAsia"/>
          <w:snapToGrid w:val="0"/>
          <w:color w:val="auto"/>
          <w:w w:val="99"/>
          <w:sz w:val="24"/>
          <w:szCs w:val="24"/>
          <w:highlight w:val="none"/>
        </w:rPr>
        <w:t>1.6环境影响评价主要结论</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_Toc80105102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33</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57"/>
        <w:tabs>
          <w:tab w:val="right" w:leader="dot" w:pos="9060"/>
        </w:tabs>
        <w:rPr>
          <w:rFonts w:ascii="Times New Roman" w:hAnsi="Times New Roman" w:eastAsiaTheme="minorEastAsia"/>
          <w:b w:val="0"/>
          <w:caps w:val="0"/>
          <w:color w:val="auto"/>
          <w:w w:val="99"/>
          <w:kern w:val="2"/>
          <w:sz w:val="24"/>
          <w:szCs w:val="24"/>
          <w:highlight w:val="none"/>
        </w:rPr>
      </w:pPr>
      <w:r>
        <w:rPr>
          <w:color w:val="auto"/>
          <w:highlight w:val="none"/>
        </w:rPr>
        <w:fldChar w:fldCharType="begin"/>
      </w:r>
      <w:r>
        <w:rPr>
          <w:color w:val="auto"/>
          <w:highlight w:val="none"/>
        </w:rPr>
        <w:instrText xml:space="preserve"> HYPERLINK \l "_Toc80105103" </w:instrText>
      </w:r>
      <w:r>
        <w:rPr>
          <w:color w:val="auto"/>
          <w:highlight w:val="none"/>
        </w:rPr>
        <w:fldChar w:fldCharType="separate"/>
      </w:r>
      <w:r>
        <w:rPr>
          <w:rStyle w:val="96"/>
          <w:rFonts w:eastAsiaTheme="minorEastAsia"/>
          <w:b w:val="0"/>
          <w:snapToGrid w:val="0"/>
          <w:color w:val="auto"/>
          <w:w w:val="99"/>
          <w:sz w:val="24"/>
          <w:szCs w:val="24"/>
          <w:highlight w:val="none"/>
        </w:rPr>
        <w:t>2总则</w:t>
      </w:r>
      <w:r>
        <w:rPr>
          <w:rFonts w:ascii="Times New Roman" w:hAnsi="Times New Roman" w:eastAsiaTheme="minorEastAsia"/>
          <w:b w:val="0"/>
          <w:color w:val="auto"/>
          <w:w w:val="99"/>
          <w:sz w:val="24"/>
          <w:szCs w:val="24"/>
          <w:highlight w:val="none"/>
        </w:rPr>
        <w:tab/>
      </w:r>
      <w:r>
        <w:rPr>
          <w:rFonts w:ascii="Times New Roman" w:hAnsi="Times New Roman" w:eastAsiaTheme="minorEastAsia"/>
          <w:b w:val="0"/>
          <w:color w:val="auto"/>
          <w:w w:val="99"/>
          <w:sz w:val="24"/>
          <w:szCs w:val="24"/>
          <w:highlight w:val="none"/>
        </w:rPr>
        <w:fldChar w:fldCharType="begin"/>
      </w:r>
      <w:r>
        <w:rPr>
          <w:rFonts w:ascii="Times New Roman" w:hAnsi="Times New Roman" w:eastAsiaTheme="minorEastAsia"/>
          <w:b w:val="0"/>
          <w:color w:val="auto"/>
          <w:w w:val="99"/>
          <w:sz w:val="24"/>
          <w:szCs w:val="24"/>
          <w:highlight w:val="none"/>
        </w:rPr>
        <w:instrText xml:space="preserve"> PAGEREF _Toc80105103 \h </w:instrText>
      </w:r>
      <w:r>
        <w:rPr>
          <w:rFonts w:ascii="Times New Roman" w:hAnsi="Times New Roman" w:eastAsiaTheme="minorEastAsia"/>
          <w:b w:val="0"/>
          <w:color w:val="auto"/>
          <w:w w:val="99"/>
          <w:sz w:val="24"/>
          <w:szCs w:val="24"/>
          <w:highlight w:val="none"/>
        </w:rPr>
        <w:fldChar w:fldCharType="separate"/>
      </w:r>
      <w:r>
        <w:rPr>
          <w:rFonts w:ascii="Times New Roman" w:hAnsi="Times New Roman" w:eastAsiaTheme="minorEastAsia"/>
          <w:b w:val="0"/>
          <w:color w:val="auto"/>
          <w:w w:val="99"/>
          <w:sz w:val="24"/>
          <w:szCs w:val="24"/>
          <w:highlight w:val="none"/>
        </w:rPr>
        <w:t>34</w:t>
      </w:r>
      <w:r>
        <w:rPr>
          <w:rFonts w:ascii="Times New Roman" w:hAnsi="Times New Roman" w:eastAsiaTheme="minorEastAsia"/>
          <w:b w:val="0"/>
          <w:color w:val="auto"/>
          <w:w w:val="99"/>
          <w:sz w:val="24"/>
          <w:szCs w:val="24"/>
          <w:highlight w:val="none"/>
        </w:rPr>
        <w:fldChar w:fldCharType="end"/>
      </w:r>
      <w:r>
        <w:rPr>
          <w:rFonts w:ascii="Times New Roman" w:hAnsi="Times New Roman" w:eastAsiaTheme="minorEastAsia"/>
          <w:b w:val="0"/>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"_Toc80105104" </w:instrText>
      </w:r>
      <w:r>
        <w:rPr>
          <w:color w:val="auto"/>
          <w:highlight w:val="none"/>
        </w:rPr>
        <w:fldChar w:fldCharType="separate"/>
      </w:r>
      <w:r>
        <w:rPr>
          <w:rStyle w:val="96"/>
          <w:rFonts w:eastAsiaTheme="minorEastAsia"/>
          <w:snapToGrid w:val="0"/>
          <w:color w:val="auto"/>
          <w:w w:val="99"/>
          <w:sz w:val="24"/>
          <w:szCs w:val="24"/>
          <w:highlight w:val="none"/>
        </w:rPr>
        <w:t>2.1评价目的</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_Toc80105104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34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"_Toc80105105" </w:instrText>
      </w:r>
      <w:r>
        <w:rPr>
          <w:color w:val="auto"/>
          <w:highlight w:val="none"/>
        </w:rPr>
        <w:fldChar w:fldCharType="separate"/>
      </w:r>
      <w:r>
        <w:rPr>
          <w:rStyle w:val="96"/>
          <w:rFonts w:eastAsiaTheme="minorEastAsia"/>
          <w:snapToGrid w:val="0"/>
          <w:color w:val="auto"/>
          <w:w w:val="99"/>
          <w:sz w:val="24"/>
          <w:szCs w:val="24"/>
          <w:highlight w:val="none"/>
        </w:rPr>
        <w:t>2.2评价原则</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_Toc80105105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34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"_Toc80105106" </w:instrText>
      </w:r>
      <w:r>
        <w:rPr>
          <w:color w:val="auto"/>
          <w:highlight w:val="none"/>
        </w:rPr>
        <w:fldChar w:fldCharType="separate"/>
      </w:r>
      <w:r>
        <w:rPr>
          <w:rStyle w:val="96"/>
          <w:rFonts w:eastAsiaTheme="minorEastAsia"/>
          <w:snapToGrid w:val="0"/>
          <w:color w:val="auto"/>
          <w:w w:val="99"/>
          <w:sz w:val="24"/>
          <w:szCs w:val="24"/>
          <w:highlight w:val="none"/>
        </w:rPr>
        <w:t>2.3编制依据</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_Toc80105106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35</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"_Toc80105112" </w:instrText>
      </w:r>
      <w:r>
        <w:rPr>
          <w:color w:val="auto"/>
          <w:highlight w:val="none"/>
        </w:rPr>
        <w:fldChar w:fldCharType="separate"/>
      </w:r>
      <w:r>
        <w:rPr>
          <w:rStyle w:val="96"/>
          <w:rFonts w:eastAsiaTheme="minorEastAsia"/>
          <w:snapToGrid w:val="0"/>
          <w:color w:val="auto"/>
          <w:w w:val="99"/>
          <w:sz w:val="24"/>
          <w:szCs w:val="24"/>
          <w:highlight w:val="none"/>
        </w:rPr>
        <w:t>2.4环境影响识别与评价因子筛选</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_Toc80105112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37</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"_Toc80105116" </w:instrText>
      </w:r>
      <w:r>
        <w:rPr>
          <w:color w:val="auto"/>
          <w:highlight w:val="none"/>
        </w:rPr>
        <w:fldChar w:fldCharType="separate"/>
      </w:r>
      <w:r>
        <w:rPr>
          <w:rStyle w:val="96"/>
          <w:rFonts w:eastAsiaTheme="minorEastAsia"/>
          <w:snapToGrid w:val="0"/>
          <w:color w:val="auto"/>
          <w:w w:val="99"/>
          <w:sz w:val="24"/>
          <w:szCs w:val="24"/>
          <w:highlight w:val="none"/>
        </w:rPr>
        <w:t>2.5评价标准</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_Toc80105116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39</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"_Toc80105119" </w:instrText>
      </w:r>
      <w:r>
        <w:rPr>
          <w:color w:val="auto"/>
          <w:highlight w:val="none"/>
        </w:rPr>
        <w:fldChar w:fldCharType="separate"/>
      </w:r>
      <w:r>
        <w:rPr>
          <w:rStyle w:val="96"/>
          <w:rFonts w:eastAsiaTheme="minorEastAsia"/>
          <w:snapToGrid w:val="0"/>
          <w:color w:val="auto"/>
          <w:w w:val="99"/>
          <w:sz w:val="24"/>
          <w:szCs w:val="24"/>
          <w:highlight w:val="none"/>
        </w:rPr>
        <w:t>2.6评价等级</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_Toc80105119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44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"_Toc80105127" </w:instrText>
      </w:r>
      <w:r>
        <w:rPr>
          <w:color w:val="auto"/>
          <w:highlight w:val="none"/>
        </w:rPr>
        <w:fldChar w:fldCharType="separate"/>
      </w:r>
      <w:r>
        <w:rPr>
          <w:rStyle w:val="96"/>
          <w:rFonts w:eastAsiaTheme="minorEastAsia"/>
          <w:snapToGrid w:val="0"/>
          <w:color w:val="auto"/>
          <w:w w:val="99"/>
          <w:sz w:val="24"/>
          <w:szCs w:val="24"/>
          <w:highlight w:val="none"/>
        </w:rPr>
        <w:t>2.7评价范围</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_Toc80105127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53</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"_Toc80105136" </w:instrText>
      </w:r>
      <w:r>
        <w:rPr>
          <w:color w:val="auto"/>
          <w:highlight w:val="none"/>
        </w:rPr>
        <w:fldChar w:fldCharType="separate"/>
      </w:r>
      <w:r>
        <w:rPr>
          <w:rStyle w:val="96"/>
          <w:rFonts w:eastAsiaTheme="minorEastAsia"/>
          <w:snapToGrid w:val="0"/>
          <w:color w:val="auto"/>
          <w:w w:val="99"/>
          <w:sz w:val="24"/>
          <w:szCs w:val="24"/>
          <w:highlight w:val="none"/>
        </w:rPr>
        <w:t>2.8环境保护目标</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_Toc80105136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55</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57"/>
        <w:tabs>
          <w:tab w:val="right" w:leader="dot" w:pos="9060"/>
        </w:tabs>
        <w:rPr>
          <w:rFonts w:ascii="Times New Roman" w:hAnsi="Times New Roman" w:eastAsiaTheme="minorEastAsia"/>
          <w:b w:val="0"/>
          <w:caps w:val="0"/>
          <w:color w:val="auto"/>
          <w:w w:val="99"/>
          <w:kern w:val="2"/>
          <w:sz w:val="24"/>
          <w:szCs w:val="24"/>
          <w:highlight w:val="none"/>
        </w:rPr>
      </w:pPr>
      <w:r>
        <w:rPr>
          <w:color w:val="auto"/>
          <w:highlight w:val="none"/>
        </w:rPr>
        <w:fldChar w:fldCharType="begin"/>
      </w:r>
      <w:r>
        <w:rPr>
          <w:color w:val="auto"/>
          <w:highlight w:val="none"/>
        </w:rPr>
        <w:instrText xml:space="preserve"> HYPERLINK \l "_Toc80105137" </w:instrText>
      </w:r>
      <w:r>
        <w:rPr>
          <w:color w:val="auto"/>
          <w:highlight w:val="none"/>
        </w:rPr>
        <w:fldChar w:fldCharType="separate"/>
      </w:r>
      <w:r>
        <w:rPr>
          <w:rStyle w:val="96"/>
          <w:rFonts w:eastAsiaTheme="minorEastAsia"/>
          <w:b w:val="0"/>
          <w:snapToGrid w:val="0"/>
          <w:color w:val="auto"/>
          <w:w w:val="99"/>
          <w:sz w:val="24"/>
          <w:szCs w:val="24"/>
          <w:highlight w:val="none"/>
        </w:rPr>
        <w:t>3建设项目工程分析</w:t>
      </w:r>
      <w:r>
        <w:rPr>
          <w:rFonts w:ascii="Times New Roman" w:hAnsi="Times New Roman" w:eastAsiaTheme="minorEastAsia"/>
          <w:b w:val="0"/>
          <w:color w:val="auto"/>
          <w:w w:val="99"/>
          <w:sz w:val="24"/>
          <w:szCs w:val="24"/>
          <w:highlight w:val="none"/>
        </w:rPr>
        <w:tab/>
      </w:r>
      <w:r>
        <w:rPr>
          <w:rFonts w:ascii="Times New Roman" w:hAnsi="Times New Roman" w:eastAsiaTheme="minorEastAsia"/>
          <w:b w:val="0"/>
          <w:color w:val="auto"/>
          <w:w w:val="99"/>
          <w:sz w:val="24"/>
          <w:szCs w:val="24"/>
          <w:highlight w:val="none"/>
        </w:rPr>
        <w:fldChar w:fldCharType="begin"/>
      </w:r>
      <w:r>
        <w:rPr>
          <w:rFonts w:ascii="Times New Roman" w:hAnsi="Times New Roman" w:eastAsiaTheme="minorEastAsia"/>
          <w:b w:val="0"/>
          <w:color w:val="auto"/>
          <w:w w:val="99"/>
          <w:sz w:val="24"/>
          <w:szCs w:val="24"/>
          <w:highlight w:val="none"/>
        </w:rPr>
        <w:instrText xml:space="preserve"> PAGEREF _Toc80105137 \h </w:instrText>
      </w:r>
      <w:r>
        <w:rPr>
          <w:rFonts w:ascii="Times New Roman" w:hAnsi="Times New Roman" w:eastAsiaTheme="minorEastAsia"/>
          <w:b w:val="0"/>
          <w:color w:val="auto"/>
          <w:w w:val="99"/>
          <w:sz w:val="24"/>
          <w:szCs w:val="24"/>
          <w:highlight w:val="none"/>
        </w:rPr>
        <w:fldChar w:fldCharType="separate"/>
      </w:r>
      <w:r>
        <w:rPr>
          <w:rFonts w:ascii="Times New Roman" w:hAnsi="Times New Roman" w:eastAsiaTheme="minorEastAsia"/>
          <w:b w:val="0"/>
          <w:color w:val="auto"/>
          <w:w w:val="99"/>
          <w:sz w:val="24"/>
          <w:szCs w:val="24"/>
          <w:highlight w:val="none"/>
        </w:rPr>
        <w:t>64</w:t>
      </w:r>
      <w:r>
        <w:rPr>
          <w:rFonts w:ascii="Times New Roman" w:hAnsi="Times New Roman" w:eastAsiaTheme="minorEastAsia"/>
          <w:b w:val="0"/>
          <w:color w:val="auto"/>
          <w:w w:val="99"/>
          <w:sz w:val="24"/>
          <w:szCs w:val="24"/>
          <w:highlight w:val="none"/>
        </w:rPr>
        <w:fldChar w:fldCharType="end"/>
      </w:r>
      <w:r>
        <w:rPr>
          <w:rFonts w:ascii="Times New Roman" w:hAnsi="Times New Roman" w:eastAsiaTheme="minorEastAsia"/>
          <w:b w:val="0"/>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"_Toc80105138" </w:instrText>
      </w:r>
      <w:r>
        <w:rPr>
          <w:color w:val="auto"/>
          <w:highlight w:val="none"/>
        </w:rPr>
        <w:fldChar w:fldCharType="separate"/>
      </w:r>
      <w:r>
        <w:rPr>
          <w:rStyle w:val="96"/>
          <w:rFonts w:eastAsiaTheme="minorEastAsia"/>
          <w:snapToGrid w:val="0"/>
          <w:color w:val="auto"/>
          <w:w w:val="99"/>
          <w:sz w:val="24"/>
          <w:szCs w:val="24"/>
          <w:highlight w:val="none"/>
        </w:rPr>
        <w:t>3.1项目概况</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_Toc80105138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64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"_Toc80105139" </w:instrText>
      </w:r>
      <w:r>
        <w:rPr>
          <w:color w:val="auto"/>
          <w:highlight w:val="none"/>
        </w:rPr>
        <w:fldChar w:fldCharType="separate"/>
      </w:r>
      <w:r>
        <w:rPr>
          <w:rStyle w:val="96"/>
          <w:rFonts w:eastAsiaTheme="minorEastAsia"/>
          <w:snapToGrid w:val="0"/>
          <w:color w:val="auto"/>
          <w:w w:val="99"/>
          <w:sz w:val="24"/>
          <w:szCs w:val="24"/>
          <w:highlight w:val="none"/>
        </w:rPr>
        <w:t>3.2工程组成</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_Toc80105139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64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"_Toc80105140" </w:instrText>
      </w:r>
      <w:r>
        <w:rPr>
          <w:color w:val="auto"/>
          <w:highlight w:val="none"/>
        </w:rPr>
        <w:fldChar w:fldCharType="separate"/>
      </w:r>
      <w:r>
        <w:rPr>
          <w:rStyle w:val="96"/>
          <w:rFonts w:eastAsiaTheme="minorEastAsia"/>
          <w:snapToGrid w:val="0"/>
          <w:color w:val="auto"/>
          <w:w w:val="99"/>
          <w:sz w:val="24"/>
          <w:szCs w:val="24"/>
          <w:highlight w:val="none"/>
        </w:rPr>
        <w:t>3.3工程方案</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_Toc80105140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67</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"_Toc80105148" </w:instrText>
      </w:r>
      <w:r>
        <w:rPr>
          <w:color w:val="auto"/>
          <w:highlight w:val="none"/>
        </w:rPr>
        <w:fldChar w:fldCharType="separate"/>
      </w:r>
      <w:r>
        <w:rPr>
          <w:rStyle w:val="96"/>
          <w:rFonts w:eastAsiaTheme="minorEastAsia"/>
          <w:snapToGrid w:val="0"/>
          <w:color w:val="auto"/>
          <w:w w:val="99"/>
          <w:sz w:val="24"/>
          <w:szCs w:val="24"/>
          <w:highlight w:val="none"/>
        </w:rPr>
        <w:t>3.4钻井进度</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_Toc80105148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94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"_Toc80105149" </w:instrText>
      </w:r>
      <w:r>
        <w:rPr>
          <w:color w:val="auto"/>
          <w:highlight w:val="none"/>
        </w:rPr>
        <w:fldChar w:fldCharType="separate"/>
      </w:r>
      <w:r>
        <w:rPr>
          <w:rStyle w:val="96"/>
          <w:rFonts w:eastAsiaTheme="minorEastAsia"/>
          <w:snapToGrid w:val="0"/>
          <w:color w:val="auto"/>
          <w:w w:val="99"/>
          <w:sz w:val="24"/>
          <w:szCs w:val="24"/>
          <w:highlight w:val="none"/>
        </w:rPr>
        <w:t>3.5工程占地及取弃土情况</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_Toc80105149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95</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"_Toc80105152" </w:instrText>
      </w:r>
      <w:r>
        <w:rPr>
          <w:color w:val="auto"/>
          <w:highlight w:val="none"/>
        </w:rPr>
        <w:fldChar w:fldCharType="separate"/>
      </w:r>
      <w:r>
        <w:rPr>
          <w:rStyle w:val="96"/>
          <w:rFonts w:eastAsiaTheme="minorEastAsia"/>
          <w:snapToGrid w:val="0"/>
          <w:color w:val="auto"/>
          <w:w w:val="99"/>
          <w:sz w:val="24"/>
          <w:szCs w:val="24"/>
          <w:highlight w:val="none"/>
        </w:rPr>
        <w:t>3.6总图布置及周边环境状况</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_Toc80105152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96</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"_Toc80105155" </w:instrText>
      </w:r>
      <w:r>
        <w:rPr>
          <w:color w:val="auto"/>
          <w:highlight w:val="none"/>
        </w:rPr>
        <w:fldChar w:fldCharType="separate"/>
      </w:r>
      <w:r>
        <w:rPr>
          <w:rStyle w:val="96"/>
          <w:rFonts w:eastAsiaTheme="minorEastAsia"/>
          <w:snapToGrid w:val="0"/>
          <w:color w:val="auto"/>
          <w:w w:val="99"/>
          <w:sz w:val="24"/>
          <w:szCs w:val="24"/>
          <w:highlight w:val="none"/>
        </w:rPr>
        <w:t>3.7公用工程</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_Toc80105155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98</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"_Toc80105159" </w:instrText>
      </w:r>
      <w:r>
        <w:rPr>
          <w:color w:val="auto"/>
          <w:highlight w:val="none"/>
        </w:rPr>
        <w:fldChar w:fldCharType="separate"/>
      </w:r>
      <w:r>
        <w:rPr>
          <w:rStyle w:val="96"/>
          <w:rFonts w:eastAsiaTheme="minorEastAsia"/>
          <w:snapToGrid w:val="0"/>
          <w:color w:val="auto"/>
          <w:w w:val="99"/>
          <w:sz w:val="24"/>
          <w:szCs w:val="24"/>
          <w:highlight w:val="none"/>
        </w:rPr>
        <w:t>3.8钻井物料消耗</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_Toc80105159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99</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"_Toc80105160" </w:instrText>
      </w:r>
      <w:r>
        <w:rPr>
          <w:color w:val="auto"/>
          <w:highlight w:val="none"/>
        </w:rPr>
        <w:fldChar w:fldCharType="separate"/>
      </w:r>
      <w:r>
        <w:rPr>
          <w:rStyle w:val="96"/>
          <w:rFonts w:eastAsiaTheme="minorEastAsia"/>
          <w:snapToGrid w:val="0"/>
          <w:color w:val="auto"/>
          <w:w w:val="99"/>
          <w:sz w:val="24"/>
          <w:szCs w:val="24"/>
          <w:highlight w:val="none"/>
        </w:rPr>
        <w:t>3.9现有区块开发情况回顾</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_Toc80105160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100</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"_Toc80105167" </w:instrText>
      </w:r>
      <w:r>
        <w:rPr>
          <w:color w:val="auto"/>
          <w:highlight w:val="none"/>
        </w:rPr>
        <w:fldChar w:fldCharType="separate"/>
      </w:r>
      <w:r>
        <w:rPr>
          <w:rStyle w:val="96"/>
          <w:rFonts w:eastAsiaTheme="minorEastAsia"/>
          <w:snapToGrid w:val="0"/>
          <w:color w:val="auto"/>
          <w:w w:val="99"/>
          <w:sz w:val="24"/>
          <w:szCs w:val="24"/>
          <w:highlight w:val="none"/>
        </w:rPr>
        <w:t>3.10钻井工艺及产污环节</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_Toc80105167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103</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"_Toc80105174" </w:instrText>
      </w:r>
      <w:r>
        <w:rPr>
          <w:color w:val="auto"/>
          <w:highlight w:val="none"/>
        </w:rPr>
        <w:fldChar w:fldCharType="separate"/>
      </w:r>
      <w:r>
        <w:rPr>
          <w:rStyle w:val="96"/>
          <w:rFonts w:eastAsiaTheme="minorEastAsia"/>
          <w:snapToGrid w:val="0"/>
          <w:color w:val="auto"/>
          <w:w w:val="99"/>
          <w:sz w:val="24"/>
          <w:szCs w:val="24"/>
          <w:highlight w:val="none"/>
        </w:rPr>
        <w:t>3.11污染源项分析</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_Toc80105174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106</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"_Toc80105180" </w:instrText>
      </w:r>
      <w:r>
        <w:rPr>
          <w:color w:val="auto"/>
          <w:highlight w:val="none"/>
        </w:rPr>
        <w:fldChar w:fldCharType="separate"/>
      </w:r>
      <w:r>
        <w:rPr>
          <w:rStyle w:val="96"/>
          <w:rFonts w:eastAsiaTheme="minorEastAsia"/>
          <w:snapToGrid w:val="0"/>
          <w:color w:val="auto"/>
          <w:w w:val="99"/>
          <w:sz w:val="24"/>
          <w:szCs w:val="24"/>
          <w:highlight w:val="none"/>
        </w:rPr>
        <w:t>3.12清洁生产分析</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_Toc80105180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114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57"/>
        <w:tabs>
          <w:tab w:val="right" w:leader="dot" w:pos="9060"/>
        </w:tabs>
        <w:rPr>
          <w:rFonts w:ascii="Times New Roman" w:hAnsi="Times New Roman" w:eastAsiaTheme="minorEastAsia"/>
          <w:b w:val="0"/>
          <w:caps w:val="0"/>
          <w:color w:val="auto"/>
          <w:w w:val="99"/>
          <w:kern w:val="2"/>
          <w:sz w:val="24"/>
          <w:szCs w:val="24"/>
          <w:highlight w:val="none"/>
        </w:rPr>
      </w:pPr>
      <w:r>
        <w:rPr>
          <w:color w:val="auto"/>
          <w:highlight w:val="none"/>
        </w:rPr>
        <w:fldChar w:fldCharType="begin"/>
      </w:r>
      <w:r>
        <w:rPr>
          <w:color w:val="auto"/>
          <w:highlight w:val="none"/>
        </w:rPr>
        <w:instrText xml:space="preserve"> HYPERLINK \l "_Toc80105186" </w:instrText>
      </w:r>
      <w:r>
        <w:rPr>
          <w:color w:val="auto"/>
          <w:highlight w:val="none"/>
        </w:rPr>
        <w:fldChar w:fldCharType="separate"/>
      </w:r>
      <w:r>
        <w:rPr>
          <w:rStyle w:val="96"/>
          <w:rFonts w:eastAsiaTheme="minorEastAsia"/>
          <w:b w:val="0"/>
          <w:snapToGrid w:val="0"/>
          <w:color w:val="auto"/>
          <w:w w:val="99"/>
          <w:sz w:val="24"/>
          <w:szCs w:val="24"/>
          <w:highlight w:val="none"/>
        </w:rPr>
        <w:t>4环境现状调查与评价</w:t>
      </w:r>
      <w:r>
        <w:rPr>
          <w:rFonts w:ascii="Times New Roman" w:hAnsi="Times New Roman" w:eastAsiaTheme="minorEastAsia"/>
          <w:b w:val="0"/>
          <w:color w:val="auto"/>
          <w:w w:val="99"/>
          <w:sz w:val="24"/>
          <w:szCs w:val="24"/>
          <w:highlight w:val="none"/>
        </w:rPr>
        <w:tab/>
      </w:r>
      <w:r>
        <w:rPr>
          <w:rFonts w:ascii="Times New Roman" w:hAnsi="Times New Roman" w:eastAsiaTheme="minorEastAsia"/>
          <w:b w:val="0"/>
          <w:color w:val="auto"/>
          <w:w w:val="99"/>
          <w:sz w:val="24"/>
          <w:szCs w:val="24"/>
          <w:highlight w:val="none"/>
        </w:rPr>
        <w:fldChar w:fldCharType="begin"/>
      </w:r>
      <w:r>
        <w:rPr>
          <w:rFonts w:ascii="Times New Roman" w:hAnsi="Times New Roman" w:eastAsiaTheme="minorEastAsia"/>
          <w:b w:val="0"/>
          <w:color w:val="auto"/>
          <w:w w:val="99"/>
          <w:sz w:val="24"/>
          <w:szCs w:val="24"/>
          <w:highlight w:val="none"/>
        </w:rPr>
        <w:instrText xml:space="preserve"> PAGEREF _Toc80105186 \h </w:instrText>
      </w:r>
      <w:r>
        <w:rPr>
          <w:rFonts w:ascii="Times New Roman" w:hAnsi="Times New Roman" w:eastAsiaTheme="minorEastAsia"/>
          <w:b w:val="0"/>
          <w:color w:val="auto"/>
          <w:w w:val="99"/>
          <w:sz w:val="24"/>
          <w:szCs w:val="24"/>
          <w:highlight w:val="none"/>
        </w:rPr>
        <w:fldChar w:fldCharType="separate"/>
      </w:r>
      <w:r>
        <w:rPr>
          <w:rFonts w:ascii="Times New Roman" w:hAnsi="Times New Roman" w:eastAsiaTheme="minorEastAsia"/>
          <w:b w:val="0"/>
          <w:color w:val="auto"/>
          <w:w w:val="99"/>
          <w:sz w:val="24"/>
          <w:szCs w:val="24"/>
          <w:highlight w:val="none"/>
        </w:rPr>
        <w:t>117</w:t>
      </w:r>
      <w:r>
        <w:rPr>
          <w:rFonts w:ascii="Times New Roman" w:hAnsi="Times New Roman" w:eastAsiaTheme="minorEastAsia"/>
          <w:b w:val="0"/>
          <w:color w:val="auto"/>
          <w:w w:val="99"/>
          <w:sz w:val="24"/>
          <w:szCs w:val="24"/>
          <w:highlight w:val="none"/>
        </w:rPr>
        <w:fldChar w:fldCharType="end"/>
      </w:r>
      <w:r>
        <w:rPr>
          <w:rFonts w:ascii="Times New Roman" w:hAnsi="Times New Roman" w:eastAsiaTheme="minorEastAsia"/>
          <w:b w:val="0"/>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"_Toc80105187" </w:instrText>
      </w:r>
      <w:r>
        <w:rPr>
          <w:color w:val="auto"/>
          <w:highlight w:val="none"/>
        </w:rPr>
        <w:fldChar w:fldCharType="separate"/>
      </w:r>
      <w:r>
        <w:rPr>
          <w:rStyle w:val="96"/>
          <w:rFonts w:eastAsiaTheme="minorEastAsia"/>
          <w:snapToGrid w:val="0"/>
          <w:color w:val="auto"/>
          <w:w w:val="99"/>
          <w:sz w:val="24"/>
          <w:szCs w:val="24"/>
          <w:highlight w:val="none"/>
        </w:rPr>
        <w:t>4.1自然环境状况</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_Toc80105187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117</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"_Toc80105197" </w:instrText>
      </w:r>
      <w:r>
        <w:rPr>
          <w:color w:val="auto"/>
          <w:highlight w:val="none"/>
        </w:rPr>
        <w:fldChar w:fldCharType="separate"/>
      </w:r>
      <w:r>
        <w:rPr>
          <w:rStyle w:val="96"/>
          <w:rFonts w:eastAsiaTheme="minorEastAsia"/>
          <w:snapToGrid w:val="0"/>
          <w:color w:val="auto"/>
          <w:w w:val="99"/>
          <w:sz w:val="24"/>
          <w:szCs w:val="24"/>
          <w:highlight w:val="none"/>
        </w:rPr>
        <w:t>4.2环境保护目标调查</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_Toc80105197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123</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"_Toc80105198" </w:instrText>
      </w:r>
      <w:r>
        <w:rPr>
          <w:color w:val="auto"/>
          <w:highlight w:val="none"/>
        </w:rPr>
        <w:fldChar w:fldCharType="separate"/>
      </w:r>
      <w:r>
        <w:rPr>
          <w:rStyle w:val="96"/>
          <w:rFonts w:eastAsiaTheme="minorEastAsia"/>
          <w:snapToGrid w:val="0"/>
          <w:color w:val="auto"/>
          <w:w w:val="99"/>
          <w:sz w:val="24"/>
          <w:szCs w:val="24"/>
          <w:highlight w:val="none"/>
        </w:rPr>
        <w:t>4.3环境质量现状调查与评价</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_Toc80105198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126</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"_Toc80105205" </w:instrText>
      </w:r>
      <w:r>
        <w:rPr>
          <w:color w:val="auto"/>
          <w:highlight w:val="none"/>
        </w:rPr>
        <w:fldChar w:fldCharType="separate"/>
      </w:r>
      <w:r>
        <w:rPr>
          <w:rStyle w:val="96"/>
          <w:rFonts w:eastAsiaTheme="minorEastAsia"/>
          <w:snapToGrid w:val="0"/>
          <w:color w:val="auto"/>
          <w:w w:val="99"/>
          <w:sz w:val="24"/>
          <w:szCs w:val="24"/>
          <w:highlight w:val="none"/>
        </w:rPr>
        <w:t>4.4区域环境污染源调查</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_Toc80105205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178</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57"/>
        <w:tabs>
          <w:tab w:val="right" w:leader="dot" w:pos="9060"/>
        </w:tabs>
        <w:rPr>
          <w:rFonts w:ascii="Times New Roman" w:hAnsi="Times New Roman" w:eastAsiaTheme="minorEastAsia"/>
          <w:b w:val="0"/>
          <w:caps w:val="0"/>
          <w:color w:val="auto"/>
          <w:w w:val="99"/>
          <w:kern w:val="2"/>
          <w:sz w:val="24"/>
          <w:szCs w:val="24"/>
          <w:highlight w:val="none"/>
        </w:rPr>
      </w:pPr>
      <w:r>
        <w:rPr>
          <w:color w:val="auto"/>
          <w:highlight w:val="none"/>
        </w:rPr>
        <w:fldChar w:fldCharType="begin"/>
      </w:r>
      <w:r>
        <w:rPr>
          <w:color w:val="auto"/>
          <w:highlight w:val="none"/>
        </w:rPr>
        <w:instrText xml:space="preserve"> HYPERLINK \l "_Toc80105211" </w:instrText>
      </w:r>
      <w:r>
        <w:rPr>
          <w:color w:val="auto"/>
          <w:highlight w:val="none"/>
        </w:rPr>
        <w:fldChar w:fldCharType="separate"/>
      </w:r>
      <w:r>
        <w:rPr>
          <w:rStyle w:val="96"/>
          <w:rFonts w:eastAsiaTheme="minorEastAsia"/>
          <w:b w:val="0"/>
          <w:snapToGrid w:val="0"/>
          <w:color w:val="auto"/>
          <w:w w:val="99"/>
          <w:sz w:val="24"/>
          <w:szCs w:val="24"/>
          <w:highlight w:val="none"/>
        </w:rPr>
        <w:t>5环境影响预测与评价</w:t>
      </w:r>
      <w:r>
        <w:rPr>
          <w:rFonts w:ascii="Times New Roman" w:hAnsi="Times New Roman" w:eastAsiaTheme="minorEastAsia"/>
          <w:b w:val="0"/>
          <w:color w:val="auto"/>
          <w:w w:val="99"/>
          <w:sz w:val="24"/>
          <w:szCs w:val="24"/>
          <w:highlight w:val="none"/>
        </w:rPr>
        <w:tab/>
      </w:r>
      <w:r>
        <w:rPr>
          <w:rFonts w:ascii="Times New Roman" w:hAnsi="Times New Roman" w:eastAsiaTheme="minorEastAsia"/>
          <w:b w:val="0"/>
          <w:color w:val="auto"/>
          <w:w w:val="99"/>
          <w:sz w:val="24"/>
          <w:szCs w:val="24"/>
          <w:highlight w:val="none"/>
        </w:rPr>
        <w:fldChar w:fldCharType="begin"/>
      </w:r>
      <w:r>
        <w:rPr>
          <w:rFonts w:ascii="Times New Roman" w:hAnsi="Times New Roman" w:eastAsiaTheme="minorEastAsia"/>
          <w:b w:val="0"/>
          <w:color w:val="auto"/>
          <w:w w:val="99"/>
          <w:sz w:val="24"/>
          <w:szCs w:val="24"/>
          <w:highlight w:val="none"/>
        </w:rPr>
        <w:instrText xml:space="preserve"> PAGEREF _Toc80105211 \h </w:instrText>
      </w:r>
      <w:r>
        <w:rPr>
          <w:rFonts w:ascii="Times New Roman" w:hAnsi="Times New Roman" w:eastAsiaTheme="minorEastAsia"/>
          <w:b w:val="0"/>
          <w:color w:val="auto"/>
          <w:w w:val="99"/>
          <w:sz w:val="24"/>
          <w:szCs w:val="24"/>
          <w:highlight w:val="none"/>
        </w:rPr>
        <w:fldChar w:fldCharType="separate"/>
      </w:r>
      <w:r>
        <w:rPr>
          <w:rFonts w:ascii="Times New Roman" w:hAnsi="Times New Roman" w:eastAsiaTheme="minorEastAsia"/>
          <w:b w:val="0"/>
          <w:color w:val="auto"/>
          <w:w w:val="99"/>
          <w:sz w:val="24"/>
          <w:szCs w:val="24"/>
          <w:highlight w:val="none"/>
        </w:rPr>
        <w:t>179</w:t>
      </w:r>
      <w:r>
        <w:rPr>
          <w:rFonts w:ascii="Times New Roman" w:hAnsi="Times New Roman" w:eastAsiaTheme="minorEastAsia"/>
          <w:b w:val="0"/>
          <w:color w:val="auto"/>
          <w:w w:val="99"/>
          <w:sz w:val="24"/>
          <w:szCs w:val="24"/>
          <w:highlight w:val="none"/>
        </w:rPr>
        <w:fldChar w:fldCharType="end"/>
      </w:r>
      <w:r>
        <w:rPr>
          <w:rFonts w:ascii="Times New Roman" w:hAnsi="Times New Roman" w:eastAsiaTheme="minorEastAsia"/>
          <w:b w:val="0"/>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"_Toc80105212" </w:instrText>
      </w:r>
      <w:r>
        <w:rPr>
          <w:color w:val="auto"/>
          <w:highlight w:val="none"/>
        </w:rPr>
        <w:fldChar w:fldCharType="separate"/>
      </w:r>
      <w:r>
        <w:rPr>
          <w:rStyle w:val="96"/>
          <w:rFonts w:eastAsiaTheme="minorEastAsia"/>
          <w:snapToGrid w:val="0"/>
          <w:color w:val="auto"/>
          <w:w w:val="99"/>
          <w:sz w:val="24"/>
          <w:szCs w:val="24"/>
          <w:highlight w:val="none"/>
        </w:rPr>
        <w:t>5.1大气环境影响预测分析</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_Toc80105212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180</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"_Toc80105219" </w:instrText>
      </w:r>
      <w:r>
        <w:rPr>
          <w:color w:val="auto"/>
          <w:highlight w:val="none"/>
        </w:rPr>
        <w:fldChar w:fldCharType="separate"/>
      </w:r>
      <w:r>
        <w:rPr>
          <w:rStyle w:val="96"/>
          <w:rFonts w:eastAsiaTheme="minorEastAsia"/>
          <w:snapToGrid w:val="0"/>
          <w:color w:val="auto"/>
          <w:w w:val="99"/>
          <w:sz w:val="24"/>
          <w:szCs w:val="24"/>
          <w:highlight w:val="none"/>
        </w:rPr>
        <w:t>5.2声环境影响预测分析</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_Toc80105219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183</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"_Toc80105220" </w:instrText>
      </w:r>
      <w:r>
        <w:rPr>
          <w:color w:val="auto"/>
          <w:highlight w:val="none"/>
        </w:rPr>
        <w:fldChar w:fldCharType="separate"/>
      </w:r>
      <w:r>
        <w:rPr>
          <w:rStyle w:val="96"/>
          <w:rFonts w:eastAsiaTheme="minorEastAsia"/>
          <w:snapToGrid w:val="0"/>
          <w:color w:val="auto"/>
          <w:w w:val="99"/>
          <w:sz w:val="24"/>
          <w:szCs w:val="24"/>
          <w:highlight w:val="none"/>
        </w:rPr>
        <w:t>5.3固体废物环境影响预测分析</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_Toc80105220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184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"_Toc80105224" </w:instrText>
      </w:r>
      <w:r>
        <w:rPr>
          <w:color w:val="auto"/>
          <w:highlight w:val="none"/>
        </w:rPr>
        <w:fldChar w:fldCharType="separate"/>
      </w:r>
      <w:r>
        <w:rPr>
          <w:rStyle w:val="96"/>
          <w:rFonts w:eastAsiaTheme="minorEastAsia"/>
          <w:snapToGrid w:val="0"/>
          <w:color w:val="auto"/>
          <w:w w:val="99"/>
          <w:sz w:val="24"/>
          <w:szCs w:val="24"/>
          <w:highlight w:val="none"/>
        </w:rPr>
        <w:t>5.4地表水环境影响预测分析</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_Toc80105224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186</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"_Toc80105228" </w:instrText>
      </w:r>
      <w:r>
        <w:rPr>
          <w:color w:val="auto"/>
          <w:highlight w:val="none"/>
        </w:rPr>
        <w:fldChar w:fldCharType="separate"/>
      </w:r>
      <w:r>
        <w:rPr>
          <w:rStyle w:val="96"/>
          <w:rFonts w:eastAsiaTheme="minorEastAsia"/>
          <w:snapToGrid w:val="0"/>
          <w:color w:val="auto"/>
          <w:w w:val="99"/>
          <w:sz w:val="24"/>
          <w:szCs w:val="24"/>
          <w:highlight w:val="none"/>
        </w:rPr>
        <w:t>5.5地下水环境影响预测分析</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_Toc80105228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188</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"_Toc80105232" </w:instrText>
      </w:r>
      <w:r>
        <w:rPr>
          <w:color w:val="auto"/>
          <w:highlight w:val="none"/>
        </w:rPr>
        <w:fldChar w:fldCharType="separate"/>
      </w:r>
      <w:r>
        <w:rPr>
          <w:rStyle w:val="96"/>
          <w:rFonts w:eastAsiaTheme="minorEastAsia"/>
          <w:snapToGrid w:val="0"/>
          <w:color w:val="auto"/>
          <w:w w:val="99"/>
          <w:sz w:val="24"/>
          <w:szCs w:val="24"/>
          <w:highlight w:val="none"/>
        </w:rPr>
        <w:t>5.6生态环境影响预测分析</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_Toc80105232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196</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"_Toc80105240" </w:instrText>
      </w:r>
      <w:r>
        <w:rPr>
          <w:color w:val="auto"/>
          <w:highlight w:val="none"/>
        </w:rPr>
        <w:fldChar w:fldCharType="separate"/>
      </w:r>
      <w:r>
        <w:rPr>
          <w:rStyle w:val="96"/>
          <w:rFonts w:eastAsiaTheme="minorEastAsia"/>
          <w:snapToGrid w:val="0"/>
          <w:color w:val="auto"/>
          <w:w w:val="99"/>
          <w:sz w:val="24"/>
          <w:szCs w:val="24"/>
          <w:highlight w:val="none"/>
        </w:rPr>
        <w:t>5.7土壤环境影响预测分析</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_Toc80105240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202</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"_Toc80105244" </w:instrText>
      </w:r>
      <w:r>
        <w:rPr>
          <w:color w:val="auto"/>
          <w:highlight w:val="none"/>
        </w:rPr>
        <w:fldChar w:fldCharType="separate"/>
      </w:r>
      <w:r>
        <w:rPr>
          <w:rStyle w:val="96"/>
          <w:rFonts w:eastAsiaTheme="minorEastAsia"/>
          <w:snapToGrid w:val="0"/>
          <w:color w:val="auto"/>
          <w:w w:val="99"/>
          <w:sz w:val="24"/>
          <w:szCs w:val="24"/>
          <w:highlight w:val="none"/>
        </w:rPr>
        <w:t>5.8环境风险分析</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_Toc80105244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204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57"/>
        <w:tabs>
          <w:tab w:val="right" w:leader="dot" w:pos="9060"/>
        </w:tabs>
        <w:rPr>
          <w:rFonts w:ascii="Times New Roman" w:hAnsi="Times New Roman" w:eastAsiaTheme="minorEastAsia"/>
          <w:b w:val="0"/>
          <w:caps w:val="0"/>
          <w:color w:val="auto"/>
          <w:w w:val="99"/>
          <w:kern w:val="2"/>
          <w:sz w:val="24"/>
          <w:szCs w:val="24"/>
          <w:highlight w:val="none"/>
        </w:rPr>
      </w:pPr>
      <w:r>
        <w:rPr>
          <w:color w:val="auto"/>
          <w:highlight w:val="none"/>
        </w:rPr>
        <w:fldChar w:fldCharType="begin"/>
      </w:r>
      <w:r>
        <w:rPr>
          <w:color w:val="auto"/>
          <w:highlight w:val="none"/>
        </w:rPr>
        <w:instrText xml:space="preserve"> HYPERLINK \l "_Toc80105248" </w:instrText>
      </w:r>
      <w:r>
        <w:rPr>
          <w:color w:val="auto"/>
          <w:highlight w:val="none"/>
        </w:rPr>
        <w:fldChar w:fldCharType="separate"/>
      </w:r>
      <w:r>
        <w:rPr>
          <w:rStyle w:val="96"/>
          <w:rFonts w:eastAsiaTheme="minorEastAsia"/>
          <w:b w:val="0"/>
          <w:snapToGrid w:val="0"/>
          <w:color w:val="auto"/>
          <w:w w:val="99"/>
          <w:sz w:val="24"/>
          <w:szCs w:val="24"/>
          <w:highlight w:val="none"/>
        </w:rPr>
        <w:t>6环境保护措施及其可行性论证</w:t>
      </w:r>
      <w:r>
        <w:rPr>
          <w:rFonts w:ascii="Times New Roman" w:hAnsi="Times New Roman" w:eastAsiaTheme="minorEastAsia"/>
          <w:b w:val="0"/>
          <w:color w:val="auto"/>
          <w:w w:val="99"/>
          <w:sz w:val="24"/>
          <w:szCs w:val="24"/>
          <w:highlight w:val="none"/>
        </w:rPr>
        <w:tab/>
      </w:r>
      <w:r>
        <w:rPr>
          <w:rFonts w:ascii="Times New Roman" w:hAnsi="Times New Roman" w:eastAsiaTheme="minorEastAsia"/>
          <w:b w:val="0"/>
          <w:color w:val="auto"/>
          <w:w w:val="99"/>
          <w:sz w:val="24"/>
          <w:szCs w:val="24"/>
          <w:highlight w:val="none"/>
        </w:rPr>
        <w:fldChar w:fldCharType="begin"/>
      </w:r>
      <w:r>
        <w:rPr>
          <w:rFonts w:ascii="Times New Roman" w:hAnsi="Times New Roman" w:eastAsiaTheme="minorEastAsia"/>
          <w:b w:val="0"/>
          <w:color w:val="auto"/>
          <w:w w:val="99"/>
          <w:sz w:val="24"/>
          <w:szCs w:val="24"/>
          <w:highlight w:val="none"/>
        </w:rPr>
        <w:instrText xml:space="preserve"> PAGEREF _Toc80105248 \h </w:instrText>
      </w:r>
      <w:r>
        <w:rPr>
          <w:rFonts w:ascii="Times New Roman" w:hAnsi="Times New Roman" w:eastAsiaTheme="minorEastAsia"/>
          <w:b w:val="0"/>
          <w:color w:val="auto"/>
          <w:w w:val="99"/>
          <w:sz w:val="24"/>
          <w:szCs w:val="24"/>
          <w:highlight w:val="none"/>
        </w:rPr>
        <w:fldChar w:fldCharType="separate"/>
      </w:r>
      <w:r>
        <w:rPr>
          <w:rFonts w:ascii="Times New Roman" w:hAnsi="Times New Roman" w:eastAsiaTheme="minorEastAsia"/>
          <w:b w:val="0"/>
          <w:color w:val="auto"/>
          <w:w w:val="99"/>
          <w:sz w:val="24"/>
          <w:szCs w:val="24"/>
          <w:highlight w:val="none"/>
        </w:rPr>
        <w:t>214</w:t>
      </w:r>
      <w:r>
        <w:rPr>
          <w:rFonts w:ascii="Times New Roman" w:hAnsi="Times New Roman" w:eastAsiaTheme="minorEastAsia"/>
          <w:b w:val="0"/>
          <w:color w:val="auto"/>
          <w:w w:val="99"/>
          <w:sz w:val="24"/>
          <w:szCs w:val="24"/>
          <w:highlight w:val="none"/>
        </w:rPr>
        <w:fldChar w:fldCharType="end"/>
      </w:r>
      <w:r>
        <w:rPr>
          <w:rFonts w:ascii="Times New Roman" w:hAnsi="Times New Roman" w:eastAsiaTheme="minorEastAsia"/>
          <w:b w:val="0"/>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"_Toc80105249" </w:instrText>
      </w:r>
      <w:r>
        <w:rPr>
          <w:color w:val="auto"/>
          <w:highlight w:val="none"/>
        </w:rPr>
        <w:fldChar w:fldCharType="separate"/>
      </w:r>
      <w:r>
        <w:rPr>
          <w:rStyle w:val="96"/>
          <w:rFonts w:eastAsiaTheme="minorEastAsia"/>
          <w:snapToGrid w:val="0"/>
          <w:color w:val="auto"/>
          <w:w w:val="99"/>
          <w:sz w:val="24"/>
          <w:szCs w:val="24"/>
          <w:highlight w:val="none"/>
        </w:rPr>
        <w:t>6.1大气污染防治措施</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_Toc80105249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214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"_Toc80105252" </w:instrText>
      </w:r>
      <w:r>
        <w:rPr>
          <w:color w:val="auto"/>
          <w:highlight w:val="none"/>
        </w:rPr>
        <w:fldChar w:fldCharType="separate"/>
      </w:r>
      <w:r>
        <w:rPr>
          <w:rStyle w:val="96"/>
          <w:rFonts w:eastAsiaTheme="minorEastAsia"/>
          <w:snapToGrid w:val="0"/>
          <w:color w:val="auto"/>
          <w:w w:val="99"/>
          <w:sz w:val="24"/>
          <w:szCs w:val="24"/>
          <w:highlight w:val="none"/>
        </w:rPr>
        <w:t>6.2废水污染防治措施</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_Toc80105252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214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"_Toc80105255" </w:instrText>
      </w:r>
      <w:r>
        <w:rPr>
          <w:color w:val="auto"/>
          <w:highlight w:val="none"/>
        </w:rPr>
        <w:fldChar w:fldCharType="separate"/>
      </w:r>
      <w:r>
        <w:rPr>
          <w:rStyle w:val="96"/>
          <w:rFonts w:eastAsiaTheme="minorEastAsia"/>
          <w:snapToGrid w:val="0"/>
          <w:color w:val="auto"/>
          <w:w w:val="99"/>
          <w:sz w:val="24"/>
          <w:szCs w:val="24"/>
          <w:highlight w:val="none"/>
        </w:rPr>
        <w:t>6.3地下水污染防治措施</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_Toc80105255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214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"_Toc80105256" </w:instrText>
      </w:r>
      <w:r>
        <w:rPr>
          <w:color w:val="auto"/>
          <w:highlight w:val="none"/>
        </w:rPr>
        <w:fldChar w:fldCharType="separate"/>
      </w:r>
      <w:r>
        <w:rPr>
          <w:rStyle w:val="96"/>
          <w:rFonts w:eastAsiaTheme="minorEastAsia"/>
          <w:snapToGrid w:val="0"/>
          <w:color w:val="auto"/>
          <w:w w:val="99"/>
          <w:sz w:val="24"/>
          <w:szCs w:val="24"/>
          <w:highlight w:val="none"/>
        </w:rPr>
        <w:t>6.4噪声污染防治措施</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_Toc80105256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217</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"_Toc80105257" </w:instrText>
      </w:r>
      <w:r>
        <w:rPr>
          <w:color w:val="auto"/>
          <w:highlight w:val="none"/>
        </w:rPr>
        <w:fldChar w:fldCharType="separate"/>
      </w:r>
      <w:r>
        <w:rPr>
          <w:rStyle w:val="96"/>
          <w:rFonts w:eastAsiaTheme="minorEastAsia"/>
          <w:snapToGrid w:val="0"/>
          <w:color w:val="auto"/>
          <w:w w:val="99"/>
          <w:sz w:val="24"/>
          <w:szCs w:val="24"/>
          <w:highlight w:val="none"/>
        </w:rPr>
        <w:t>6.5固体废物污染防治措施</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_Toc80105257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218</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"_Toc80105261" </w:instrText>
      </w:r>
      <w:r>
        <w:rPr>
          <w:color w:val="auto"/>
          <w:highlight w:val="none"/>
        </w:rPr>
        <w:fldChar w:fldCharType="separate"/>
      </w:r>
      <w:r>
        <w:rPr>
          <w:rStyle w:val="96"/>
          <w:rFonts w:eastAsiaTheme="minorEastAsia"/>
          <w:snapToGrid w:val="0"/>
          <w:color w:val="auto"/>
          <w:w w:val="99"/>
          <w:sz w:val="24"/>
          <w:szCs w:val="24"/>
          <w:highlight w:val="none"/>
        </w:rPr>
        <w:t>6.6生态保护减缓措施</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_Toc80105261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219</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"_Toc80105266" </w:instrText>
      </w:r>
      <w:r>
        <w:rPr>
          <w:color w:val="auto"/>
          <w:highlight w:val="none"/>
        </w:rPr>
        <w:fldChar w:fldCharType="separate"/>
      </w:r>
      <w:r>
        <w:rPr>
          <w:rStyle w:val="96"/>
          <w:rFonts w:eastAsiaTheme="minorEastAsia"/>
          <w:snapToGrid w:val="0"/>
          <w:color w:val="auto"/>
          <w:w w:val="99"/>
          <w:sz w:val="24"/>
          <w:szCs w:val="24"/>
          <w:highlight w:val="none"/>
        </w:rPr>
        <w:t>6.7土壤污染防治措施</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_Toc80105266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222</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"_Toc80105270" </w:instrText>
      </w:r>
      <w:r>
        <w:rPr>
          <w:color w:val="auto"/>
          <w:highlight w:val="none"/>
        </w:rPr>
        <w:fldChar w:fldCharType="separate"/>
      </w:r>
      <w:r>
        <w:rPr>
          <w:rStyle w:val="96"/>
          <w:rFonts w:eastAsiaTheme="minorEastAsia"/>
          <w:snapToGrid w:val="0"/>
          <w:color w:val="auto"/>
          <w:w w:val="99"/>
          <w:sz w:val="24"/>
          <w:szCs w:val="24"/>
          <w:highlight w:val="none"/>
        </w:rPr>
        <w:t>6.8.环境风险防范措施</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_Toc80105270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224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"_Toc80105278" </w:instrText>
      </w:r>
      <w:r>
        <w:rPr>
          <w:color w:val="auto"/>
          <w:highlight w:val="none"/>
        </w:rPr>
        <w:fldChar w:fldCharType="separate"/>
      </w:r>
      <w:r>
        <w:rPr>
          <w:rStyle w:val="96"/>
          <w:rFonts w:eastAsiaTheme="minorEastAsia"/>
          <w:snapToGrid w:val="0"/>
          <w:color w:val="auto"/>
          <w:w w:val="99"/>
          <w:sz w:val="24"/>
          <w:szCs w:val="24"/>
          <w:highlight w:val="none"/>
        </w:rPr>
        <w:t>6.9“三同时”环保验收一览表</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_Toc80105278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230</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57"/>
        <w:tabs>
          <w:tab w:val="right" w:leader="dot" w:pos="9060"/>
        </w:tabs>
        <w:rPr>
          <w:rFonts w:ascii="Times New Roman" w:hAnsi="Times New Roman" w:eastAsiaTheme="minorEastAsia"/>
          <w:b w:val="0"/>
          <w:caps w:val="0"/>
          <w:color w:val="auto"/>
          <w:w w:val="99"/>
          <w:kern w:val="2"/>
          <w:sz w:val="24"/>
          <w:szCs w:val="24"/>
          <w:highlight w:val="none"/>
        </w:rPr>
      </w:pPr>
      <w:r>
        <w:rPr>
          <w:color w:val="auto"/>
          <w:highlight w:val="none"/>
        </w:rPr>
        <w:fldChar w:fldCharType="begin"/>
      </w:r>
      <w:r>
        <w:rPr>
          <w:color w:val="auto"/>
          <w:highlight w:val="none"/>
        </w:rPr>
        <w:instrText xml:space="preserve"> HYPERLINK \l "_Toc80105279" </w:instrText>
      </w:r>
      <w:r>
        <w:rPr>
          <w:color w:val="auto"/>
          <w:highlight w:val="none"/>
        </w:rPr>
        <w:fldChar w:fldCharType="separate"/>
      </w:r>
      <w:r>
        <w:rPr>
          <w:rStyle w:val="96"/>
          <w:rFonts w:eastAsiaTheme="minorEastAsia"/>
          <w:b w:val="0"/>
          <w:snapToGrid w:val="0"/>
          <w:color w:val="auto"/>
          <w:w w:val="99"/>
          <w:sz w:val="24"/>
          <w:szCs w:val="24"/>
          <w:highlight w:val="none"/>
        </w:rPr>
        <w:t>7环境影响经济损益分析</w:t>
      </w:r>
      <w:r>
        <w:rPr>
          <w:rFonts w:ascii="Times New Roman" w:hAnsi="Times New Roman" w:eastAsiaTheme="minorEastAsia"/>
          <w:b w:val="0"/>
          <w:color w:val="auto"/>
          <w:w w:val="99"/>
          <w:sz w:val="24"/>
          <w:szCs w:val="24"/>
          <w:highlight w:val="none"/>
        </w:rPr>
        <w:tab/>
      </w:r>
      <w:r>
        <w:rPr>
          <w:rFonts w:ascii="Times New Roman" w:hAnsi="Times New Roman" w:eastAsiaTheme="minorEastAsia"/>
          <w:b w:val="0"/>
          <w:color w:val="auto"/>
          <w:w w:val="99"/>
          <w:sz w:val="24"/>
          <w:szCs w:val="24"/>
          <w:highlight w:val="none"/>
        </w:rPr>
        <w:fldChar w:fldCharType="begin"/>
      </w:r>
      <w:r>
        <w:rPr>
          <w:rFonts w:ascii="Times New Roman" w:hAnsi="Times New Roman" w:eastAsiaTheme="minorEastAsia"/>
          <w:b w:val="0"/>
          <w:color w:val="auto"/>
          <w:w w:val="99"/>
          <w:sz w:val="24"/>
          <w:szCs w:val="24"/>
          <w:highlight w:val="none"/>
        </w:rPr>
        <w:instrText xml:space="preserve"> PAGEREF _Toc80105279 \h </w:instrText>
      </w:r>
      <w:r>
        <w:rPr>
          <w:rFonts w:ascii="Times New Roman" w:hAnsi="Times New Roman" w:eastAsiaTheme="minorEastAsia"/>
          <w:b w:val="0"/>
          <w:color w:val="auto"/>
          <w:w w:val="99"/>
          <w:sz w:val="24"/>
          <w:szCs w:val="24"/>
          <w:highlight w:val="none"/>
        </w:rPr>
        <w:fldChar w:fldCharType="separate"/>
      </w:r>
      <w:r>
        <w:rPr>
          <w:rFonts w:ascii="Times New Roman" w:hAnsi="Times New Roman" w:eastAsiaTheme="minorEastAsia"/>
          <w:b w:val="0"/>
          <w:color w:val="auto"/>
          <w:w w:val="99"/>
          <w:sz w:val="24"/>
          <w:szCs w:val="24"/>
          <w:highlight w:val="none"/>
        </w:rPr>
        <w:t>234</w:t>
      </w:r>
      <w:r>
        <w:rPr>
          <w:rFonts w:ascii="Times New Roman" w:hAnsi="Times New Roman" w:eastAsiaTheme="minorEastAsia"/>
          <w:b w:val="0"/>
          <w:color w:val="auto"/>
          <w:w w:val="99"/>
          <w:sz w:val="24"/>
          <w:szCs w:val="24"/>
          <w:highlight w:val="none"/>
        </w:rPr>
        <w:fldChar w:fldCharType="end"/>
      </w:r>
      <w:r>
        <w:rPr>
          <w:rFonts w:ascii="Times New Roman" w:hAnsi="Times New Roman" w:eastAsiaTheme="minorEastAsia"/>
          <w:b w:val="0"/>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"_Toc80105280" </w:instrText>
      </w:r>
      <w:r>
        <w:rPr>
          <w:color w:val="auto"/>
          <w:highlight w:val="none"/>
        </w:rPr>
        <w:fldChar w:fldCharType="separate"/>
      </w:r>
      <w:r>
        <w:rPr>
          <w:rStyle w:val="96"/>
          <w:rFonts w:eastAsiaTheme="minorEastAsia"/>
          <w:snapToGrid w:val="0"/>
          <w:color w:val="auto"/>
          <w:w w:val="99"/>
          <w:sz w:val="24"/>
          <w:szCs w:val="24"/>
          <w:highlight w:val="none"/>
        </w:rPr>
        <w:t>7.1 环境损失费估算</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_Toc80105280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234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"_Toc80105281" </w:instrText>
      </w:r>
      <w:r>
        <w:rPr>
          <w:color w:val="auto"/>
          <w:highlight w:val="none"/>
        </w:rPr>
        <w:fldChar w:fldCharType="separate"/>
      </w:r>
      <w:r>
        <w:rPr>
          <w:rStyle w:val="96"/>
          <w:rFonts w:eastAsiaTheme="minorEastAsia"/>
          <w:snapToGrid w:val="0"/>
          <w:color w:val="auto"/>
          <w:w w:val="99"/>
          <w:sz w:val="24"/>
          <w:szCs w:val="24"/>
          <w:highlight w:val="none"/>
        </w:rPr>
        <w:t>7.2 环保投资估算及环境效益分析</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_Toc80105281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235</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"_Toc80105284" </w:instrText>
      </w:r>
      <w:r>
        <w:rPr>
          <w:color w:val="auto"/>
          <w:highlight w:val="none"/>
        </w:rPr>
        <w:fldChar w:fldCharType="separate"/>
      </w:r>
      <w:r>
        <w:rPr>
          <w:rStyle w:val="96"/>
          <w:rFonts w:eastAsiaTheme="minorEastAsia"/>
          <w:snapToGrid w:val="0"/>
          <w:color w:val="auto"/>
          <w:w w:val="99"/>
          <w:sz w:val="24"/>
          <w:szCs w:val="24"/>
          <w:highlight w:val="none"/>
        </w:rPr>
        <w:t>7.3 环境经济损益分析结论</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_Toc80105284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236</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57"/>
        <w:tabs>
          <w:tab w:val="right" w:leader="dot" w:pos="9060"/>
        </w:tabs>
        <w:rPr>
          <w:rFonts w:ascii="Times New Roman" w:hAnsi="Times New Roman" w:eastAsiaTheme="minorEastAsia"/>
          <w:b w:val="0"/>
          <w:caps w:val="0"/>
          <w:color w:val="auto"/>
          <w:w w:val="99"/>
          <w:kern w:val="2"/>
          <w:sz w:val="24"/>
          <w:szCs w:val="24"/>
          <w:highlight w:val="none"/>
        </w:rPr>
      </w:pPr>
      <w:r>
        <w:rPr>
          <w:color w:val="auto"/>
          <w:highlight w:val="none"/>
        </w:rPr>
        <w:fldChar w:fldCharType="begin"/>
      </w:r>
      <w:r>
        <w:rPr>
          <w:color w:val="auto"/>
          <w:highlight w:val="none"/>
        </w:rPr>
        <w:instrText xml:space="preserve"> HYPERLINK \l "_Toc80105285" </w:instrText>
      </w:r>
      <w:r>
        <w:rPr>
          <w:color w:val="auto"/>
          <w:highlight w:val="none"/>
        </w:rPr>
        <w:fldChar w:fldCharType="separate"/>
      </w:r>
      <w:r>
        <w:rPr>
          <w:rStyle w:val="96"/>
          <w:rFonts w:eastAsiaTheme="minorEastAsia"/>
          <w:b w:val="0"/>
          <w:snapToGrid w:val="0"/>
          <w:color w:val="auto"/>
          <w:w w:val="99"/>
          <w:sz w:val="24"/>
          <w:szCs w:val="24"/>
          <w:highlight w:val="none"/>
        </w:rPr>
        <w:t>8环境管理与监测计划</w:t>
      </w:r>
      <w:r>
        <w:rPr>
          <w:rFonts w:ascii="Times New Roman" w:hAnsi="Times New Roman" w:eastAsiaTheme="minorEastAsia"/>
          <w:b w:val="0"/>
          <w:color w:val="auto"/>
          <w:w w:val="99"/>
          <w:sz w:val="24"/>
          <w:szCs w:val="24"/>
          <w:highlight w:val="none"/>
        </w:rPr>
        <w:tab/>
      </w:r>
      <w:r>
        <w:rPr>
          <w:rFonts w:ascii="Times New Roman" w:hAnsi="Times New Roman" w:eastAsiaTheme="minorEastAsia"/>
          <w:b w:val="0"/>
          <w:color w:val="auto"/>
          <w:w w:val="99"/>
          <w:sz w:val="24"/>
          <w:szCs w:val="24"/>
          <w:highlight w:val="none"/>
        </w:rPr>
        <w:fldChar w:fldCharType="begin"/>
      </w:r>
      <w:r>
        <w:rPr>
          <w:rFonts w:ascii="Times New Roman" w:hAnsi="Times New Roman" w:eastAsiaTheme="minorEastAsia"/>
          <w:b w:val="0"/>
          <w:color w:val="auto"/>
          <w:w w:val="99"/>
          <w:sz w:val="24"/>
          <w:szCs w:val="24"/>
          <w:highlight w:val="none"/>
        </w:rPr>
        <w:instrText xml:space="preserve"> PAGEREF _Toc80105285 \h </w:instrText>
      </w:r>
      <w:r>
        <w:rPr>
          <w:rFonts w:ascii="Times New Roman" w:hAnsi="Times New Roman" w:eastAsiaTheme="minorEastAsia"/>
          <w:b w:val="0"/>
          <w:color w:val="auto"/>
          <w:w w:val="99"/>
          <w:sz w:val="24"/>
          <w:szCs w:val="24"/>
          <w:highlight w:val="none"/>
        </w:rPr>
        <w:fldChar w:fldCharType="separate"/>
      </w:r>
      <w:r>
        <w:rPr>
          <w:rFonts w:ascii="Times New Roman" w:hAnsi="Times New Roman" w:eastAsiaTheme="minorEastAsia"/>
          <w:b w:val="0"/>
          <w:color w:val="auto"/>
          <w:w w:val="99"/>
          <w:sz w:val="24"/>
          <w:szCs w:val="24"/>
          <w:highlight w:val="none"/>
        </w:rPr>
        <w:t>237</w:t>
      </w:r>
      <w:r>
        <w:rPr>
          <w:rFonts w:ascii="Times New Roman" w:hAnsi="Times New Roman" w:eastAsiaTheme="minorEastAsia"/>
          <w:b w:val="0"/>
          <w:color w:val="auto"/>
          <w:w w:val="99"/>
          <w:sz w:val="24"/>
          <w:szCs w:val="24"/>
          <w:highlight w:val="none"/>
        </w:rPr>
        <w:fldChar w:fldCharType="end"/>
      </w:r>
      <w:r>
        <w:rPr>
          <w:rFonts w:ascii="Times New Roman" w:hAnsi="Times New Roman" w:eastAsiaTheme="minorEastAsia"/>
          <w:b w:val="0"/>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"_Toc80105286" </w:instrText>
      </w:r>
      <w:r>
        <w:rPr>
          <w:color w:val="auto"/>
          <w:highlight w:val="none"/>
        </w:rPr>
        <w:fldChar w:fldCharType="separate"/>
      </w:r>
      <w:r>
        <w:rPr>
          <w:rStyle w:val="96"/>
          <w:rFonts w:eastAsiaTheme="minorEastAsia"/>
          <w:snapToGrid w:val="0"/>
          <w:color w:val="auto"/>
          <w:w w:val="99"/>
          <w:sz w:val="24"/>
          <w:szCs w:val="24"/>
          <w:highlight w:val="none"/>
        </w:rPr>
        <w:t>8.1 环境管理机构的设置及人员配备</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_Toc80105286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237</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"_Toc80105287" </w:instrText>
      </w:r>
      <w:r>
        <w:rPr>
          <w:color w:val="auto"/>
          <w:highlight w:val="none"/>
        </w:rPr>
        <w:fldChar w:fldCharType="separate"/>
      </w:r>
      <w:r>
        <w:rPr>
          <w:rStyle w:val="96"/>
          <w:rFonts w:eastAsiaTheme="minorEastAsia"/>
          <w:snapToGrid w:val="0"/>
          <w:color w:val="auto"/>
          <w:w w:val="99"/>
          <w:sz w:val="24"/>
          <w:szCs w:val="24"/>
          <w:highlight w:val="none"/>
        </w:rPr>
        <w:t>8.2 钻井期间环境管理要求</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_Toc80105287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237</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"_Toc80105294" </w:instrText>
      </w:r>
      <w:r>
        <w:rPr>
          <w:color w:val="auto"/>
          <w:highlight w:val="none"/>
        </w:rPr>
        <w:fldChar w:fldCharType="separate"/>
      </w:r>
      <w:r>
        <w:rPr>
          <w:rStyle w:val="96"/>
          <w:rFonts w:eastAsiaTheme="minorEastAsia"/>
          <w:snapToGrid w:val="0"/>
          <w:color w:val="auto"/>
          <w:w w:val="99"/>
          <w:sz w:val="24"/>
          <w:szCs w:val="24"/>
          <w:highlight w:val="none"/>
        </w:rPr>
        <w:t>8.3 规章制度</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_Toc80105294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238</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"_Toc80105297" </w:instrText>
      </w:r>
      <w:r>
        <w:rPr>
          <w:color w:val="auto"/>
          <w:highlight w:val="none"/>
        </w:rPr>
        <w:fldChar w:fldCharType="separate"/>
      </w:r>
      <w:r>
        <w:rPr>
          <w:rStyle w:val="96"/>
          <w:rFonts w:eastAsiaTheme="minorEastAsia"/>
          <w:snapToGrid w:val="0"/>
          <w:color w:val="auto"/>
          <w:w w:val="99"/>
          <w:sz w:val="24"/>
          <w:szCs w:val="24"/>
          <w:highlight w:val="none"/>
        </w:rPr>
        <w:t>8.4本工程污染源排放清单</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_Toc80105297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239</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"_Toc80105298" </w:instrText>
      </w:r>
      <w:r>
        <w:rPr>
          <w:color w:val="auto"/>
          <w:highlight w:val="none"/>
        </w:rPr>
        <w:fldChar w:fldCharType="separate"/>
      </w:r>
      <w:r>
        <w:rPr>
          <w:rStyle w:val="96"/>
          <w:rFonts w:eastAsiaTheme="minorEastAsia"/>
          <w:snapToGrid w:val="0"/>
          <w:color w:val="auto"/>
          <w:w w:val="99"/>
          <w:sz w:val="24"/>
          <w:szCs w:val="24"/>
          <w:highlight w:val="none"/>
        </w:rPr>
        <w:t>8.5 施工期环境管理与监测计划</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_Toc80105298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240</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"_Toc80105302" </w:instrText>
      </w:r>
      <w:r>
        <w:rPr>
          <w:color w:val="auto"/>
          <w:highlight w:val="none"/>
        </w:rPr>
        <w:fldChar w:fldCharType="separate"/>
      </w:r>
      <w:r>
        <w:rPr>
          <w:rStyle w:val="96"/>
          <w:rFonts w:eastAsiaTheme="minorEastAsia"/>
          <w:snapToGrid w:val="0"/>
          <w:color w:val="auto"/>
          <w:w w:val="99"/>
          <w:sz w:val="24"/>
          <w:szCs w:val="24"/>
          <w:highlight w:val="none"/>
        </w:rPr>
        <w:t>8.6总量控制</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_Toc80105302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242</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"_Toc80105303" </w:instrText>
      </w:r>
      <w:r>
        <w:rPr>
          <w:color w:val="auto"/>
          <w:highlight w:val="none"/>
        </w:rPr>
        <w:fldChar w:fldCharType="separate"/>
      </w:r>
      <w:r>
        <w:rPr>
          <w:rStyle w:val="96"/>
          <w:rFonts w:eastAsiaTheme="minorEastAsia"/>
          <w:snapToGrid w:val="0"/>
          <w:color w:val="auto"/>
          <w:w w:val="99"/>
          <w:sz w:val="24"/>
          <w:szCs w:val="24"/>
          <w:highlight w:val="none"/>
        </w:rPr>
        <w:t>8.7排污许可证制度衔接</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_Toc80105303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242</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57"/>
        <w:tabs>
          <w:tab w:val="right" w:leader="dot" w:pos="9060"/>
        </w:tabs>
        <w:rPr>
          <w:rFonts w:ascii="Times New Roman" w:hAnsi="Times New Roman" w:eastAsiaTheme="minorEastAsia"/>
          <w:b w:val="0"/>
          <w:caps w:val="0"/>
          <w:color w:val="auto"/>
          <w:w w:val="99"/>
          <w:kern w:val="2"/>
          <w:sz w:val="24"/>
          <w:szCs w:val="24"/>
          <w:highlight w:val="none"/>
        </w:rPr>
      </w:pPr>
      <w:r>
        <w:rPr>
          <w:color w:val="auto"/>
          <w:highlight w:val="none"/>
        </w:rPr>
        <w:fldChar w:fldCharType="begin"/>
      </w:r>
      <w:r>
        <w:rPr>
          <w:color w:val="auto"/>
          <w:highlight w:val="none"/>
        </w:rPr>
        <w:instrText xml:space="preserve"> HYPERLINK \l "_Toc80105304" </w:instrText>
      </w:r>
      <w:r>
        <w:rPr>
          <w:color w:val="auto"/>
          <w:highlight w:val="none"/>
        </w:rPr>
        <w:fldChar w:fldCharType="separate"/>
      </w:r>
      <w:r>
        <w:rPr>
          <w:rStyle w:val="96"/>
          <w:rFonts w:eastAsiaTheme="minorEastAsia"/>
          <w:b w:val="0"/>
          <w:snapToGrid w:val="0"/>
          <w:color w:val="auto"/>
          <w:w w:val="99"/>
          <w:sz w:val="24"/>
          <w:szCs w:val="24"/>
          <w:highlight w:val="none"/>
        </w:rPr>
        <w:t>9环境影响评价结论</w:t>
      </w:r>
      <w:r>
        <w:rPr>
          <w:rFonts w:ascii="Times New Roman" w:hAnsi="Times New Roman" w:eastAsiaTheme="minorEastAsia"/>
          <w:b w:val="0"/>
          <w:color w:val="auto"/>
          <w:w w:val="99"/>
          <w:sz w:val="24"/>
          <w:szCs w:val="24"/>
          <w:highlight w:val="none"/>
        </w:rPr>
        <w:tab/>
      </w:r>
      <w:r>
        <w:rPr>
          <w:rFonts w:ascii="Times New Roman" w:hAnsi="Times New Roman" w:eastAsiaTheme="minorEastAsia"/>
          <w:b w:val="0"/>
          <w:color w:val="auto"/>
          <w:w w:val="99"/>
          <w:sz w:val="24"/>
          <w:szCs w:val="24"/>
          <w:highlight w:val="none"/>
        </w:rPr>
        <w:fldChar w:fldCharType="begin"/>
      </w:r>
      <w:r>
        <w:rPr>
          <w:rFonts w:ascii="Times New Roman" w:hAnsi="Times New Roman" w:eastAsiaTheme="minorEastAsia"/>
          <w:b w:val="0"/>
          <w:color w:val="auto"/>
          <w:w w:val="99"/>
          <w:sz w:val="24"/>
          <w:szCs w:val="24"/>
          <w:highlight w:val="none"/>
        </w:rPr>
        <w:instrText xml:space="preserve"> PAGEREF _Toc80105304 \h </w:instrText>
      </w:r>
      <w:r>
        <w:rPr>
          <w:rFonts w:ascii="Times New Roman" w:hAnsi="Times New Roman" w:eastAsiaTheme="minorEastAsia"/>
          <w:b w:val="0"/>
          <w:color w:val="auto"/>
          <w:w w:val="99"/>
          <w:sz w:val="24"/>
          <w:szCs w:val="24"/>
          <w:highlight w:val="none"/>
        </w:rPr>
        <w:fldChar w:fldCharType="separate"/>
      </w:r>
      <w:r>
        <w:rPr>
          <w:rFonts w:ascii="Times New Roman" w:hAnsi="Times New Roman" w:eastAsiaTheme="minorEastAsia"/>
          <w:b w:val="0"/>
          <w:color w:val="auto"/>
          <w:w w:val="99"/>
          <w:sz w:val="24"/>
          <w:szCs w:val="24"/>
          <w:highlight w:val="none"/>
        </w:rPr>
        <w:t>243</w:t>
      </w:r>
      <w:r>
        <w:rPr>
          <w:rFonts w:ascii="Times New Roman" w:hAnsi="Times New Roman" w:eastAsiaTheme="minorEastAsia"/>
          <w:b w:val="0"/>
          <w:color w:val="auto"/>
          <w:w w:val="99"/>
          <w:sz w:val="24"/>
          <w:szCs w:val="24"/>
          <w:highlight w:val="none"/>
        </w:rPr>
        <w:fldChar w:fldCharType="end"/>
      </w:r>
      <w:r>
        <w:rPr>
          <w:rFonts w:ascii="Times New Roman" w:hAnsi="Times New Roman" w:eastAsiaTheme="minorEastAsia"/>
          <w:b w:val="0"/>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"_Toc80105305" </w:instrText>
      </w:r>
      <w:r>
        <w:rPr>
          <w:color w:val="auto"/>
          <w:highlight w:val="none"/>
        </w:rPr>
        <w:fldChar w:fldCharType="separate"/>
      </w:r>
      <w:r>
        <w:rPr>
          <w:rStyle w:val="96"/>
          <w:rFonts w:eastAsiaTheme="minorEastAsia"/>
          <w:snapToGrid w:val="0"/>
          <w:color w:val="auto"/>
          <w:w w:val="99"/>
          <w:sz w:val="24"/>
          <w:szCs w:val="24"/>
          <w:highlight w:val="none"/>
        </w:rPr>
        <w:t>9.1建设项目概况</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_Toc80105305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243</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"_Toc80105306" </w:instrText>
      </w:r>
      <w:r>
        <w:rPr>
          <w:color w:val="auto"/>
          <w:highlight w:val="none"/>
        </w:rPr>
        <w:fldChar w:fldCharType="separate"/>
      </w:r>
      <w:r>
        <w:rPr>
          <w:rStyle w:val="96"/>
          <w:rFonts w:eastAsiaTheme="minorEastAsia"/>
          <w:snapToGrid w:val="0"/>
          <w:color w:val="auto"/>
          <w:w w:val="99"/>
          <w:sz w:val="24"/>
          <w:szCs w:val="24"/>
          <w:highlight w:val="none"/>
        </w:rPr>
        <w:t>9.2产业政策符合性</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_Toc80105306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243</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"_Toc80105307" </w:instrText>
      </w:r>
      <w:r>
        <w:rPr>
          <w:color w:val="auto"/>
          <w:highlight w:val="none"/>
        </w:rPr>
        <w:fldChar w:fldCharType="separate"/>
      </w:r>
      <w:r>
        <w:rPr>
          <w:rStyle w:val="96"/>
          <w:rFonts w:eastAsiaTheme="minorEastAsia"/>
          <w:snapToGrid w:val="0"/>
          <w:color w:val="auto"/>
          <w:w w:val="99"/>
          <w:sz w:val="24"/>
          <w:szCs w:val="24"/>
          <w:highlight w:val="none"/>
        </w:rPr>
        <w:t>9.3选址合理性结论</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_Toc80105307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243</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"_Toc80105308" </w:instrText>
      </w:r>
      <w:r>
        <w:rPr>
          <w:color w:val="auto"/>
          <w:highlight w:val="none"/>
        </w:rPr>
        <w:fldChar w:fldCharType="separate"/>
      </w:r>
      <w:r>
        <w:rPr>
          <w:rStyle w:val="96"/>
          <w:rFonts w:eastAsiaTheme="minorEastAsia"/>
          <w:snapToGrid w:val="0"/>
          <w:color w:val="auto"/>
          <w:w w:val="99"/>
          <w:sz w:val="24"/>
          <w:szCs w:val="24"/>
          <w:highlight w:val="none"/>
        </w:rPr>
        <w:t>9.4环境质量现状评价结论</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_Toc80105308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"_Toc80105314" </w:instrText>
      </w:r>
      <w:r>
        <w:rPr>
          <w:color w:val="auto"/>
          <w:highlight w:val="none"/>
        </w:rPr>
        <w:fldChar w:fldCharType="separate"/>
      </w:r>
      <w:r>
        <w:rPr>
          <w:rStyle w:val="96"/>
          <w:rFonts w:eastAsiaTheme="minorEastAsia"/>
          <w:snapToGrid w:val="0"/>
          <w:color w:val="auto"/>
          <w:w w:val="99"/>
          <w:sz w:val="24"/>
          <w:szCs w:val="24"/>
          <w:highlight w:val="none"/>
        </w:rPr>
        <w:t>9.5环境影响分析和污染防治措施可行性结论</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_Toc80105314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245</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"_Toc80105322" </w:instrText>
      </w:r>
      <w:r>
        <w:rPr>
          <w:color w:val="auto"/>
          <w:highlight w:val="none"/>
        </w:rPr>
        <w:fldChar w:fldCharType="separate"/>
      </w:r>
      <w:r>
        <w:rPr>
          <w:rStyle w:val="96"/>
          <w:rFonts w:eastAsiaTheme="minorEastAsia"/>
          <w:snapToGrid w:val="0"/>
          <w:color w:val="auto"/>
          <w:w w:val="99"/>
          <w:sz w:val="24"/>
          <w:szCs w:val="24"/>
          <w:highlight w:val="none"/>
        </w:rPr>
        <w:t>9.6总量控制指标</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_Toc80105322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248</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"_Toc80105323" </w:instrText>
      </w:r>
      <w:r>
        <w:rPr>
          <w:color w:val="auto"/>
          <w:highlight w:val="none"/>
        </w:rPr>
        <w:fldChar w:fldCharType="separate"/>
      </w:r>
      <w:r>
        <w:rPr>
          <w:rStyle w:val="96"/>
          <w:rFonts w:eastAsiaTheme="minorEastAsia"/>
          <w:snapToGrid w:val="0"/>
          <w:color w:val="auto"/>
          <w:w w:val="99"/>
          <w:sz w:val="24"/>
          <w:szCs w:val="24"/>
          <w:highlight w:val="none"/>
        </w:rPr>
        <w:t>9.7公众意见采纳情况</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_Toc80105323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248</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"_Toc80105324" </w:instrText>
      </w:r>
      <w:r>
        <w:rPr>
          <w:color w:val="auto"/>
          <w:highlight w:val="none"/>
        </w:rPr>
        <w:fldChar w:fldCharType="separate"/>
      </w:r>
      <w:r>
        <w:rPr>
          <w:rStyle w:val="96"/>
          <w:rFonts w:eastAsiaTheme="minorEastAsia"/>
          <w:snapToGrid w:val="0"/>
          <w:color w:val="auto"/>
          <w:w w:val="99"/>
          <w:sz w:val="24"/>
          <w:szCs w:val="24"/>
          <w:highlight w:val="none"/>
        </w:rPr>
        <w:t>9.8环境经济损益分析结论</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_Toc80105324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249</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"_Toc80105325" </w:instrText>
      </w:r>
      <w:r>
        <w:rPr>
          <w:color w:val="auto"/>
          <w:highlight w:val="none"/>
        </w:rPr>
        <w:fldChar w:fldCharType="separate"/>
      </w:r>
      <w:r>
        <w:rPr>
          <w:rStyle w:val="96"/>
          <w:rFonts w:eastAsiaTheme="minorEastAsia"/>
          <w:snapToGrid w:val="0"/>
          <w:color w:val="auto"/>
          <w:w w:val="99"/>
          <w:sz w:val="24"/>
          <w:szCs w:val="24"/>
          <w:highlight w:val="none"/>
        </w:rPr>
        <w:t>9.9环境管理与监测结论</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_Toc80105325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249</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8"/>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"_Toc80105326" </w:instrText>
      </w:r>
      <w:r>
        <w:rPr>
          <w:color w:val="auto"/>
          <w:highlight w:val="none"/>
        </w:rPr>
        <w:fldChar w:fldCharType="separate"/>
      </w:r>
      <w:r>
        <w:rPr>
          <w:rStyle w:val="96"/>
          <w:rFonts w:eastAsiaTheme="minorEastAsia"/>
          <w:snapToGrid w:val="0"/>
          <w:color w:val="auto"/>
          <w:w w:val="99"/>
          <w:sz w:val="24"/>
          <w:szCs w:val="24"/>
          <w:highlight w:val="none"/>
        </w:rPr>
        <w:t>9.10综合评价结论</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_Toc80105326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249</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110"/>
        <w:widowControl w:val="0"/>
        <w:spacing w:line="480" w:lineRule="auto"/>
        <w:jc w:val="both"/>
        <w:rPr>
          <w:rFonts w:ascii="Times New Roman" w:hAnsi="Times New Roman" w:eastAsiaTheme="minorEastAsia"/>
          <w:snapToGrid w:val="0"/>
          <w:color w:val="auto"/>
          <w:w w:val="99"/>
          <w:sz w:val="24"/>
          <w:szCs w:val="24"/>
          <w:highlight w:val="none"/>
        </w:rPr>
      </w:pP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snapToGrid w:val="0"/>
          <w:color w:val="auto"/>
          <w:w w:val="99"/>
          <w:sz w:val="24"/>
          <w:szCs w:val="24"/>
          <w:highlight w:val="none"/>
        </w:rPr>
        <w:t xml:space="preserve"> </w:t>
      </w:r>
    </w:p>
    <w:p>
      <w:pPr>
        <w:pStyle w:val="110"/>
        <w:widowControl w:val="0"/>
        <w:spacing w:line="480" w:lineRule="auto"/>
        <w:jc w:val="both"/>
        <w:rPr>
          <w:rFonts w:ascii="Times New Roman" w:hAnsi="Times New Roman" w:eastAsiaTheme="minorEastAsia"/>
          <w:snapToGrid w:val="0"/>
          <w:color w:val="auto"/>
          <w:w w:val="99"/>
          <w:sz w:val="24"/>
          <w:szCs w:val="24"/>
          <w:highlight w:val="none"/>
        </w:rPr>
      </w:pPr>
    </w:p>
    <w:p>
      <w:pPr>
        <w:pStyle w:val="68"/>
        <w:tabs>
          <w:tab w:val="right" w:leader="dot" w:pos="9060"/>
        </w:tabs>
        <w:rPr>
          <w:rFonts w:hint="default"/>
          <w:color w:val="auto"/>
          <w:highlight w:val="none"/>
          <w:lang w:val="zh-CN"/>
        </w:rPr>
      </w:pPr>
      <w:r>
        <w:rPr>
          <w:rFonts w:hint="default"/>
          <w:color w:val="auto"/>
          <w:highlight w:val="none"/>
          <w:lang w:val="zh-CN"/>
        </w:rPr>
        <w:t>附图1：地理位置图</w:t>
      </w:r>
    </w:p>
    <w:p>
      <w:pPr>
        <w:pStyle w:val="68"/>
        <w:tabs>
          <w:tab w:val="right" w:leader="dot" w:pos="9060"/>
        </w:tabs>
        <w:rPr>
          <w:rFonts w:hint="default"/>
          <w:color w:val="auto"/>
          <w:highlight w:val="none"/>
          <w:lang w:val="zh-CN"/>
        </w:rPr>
      </w:pPr>
      <w:r>
        <w:rPr>
          <w:rFonts w:hint="default"/>
          <w:color w:val="auto"/>
          <w:highlight w:val="none"/>
          <w:lang w:val="zh-CN"/>
        </w:rPr>
        <w:t>附图2：</w:t>
      </w:r>
      <w:r>
        <w:rPr>
          <w:rFonts w:hint="eastAsia"/>
          <w:color w:val="auto"/>
          <w:highlight w:val="none"/>
        </w:rPr>
        <w:t>本项目与大庆市土地利用总体规划位置关系图</w:t>
      </w:r>
    </w:p>
    <w:p>
      <w:pPr>
        <w:pStyle w:val="68"/>
        <w:tabs>
          <w:tab w:val="right" w:leader="dot" w:pos="9060"/>
        </w:tabs>
        <w:rPr>
          <w:rFonts w:hint="default"/>
          <w:color w:val="auto"/>
          <w:highlight w:val="none"/>
          <w:lang w:val="zh-CN"/>
        </w:rPr>
      </w:pPr>
      <w:r>
        <w:rPr>
          <w:rFonts w:hint="default"/>
          <w:color w:val="auto"/>
          <w:highlight w:val="none"/>
          <w:lang w:val="zh-CN"/>
        </w:rPr>
        <w:t>附图3：</w:t>
      </w:r>
      <w:r>
        <w:rPr>
          <w:rFonts w:hint="eastAsia"/>
          <w:color w:val="auto"/>
          <w:highlight w:val="none"/>
        </w:rPr>
        <w:t>本项目拟钻井所处水土保持重点治理区示意图</w:t>
      </w:r>
    </w:p>
    <w:p>
      <w:pPr>
        <w:pStyle w:val="68"/>
        <w:tabs>
          <w:tab w:val="right" w:leader="dot" w:pos="9060"/>
        </w:tabs>
        <w:rPr>
          <w:rFonts w:hint="eastAsia"/>
          <w:color w:val="auto"/>
          <w:highlight w:val="none"/>
        </w:rPr>
      </w:pPr>
      <w:r>
        <w:rPr>
          <w:rFonts w:hint="default"/>
          <w:color w:val="auto"/>
          <w:highlight w:val="none"/>
          <w:lang w:val="zh-CN"/>
        </w:rPr>
        <w:t>附图4：</w:t>
      </w:r>
      <w:r>
        <w:rPr>
          <w:rFonts w:hint="eastAsia"/>
          <w:color w:val="auto"/>
          <w:highlight w:val="none"/>
        </w:rPr>
        <w:t>本项目与黑龙江省生态保护红线的位置关系</w:t>
      </w:r>
    </w:p>
    <w:p>
      <w:pPr>
        <w:pStyle w:val="68"/>
        <w:tabs>
          <w:tab w:val="right" w:leader="dot" w:pos="9060"/>
        </w:tabs>
        <w:rPr>
          <w:rFonts w:hint="default"/>
          <w:color w:val="auto"/>
          <w:highlight w:val="none"/>
          <w:lang w:val="zh-CN"/>
        </w:rPr>
      </w:pPr>
      <w:r>
        <w:rPr>
          <w:rFonts w:hint="default"/>
          <w:color w:val="auto"/>
          <w:highlight w:val="none"/>
          <w:lang w:val="zh-CN"/>
        </w:rPr>
        <w:t>附图5：</w:t>
      </w:r>
      <w:r>
        <w:rPr>
          <w:rFonts w:hint="eastAsia"/>
          <w:color w:val="auto"/>
          <w:highlight w:val="none"/>
        </w:rPr>
        <w:t>本项目与黑龙江省大庆市环境管控单元位置关系</w:t>
      </w:r>
    </w:p>
    <w:p>
      <w:pPr>
        <w:pStyle w:val="68"/>
        <w:tabs>
          <w:tab w:val="right" w:leader="dot" w:pos="9060"/>
        </w:tabs>
        <w:rPr>
          <w:color w:val="auto"/>
          <w:highlight w:val="none"/>
        </w:rPr>
      </w:pPr>
      <w:r>
        <w:rPr>
          <w:rFonts w:hint="default"/>
          <w:color w:val="auto"/>
          <w:highlight w:val="none"/>
          <w:lang w:val="zh-CN"/>
        </w:rPr>
        <w:t>附图6：</w:t>
      </w:r>
      <w:r>
        <w:rPr>
          <w:rFonts w:hint="eastAsia"/>
          <w:color w:val="auto"/>
          <w:highlight w:val="none"/>
        </w:rPr>
        <w:t>项目评价范围</w:t>
      </w:r>
      <w:r>
        <w:rPr>
          <w:color w:val="auto"/>
          <w:highlight w:val="none"/>
        </w:rPr>
        <w:t>图</w:t>
      </w:r>
    </w:p>
    <w:p>
      <w:pPr>
        <w:pStyle w:val="68"/>
        <w:tabs>
          <w:tab w:val="right" w:leader="dot" w:pos="9060"/>
        </w:tabs>
        <w:rPr>
          <w:rFonts w:hint="default"/>
          <w:color w:val="auto"/>
          <w:highlight w:val="none"/>
          <w:lang w:val="zh-CN"/>
        </w:rPr>
      </w:pPr>
      <w:r>
        <w:rPr>
          <w:rFonts w:hint="default"/>
          <w:color w:val="auto"/>
          <w:highlight w:val="none"/>
          <w:lang w:val="zh-CN"/>
        </w:rPr>
        <w:t>附图7：</w:t>
      </w:r>
      <w:r>
        <w:rPr>
          <w:rFonts w:hint="eastAsia"/>
          <w:color w:val="auto"/>
          <w:highlight w:val="none"/>
          <w:lang w:eastAsia="zh-CN"/>
        </w:rPr>
        <w:t>本项目拟钻井场相对位置图</w:t>
      </w:r>
    </w:p>
    <w:p>
      <w:pPr>
        <w:pStyle w:val="68"/>
        <w:tabs>
          <w:tab w:val="right" w:leader="dot" w:pos="9060"/>
        </w:tabs>
        <w:rPr>
          <w:rFonts w:hint="default"/>
          <w:color w:val="auto"/>
          <w:highlight w:val="none"/>
          <w:lang w:val="zh-CN"/>
        </w:rPr>
      </w:pPr>
      <w:r>
        <w:rPr>
          <w:rFonts w:hint="default"/>
          <w:color w:val="auto"/>
          <w:highlight w:val="none"/>
          <w:lang w:val="zh-CN"/>
        </w:rPr>
        <w:t>附图8：</w:t>
      </w:r>
      <w:r>
        <w:rPr>
          <w:color w:val="auto"/>
          <w:highlight w:val="none"/>
        </w:rPr>
        <w:t>项目区域综合水文地质图</w:t>
      </w:r>
    </w:p>
    <w:p>
      <w:pPr>
        <w:pStyle w:val="68"/>
        <w:tabs>
          <w:tab w:val="right" w:leader="dot" w:pos="9060"/>
        </w:tabs>
        <w:rPr>
          <w:rFonts w:hint="default"/>
          <w:color w:val="auto"/>
          <w:highlight w:val="none"/>
          <w:lang w:val="zh-CN"/>
        </w:rPr>
      </w:pPr>
      <w:r>
        <w:rPr>
          <w:rFonts w:hint="default"/>
          <w:color w:val="auto"/>
          <w:highlight w:val="none"/>
          <w:lang w:val="zh-CN"/>
        </w:rPr>
        <w:t>附图9：</w:t>
      </w:r>
      <w:r>
        <w:rPr>
          <w:color w:val="auto"/>
          <w:highlight w:val="none"/>
        </w:rPr>
        <w:t>区域水文地</w:t>
      </w:r>
      <w:r>
        <w:rPr>
          <w:rFonts w:hint="eastAsia"/>
          <w:color w:val="auto"/>
          <w:highlight w:val="none"/>
          <w:lang w:eastAsia="zh-CN"/>
        </w:rPr>
        <w:t>质剖面</w:t>
      </w:r>
      <w:r>
        <w:rPr>
          <w:color w:val="auto"/>
          <w:highlight w:val="none"/>
        </w:rPr>
        <w:t>图</w:t>
      </w:r>
    </w:p>
    <w:p>
      <w:pPr>
        <w:pStyle w:val="68"/>
        <w:tabs>
          <w:tab w:val="right" w:leader="dot" w:pos="9060"/>
        </w:tabs>
        <w:rPr>
          <w:rFonts w:hint="eastAsia"/>
          <w:color w:val="auto"/>
          <w:highlight w:val="none"/>
          <w:lang w:val="en-US" w:eastAsia="zh-CN"/>
        </w:rPr>
      </w:pPr>
      <w:r>
        <w:rPr>
          <w:rFonts w:hint="eastAsia"/>
          <w:color w:val="auto"/>
          <w:highlight w:val="none"/>
          <w:lang w:val="zh-CN"/>
        </w:rPr>
        <w:t>附图</w:t>
      </w:r>
      <w:r>
        <w:rPr>
          <w:rFonts w:hint="eastAsia"/>
          <w:color w:val="auto"/>
          <w:highlight w:val="none"/>
          <w:lang w:val="en-US" w:eastAsia="zh-CN"/>
        </w:rPr>
        <w:t>10：区域地下水承压水等水位线图</w:t>
      </w:r>
    </w:p>
    <w:p>
      <w:pPr>
        <w:pStyle w:val="68"/>
        <w:tabs>
          <w:tab w:val="right" w:leader="dot" w:pos="9060"/>
        </w:tabs>
        <w:rPr>
          <w:rFonts w:hint="eastAsia"/>
          <w:color w:val="auto"/>
          <w:highlight w:val="none"/>
          <w:lang w:val="en-US" w:eastAsia="zh-CN"/>
        </w:rPr>
      </w:pPr>
      <w:r>
        <w:rPr>
          <w:rFonts w:hint="eastAsia"/>
          <w:color w:val="auto"/>
          <w:highlight w:val="none"/>
          <w:lang w:val="zh-CN"/>
        </w:rPr>
        <w:t>附图</w:t>
      </w:r>
      <w:r>
        <w:rPr>
          <w:rFonts w:hint="eastAsia"/>
          <w:color w:val="auto"/>
          <w:highlight w:val="none"/>
          <w:lang w:val="en-US" w:eastAsia="zh-CN"/>
        </w:rPr>
        <w:t>11：区域地下水潜水等水位线图</w:t>
      </w:r>
    </w:p>
    <w:p>
      <w:pPr>
        <w:pStyle w:val="68"/>
        <w:tabs>
          <w:tab w:val="right" w:leader="dot" w:pos="9060"/>
        </w:tabs>
        <w:rPr>
          <w:rFonts w:hint="eastAsia"/>
          <w:color w:val="auto"/>
          <w:highlight w:val="none"/>
          <w:lang w:val="en-US" w:eastAsia="zh-CN"/>
        </w:rPr>
      </w:pPr>
      <w:r>
        <w:rPr>
          <w:rFonts w:hint="eastAsia"/>
          <w:color w:val="auto"/>
          <w:highlight w:val="none"/>
          <w:lang w:val="zh-CN"/>
        </w:rPr>
        <w:t>附图</w:t>
      </w:r>
      <w:r>
        <w:rPr>
          <w:rFonts w:hint="eastAsia"/>
          <w:color w:val="auto"/>
          <w:highlight w:val="none"/>
          <w:lang w:val="en-US" w:eastAsia="zh-CN"/>
        </w:rPr>
        <w:t>12：区域水文地质柱状图</w:t>
      </w:r>
    </w:p>
    <w:p>
      <w:pPr>
        <w:pStyle w:val="68"/>
        <w:tabs>
          <w:tab w:val="right" w:leader="dot" w:pos="9060"/>
        </w:tabs>
        <w:rPr>
          <w:rFonts w:hint="default"/>
          <w:color w:val="auto"/>
          <w:highlight w:val="none"/>
          <w:lang w:val="zh-CN"/>
        </w:rPr>
      </w:pPr>
      <w:r>
        <w:rPr>
          <w:rFonts w:hint="default"/>
          <w:color w:val="auto"/>
          <w:highlight w:val="none"/>
          <w:lang w:val="zh-CN"/>
        </w:rPr>
        <w:t>附图1</w:t>
      </w:r>
      <w:r>
        <w:rPr>
          <w:rFonts w:hint="eastAsia"/>
          <w:color w:val="auto"/>
          <w:highlight w:val="none"/>
          <w:lang w:val="en-US" w:eastAsia="zh-CN"/>
        </w:rPr>
        <w:t>3</w:t>
      </w:r>
      <w:r>
        <w:rPr>
          <w:rFonts w:hint="default"/>
          <w:color w:val="auto"/>
          <w:highlight w:val="none"/>
          <w:lang w:val="zh-CN"/>
        </w:rPr>
        <w:t>：</w:t>
      </w:r>
      <w:r>
        <w:rPr>
          <w:color w:val="auto"/>
          <w:highlight w:val="none"/>
        </w:rPr>
        <w:t>本项目区域土壤类型分布图</w:t>
      </w:r>
    </w:p>
    <w:p>
      <w:pPr>
        <w:pStyle w:val="68"/>
        <w:tabs>
          <w:tab w:val="right" w:leader="dot" w:pos="9060"/>
        </w:tabs>
        <w:rPr>
          <w:rFonts w:hint="default"/>
          <w:color w:val="auto"/>
          <w:highlight w:val="none"/>
          <w:lang w:val="zh-CN"/>
        </w:rPr>
      </w:pPr>
      <w:r>
        <w:rPr>
          <w:rFonts w:hint="default"/>
          <w:color w:val="auto"/>
          <w:highlight w:val="none"/>
          <w:lang w:val="zh-CN"/>
        </w:rPr>
        <w:t>附图1</w:t>
      </w:r>
      <w:r>
        <w:rPr>
          <w:rFonts w:hint="eastAsia"/>
          <w:color w:val="auto"/>
          <w:highlight w:val="none"/>
          <w:lang w:val="en-US" w:eastAsia="zh-CN"/>
        </w:rPr>
        <w:t>4</w:t>
      </w:r>
      <w:r>
        <w:rPr>
          <w:rFonts w:hint="default"/>
          <w:color w:val="auto"/>
          <w:highlight w:val="none"/>
          <w:lang w:val="zh-CN"/>
        </w:rPr>
        <w:t>：</w:t>
      </w:r>
      <w:r>
        <w:rPr>
          <w:color w:val="auto"/>
          <w:highlight w:val="none"/>
        </w:rPr>
        <w:t>环境质量现状监测点位图</w:t>
      </w:r>
    </w:p>
    <w:p>
      <w:pPr>
        <w:pStyle w:val="68"/>
        <w:tabs>
          <w:tab w:val="right" w:leader="dot" w:pos="9060"/>
        </w:tabs>
        <w:rPr>
          <w:rFonts w:hint="default"/>
          <w:color w:val="auto"/>
          <w:highlight w:val="none"/>
          <w:lang w:val="zh-CN"/>
        </w:rPr>
      </w:pPr>
      <w:r>
        <w:rPr>
          <w:rFonts w:hint="default"/>
          <w:color w:val="auto"/>
          <w:highlight w:val="none"/>
          <w:lang w:val="zh-CN"/>
        </w:rPr>
        <w:t>附图1</w:t>
      </w:r>
      <w:r>
        <w:rPr>
          <w:rFonts w:hint="eastAsia"/>
          <w:color w:val="auto"/>
          <w:highlight w:val="none"/>
          <w:lang w:val="en-US" w:eastAsia="zh-CN"/>
        </w:rPr>
        <w:t>5</w:t>
      </w:r>
      <w:r>
        <w:rPr>
          <w:rFonts w:hint="default"/>
          <w:color w:val="auto"/>
          <w:highlight w:val="none"/>
          <w:lang w:val="zh-CN"/>
        </w:rPr>
        <w:t>：</w:t>
      </w:r>
      <w:r>
        <w:rPr>
          <w:rFonts w:hint="eastAsia"/>
          <w:color w:val="auto"/>
          <w:highlight w:val="none"/>
        </w:rPr>
        <w:t>地下水及</w:t>
      </w:r>
      <w:r>
        <w:rPr>
          <w:color w:val="auto"/>
          <w:highlight w:val="none"/>
        </w:rPr>
        <w:t>土壤</w:t>
      </w:r>
      <w:r>
        <w:rPr>
          <w:rFonts w:hint="eastAsia"/>
          <w:color w:val="auto"/>
          <w:highlight w:val="none"/>
        </w:rPr>
        <w:t>跟踪监测布点图</w:t>
      </w:r>
    </w:p>
    <w:p>
      <w:pPr>
        <w:pStyle w:val="68"/>
        <w:tabs>
          <w:tab w:val="right" w:leader="dot" w:pos="9060"/>
        </w:tabs>
        <w:rPr>
          <w:rFonts w:hint="default"/>
          <w:color w:val="auto"/>
          <w:highlight w:val="none"/>
          <w:lang w:val="zh-CN"/>
        </w:rPr>
      </w:pPr>
      <w:r>
        <w:rPr>
          <w:rFonts w:hint="default"/>
          <w:color w:val="auto"/>
          <w:highlight w:val="none"/>
          <w:lang w:val="zh-CN"/>
        </w:rPr>
        <w:t>附图1</w:t>
      </w:r>
      <w:r>
        <w:rPr>
          <w:rFonts w:hint="eastAsia"/>
          <w:color w:val="auto"/>
          <w:highlight w:val="none"/>
          <w:lang w:val="en-US" w:eastAsia="zh-CN"/>
        </w:rPr>
        <w:t>6</w:t>
      </w:r>
      <w:r>
        <w:rPr>
          <w:rFonts w:hint="default"/>
          <w:color w:val="auto"/>
          <w:highlight w:val="none"/>
          <w:lang w:val="zh-CN"/>
        </w:rPr>
        <w:t>：</w:t>
      </w:r>
      <w:r>
        <w:rPr>
          <w:rFonts w:hint="eastAsia"/>
          <w:color w:val="auto"/>
          <w:highlight w:val="none"/>
        </w:rPr>
        <w:t>区域</w:t>
      </w:r>
      <w:r>
        <w:rPr>
          <w:color w:val="auto"/>
          <w:highlight w:val="none"/>
        </w:rPr>
        <w:t>内地表水系图</w:t>
      </w:r>
    </w:p>
    <w:p>
      <w:pPr>
        <w:pStyle w:val="68"/>
        <w:tabs>
          <w:tab w:val="right" w:leader="dot" w:pos="9060"/>
        </w:tabs>
        <w:rPr>
          <w:rFonts w:hint="default" w:eastAsia="宋体"/>
          <w:color w:val="auto"/>
          <w:highlight w:val="none"/>
          <w:lang w:val="en-US" w:eastAsia="zh-CN"/>
        </w:rPr>
      </w:pPr>
      <w:r>
        <w:rPr>
          <w:rFonts w:hint="eastAsia"/>
          <w:color w:val="auto"/>
          <w:highlight w:val="none"/>
          <w:lang w:val="zh-CN"/>
        </w:rPr>
        <w:t>附图</w:t>
      </w:r>
      <w:r>
        <w:rPr>
          <w:rFonts w:hint="eastAsia"/>
          <w:color w:val="auto"/>
          <w:highlight w:val="none"/>
          <w:lang w:val="en-US" w:eastAsia="zh-CN"/>
        </w:rPr>
        <w:t>17：现场勘查照片</w:t>
      </w:r>
    </w:p>
    <w:p>
      <w:pPr>
        <w:rPr>
          <w:rFonts w:hint="default"/>
          <w:color w:val="auto"/>
          <w:highlight w:val="none"/>
          <w:lang w:val="zh-CN"/>
        </w:rPr>
      </w:pPr>
    </w:p>
    <w:p>
      <w:pPr>
        <w:pStyle w:val="68"/>
        <w:tabs>
          <w:tab w:val="right" w:leader="dot" w:pos="9060"/>
        </w:tabs>
        <w:rPr>
          <w:rFonts w:hint="default"/>
          <w:color w:val="auto"/>
          <w:highlight w:val="none"/>
          <w:lang w:val="zh-CN"/>
        </w:rPr>
      </w:pPr>
      <w:r>
        <w:rPr>
          <w:rFonts w:hint="default"/>
          <w:color w:val="auto"/>
          <w:highlight w:val="none"/>
          <w:lang w:val="zh-CN"/>
        </w:rPr>
        <w:t>附件1：</w:t>
      </w:r>
      <w:r>
        <w:rPr>
          <w:rFonts w:hint="eastAsia"/>
          <w:color w:val="auto"/>
          <w:highlight w:val="none"/>
          <w:lang w:val="zh-CN"/>
        </w:rPr>
        <w:t>区块环评及验收手续</w:t>
      </w:r>
    </w:p>
    <w:p>
      <w:pPr>
        <w:pStyle w:val="68"/>
        <w:tabs>
          <w:tab w:val="right" w:leader="dot" w:pos="9060"/>
        </w:tabs>
        <w:rPr>
          <w:rFonts w:hint="default"/>
          <w:color w:val="auto"/>
          <w:highlight w:val="none"/>
          <w:lang w:val="zh-CN"/>
        </w:rPr>
      </w:pPr>
      <w:r>
        <w:rPr>
          <w:rFonts w:hint="default"/>
          <w:color w:val="auto"/>
          <w:highlight w:val="none"/>
          <w:lang w:val="zh-CN"/>
        </w:rPr>
        <w:t>附件2：项目备案</w:t>
      </w:r>
    </w:p>
    <w:p>
      <w:pPr>
        <w:pStyle w:val="68"/>
        <w:tabs>
          <w:tab w:val="right" w:leader="dot" w:pos="9060"/>
        </w:tabs>
        <w:rPr>
          <w:rFonts w:hint="eastAsia"/>
          <w:color w:val="auto"/>
          <w:highlight w:val="none"/>
          <w:lang w:val="zh-CN"/>
        </w:rPr>
      </w:pPr>
      <w:r>
        <w:rPr>
          <w:rFonts w:hint="default"/>
          <w:color w:val="auto"/>
          <w:highlight w:val="none"/>
          <w:lang w:val="zh-CN"/>
        </w:rPr>
        <w:t>附件3：</w:t>
      </w:r>
      <w:r>
        <w:rPr>
          <w:rFonts w:hint="eastAsia"/>
          <w:color w:val="auto"/>
          <w:highlight w:val="none"/>
          <w:lang w:val="en-US" w:eastAsia="zh-CN"/>
        </w:rPr>
        <w:t>依托工程环评手续</w:t>
      </w:r>
    </w:p>
    <w:p>
      <w:pPr>
        <w:pStyle w:val="68"/>
        <w:tabs>
          <w:tab w:val="right" w:leader="dot" w:pos="9060"/>
        </w:tabs>
        <w:rPr>
          <w:rFonts w:hint="default"/>
          <w:color w:val="auto"/>
          <w:highlight w:val="none"/>
          <w:lang w:val="zh-CN"/>
        </w:rPr>
      </w:pPr>
      <w:r>
        <w:rPr>
          <w:rFonts w:hint="default"/>
          <w:color w:val="auto"/>
          <w:highlight w:val="none"/>
          <w:lang w:val="zh-CN"/>
        </w:rPr>
        <w:t>附件4：环境质量现状监测报</w:t>
      </w:r>
      <w:r>
        <w:rPr>
          <w:rFonts w:hint="eastAsia"/>
          <w:color w:val="auto"/>
          <w:highlight w:val="none"/>
          <w:lang w:val="zh-CN"/>
        </w:rPr>
        <w:t>告</w:t>
      </w:r>
    </w:p>
    <w:p>
      <w:pPr>
        <w:pStyle w:val="68"/>
        <w:tabs>
          <w:tab w:val="right" w:leader="dot" w:pos="9060"/>
        </w:tabs>
        <w:rPr>
          <w:color w:val="auto"/>
          <w:highlight w:val="none"/>
        </w:rPr>
        <w:sectPr>
          <w:headerReference r:id="rId3" w:type="default"/>
          <w:footerReference r:id="rId4" w:type="default"/>
          <w:pgSz w:w="11906" w:h="16838"/>
          <w:pgMar w:top="1418" w:right="1418" w:bottom="1418" w:left="1418"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pStyle w:val="4"/>
        <w:widowControl w:val="0"/>
        <w:spacing w:before="180" w:after="180" w:line="500" w:lineRule="exact"/>
        <w:rPr>
          <w:rFonts w:ascii="Times New Roman" w:hAnsi="Times New Roman"/>
          <w:b/>
          <w:snapToGrid w:val="0"/>
          <w:color w:val="auto"/>
          <w:w w:val="99"/>
          <w:sz w:val="30"/>
          <w:szCs w:val="30"/>
          <w:highlight w:val="none"/>
        </w:rPr>
      </w:pPr>
      <w:bookmarkStart w:id="3" w:name="_Toc80105088"/>
      <w:r>
        <w:rPr>
          <w:rFonts w:ascii="Times New Roman" w:hAnsi="Times New Roman"/>
          <w:b/>
          <w:snapToGrid w:val="0"/>
          <w:color w:val="auto"/>
          <w:w w:val="99"/>
          <w:sz w:val="30"/>
          <w:szCs w:val="30"/>
          <w:highlight w:val="none"/>
        </w:rPr>
        <w:t>1概述</w:t>
      </w:r>
      <w:bookmarkEnd w:id="0"/>
      <w:bookmarkEnd w:id="1"/>
      <w:bookmarkEnd w:id="2"/>
      <w:bookmarkEnd w:id="3"/>
    </w:p>
    <w:p>
      <w:pPr>
        <w:pStyle w:val="5"/>
        <w:keepNext w:val="0"/>
        <w:keepLines w:val="0"/>
        <w:widowControl w:val="0"/>
        <w:spacing w:before="120" w:after="120"/>
        <w:rPr>
          <w:rFonts w:ascii="Times New Roman" w:hAnsi="Times New Roman"/>
          <w:b/>
          <w:snapToGrid w:val="0"/>
          <w:color w:val="auto"/>
          <w:w w:val="99"/>
          <w:highlight w:val="none"/>
        </w:rPr>
      </w:pPr>
      <w:bookmarkStart w:id="4" w:name="_Toc80105089"/>
      <w:r>
        <w:rPr>
          <w:rFonts w:ascii="Times New Roman" w:hAnsi="Times New Roman"/>
          <w:b/>
          <w:snapToGrid w:val="0"/>
          <w:color w:val="auto"/>
          <w:w w:val="99"/>
          <w:highlight w:val="none"/>
        </w:rPr>
        <w:t>1.1项目由来</w:t>
      </w:r>
      <w:bookmarkEnd w:id="4"/>
    </w:p>
    <w:p>
      <w:pPr>
        <w:pStyle w:val="109"/>
        <w:widowControl w:val="0"/>
        <w:ind w:firstLine="473"/>
        <w:jc w:val="both"/>
        <w:rPr>
          <w:rFonts w:ascii="Times New Roman" w:hAnsi="Times New Roman" w:eastAsiaTheme="minorEastAsia"/>
          <w:color w:val="auto"/>
          <w:w w:val="99"/>
          <w:highlight w:val="none"/>
        </w:rPr>
      </w:pPr>
      <w:r>
        <w:rPr>
          <w:rFonts w:hint="default" w:ascii="Times New Roman" w:hAnsi="Times New Roman" w:eastAsia="宋体" w:cs="Times New Roman"/>
          <w:color w:val="auto"/>
          <w:w w:val="99"/>
          <w:highlight w:val="none"/>
          <w:lang w:val="en-US" w:eastAsia="zh-CN"/>
        </w:rPr>
        <w:t>为了全面落实习近平总书记致大庆油田发现60周年贺信重要指示精神，实现油田高质量振兴发展，当好标杆旗帜，建设百年油田，黑龙江省委在关于制定国民经济和社会发展第十四个五年规划和二〇三五年远景目标的建议中提出保障国家能源安全。当好标杆旗帜、建设“百年油田”，推进大庆油田常规油气资源抓稳油增气，页岩油、页岩气、致密油气等非常规油气资源抓勘探上产，推进页岩油气开发利用取得突破，老油田实现二次革命。大庆市委在关于制定国民经济和社会发展第十四个五年规划和二〇三五年远景目标的建议中提出加快体制机制创新，全力推动百年油田建设，支持油田打好“提质增效”攻坚战。支持油田打好“提质增效”攻坚战。全力服务油田产能建设，在环保、安全、自然资源利用等方面简化审批流程、开辟政务“绿色通道”，保障油气资源高质高效开发。 随着大庆油田原油含水升高和自然递减，油田老区产量呈逐年下降的态势，大庆油田面临着后备资源接替不足、开发难度日益增大、基础设施改造滞后等问题。为了更好的当好标杆旗帜，建设百年油田，大庆油田有限责任公司编制了《大庆油田振兴发展纲要（2020）版》（以下简称纲要），纲要中提出要重点做好加强勘探增资源、长垣提高采收率、难采储量有效动用、天然气产业加快发展四个方面工作，针对油气开发，纲要中强调，本土原油开发持续深化精准开发理念与实践，大力实施水驱控递减、三次采油提质提效、新区效益建产“三大工程”，突出页岩油加快发展，力争到 2025 年，本土原油产量实现 3000 万吨规模，保持全国第一大油田地位。本土天然气开发筑牢松辽稳产、川渝上产、塔东评价、储气调峰“四大支撑”，坐实集团公司五大生产基地，力争到 2025 年，天然气产量达到 70 亿立方米以上。储气库年工作气量达到 30 亿立方米以上。在这一总体部署下，大庆油田有限责任公司第十采油厂决定实施</w:t>
      </w:r>
      <w:r>
        <w:rPr>
          <w:rFonts w:hint="eastAsia" w:ascii="Times New Roman" w:hAnsi="Times New Roman" w:eastAsiaTheme="minorEastAsia"/>
          <w:snapToGrid w:val="0"/>
          <w:color w:val="auto"/>
          <w:w w:val="99"/>
          <w:highlight w:val="none"/>
          <w:lang w:eastAsia="zh-CN"/>
        </w:rPr>
        <w:t>肇源油田源35区块外扩开发钻井工程</w:t>
      </w:r>
      <w:r>
        <w:rPr>
          <w:rFonts w:hint="eastAsia" w:ascii="Times New Roman" w:hAnsi="Times New Roman" w:eastAsiaTheme="minorEastAsia"/>
          <w:snapToGrid w:val="0"/>
          <w:color w:val="auto"/>
          <w:w w:val="99"/>
          <w:highlight w:val="none"/>
        </w:rPr>
        <w:t>项目</w:t>
      </w:r>
      <w:r>
        <w:rPr>
          <w:rFonts w:hint="default" w:ascii="Times New Roman" w:hAnsi="Times New Roman" w:eastAsia="宋体" w:cs="Times New Roman"/>
          <w:color w:val="auto"/>
          <w:w w:val="99"/>
          <w:highlight w:val="none"/>
        </w:rPr>
        <w:t>。</w:t>
      </w:r>
      <w:r>
        <w:rPr>
          <w:rFonts w:ascii="Times New Roman" w:hAnsi="Times New Roman" w:eastAsiaTheme="minorEastAsia"/>
          <w:bCs/>
          <w:snapToGrid w:val="0"/>
          <w:color w:val="auto"/>
          <w:w w:val="99"/>
          <w:highlight w:val="none"/>
        </w:rPr>
        <w:t>本项目新钻油井</w:t>
      </w:r>
      <w:r>
        <w:rPr>
          <w:rFonts w:hint="eastAsia" w:ascii="Times New Roman" w:hAnsi="Times New Roman" w:eastAsiaTheme="minorEastAsia"/>
          <w:bCs/>
          <w:snapToGrid w:val="0"/>
          <w:color w:val="auto"/>
          <w:w w:val="99"/>
          <w:highlight w:val="none"/>
          <w:lang w:val="en-US" w:eastAsia="zh-CN"/>
        </w:rPr>
        <w:t>44</w:t>
      </w:r>
      <w:r>
        <w:rPr>
          <w:rFonts w:hint="eastAsia" w:ascii="Times New Roman" w:hAnsi="Times New Roman" w:eastAsiaTheme="minorEastAsia"/>
          <w:bCs/>
          <w:snapToGrid w:val="0"/>
          <w:color w:val="auto"/>
          <w:w w:val="99"/>
          <w:highlight w:val="none"/>
        </w:rPr>
        <w:t>口，包括首钻井2口、正常井</w:t>
      </w:r>
      <w:r>
        <w:rPr>
          <w:rFonts w:hint="eastAsia" w:ascii="Times New Roman" w:hAnsi="Times New Roman" w:eastAsiaTheme="minorEastAsia"/>
          <w:bCs/>
          <w:snapToGrid w:val="0"/>
          <w:color w:val="auto"/>
          <w:w w:val="99"/>
          <w:highlight w:val="none"/>
          <w:lang w:val="en-US" w:eastAsia="zh-CN"/>
        </w:rPr>
        <w:t>31</w:t>
      </w:r>
      <w:r>
        <w:rPr>
          <w:rFonts w:hint="eastAsia" w:ascii="Times New Roman" w:hAnsi="Times New Roman" w:eastAsiaTheme="minorEastAsia"/>
          <w:bCs/>
          <w:snapToGrid w:val="0"/>
          <w:color w:val="auto"/>
          <w:w w:val="99"/>
          <w:highlight w:val="none"/>
        </w:rPr>
        <w:t>口、缓钻井11口</w:t>
      </w:r>
      <w:r>
        <w:rPr>
          <w:rFonts w:ascii="Times New Roman" w:hAnsi="Times New Roman" w:eastAsiaTheme="minorEastAsia"/>
          <w:bCs/>
          <w:snapToGrid w:val="0"/>
          <w:color w:val="auto"/>
          <w:w w:val="99"/>
          <w:highlight w:val="none"/>
        </w:rPr>
        <w:t>，</w:t>
      </w:r>
      <w:r>
        <w:rPr>
          <w:rFonts w:hint="eastAsia" w:ascii="Times New Roman" w:hAnsi="Times New Roman" w:eastAsiaTheme="minorEastAsia"/>
          <w:bCs/>
          <w:snapToGrid w:val="0"/>
          <w:color w:val="auto"/>
          <w:w w:val="99"/>
          <w:highlight w:val="none"/>
        </w:rPr>
        <w:t>均为单井</w:t>
      </w:r>
      <w:r>
        <w:rPr>
          <w:rFonts w:ascii="Times New Roman" w:hAnsi="Times New Roman" w:eastAsiaTheme="minorEastAsia"/>
          <w:bCs/>
          <w:snapToGrid w:val="0"/>
          <w:color w:val="auto"/>
          <w:w w:val="99"/>
          <w:highlight w:val="none"/>
        </w:rPr>
        <w:t>，</w:t>
      </w:r>
      <w:r>
        <w:rPr>
          <w:rFonts w:hint="eastAsia" w:ascii="Times New Roman" w:hAnsi="Times New Roman" w:eastAsiaTheme="minorEastAsia"/>
          <w:bCs/>
          <w:snapToGrid w:val="0"/>
          <w:color w:val="auto"/>
          <w:w w:val="99"/>
          <w:highlight w:val="none"/>
        </w:rPr>
        <w:t>单井完钻井深为</w:t>
      </w:r>
      <w:r>
        <w:rPr>
          <w:rFonts w:hint="eastAsia" w:ascii="Times New Roman" w:hAnsi="Times New Roman" w:eastAsiaTheme="minorEastAsia"/>
          <w:bCs/>
          <w:snapToGrid w:val="0"/>
          <w:color w:val="auto"/>
          <w:w w:val="99"/>
          <w:highlight w:val="none"/>
          <w:lang w:eastAsia="zh-CN"/>
        </w:rPr>
        <w:t>1689-1867m</w:t>
      </w:r>
      <w:r>
        <w:rPr>
          <w:rFonts w:ascii="Times New Roman" w:hAnsi="Times New Roman" w:eastAsiaTheme="minorEastAsia"/>
          <w:bCs/>
          <w:snapToGrid w:val="0"/>
          <w:color w:val="auto"/>
          <w:w w:val="99"/>
          <w:highlight w:val="none"/>
        </w:rPr>
        <w:t>，总进尺</w:t>
      </w:r>
      <w:r>
        <w:rPr>
          <w:rFonts w:hint="eastAsia" w:ascii="Times New Roman" w:hAnsi="Times New Roman" w:eastAsiaTheme="minorEastAsia"/>
          <w:bCs/>
          <w:snapToGrid w:val="0"/>
          <w:color w:val="auto"/>
          <w:w w:val="99"/>
          <w:highlight w:val="none"/>
          <w:lang w:eastAsia="zh-CN"/>
        </w:rPr>
        <w:t>79111m</w:t>
      </w:r>
      <w:r>
        <w:rPr>
          <w:rFonts w:ascii="Times New Roman" w:hAnsi="Times New Roman" w:eastAsiaTheme="minorEastAsia"/>
          <w:bCs/>
          <w:snapToGrid w:val="0"/>
          <w:color w:val="auto"/>
          <w:w w:val="99"/>
          <w:highlight w:val="none"/>
        </w:rPr>
        <w:t>，施工期占地性质为耕地（</w:t>
      </w:r>
      <w:r>
        <w:rPr>
          <w:rFonts w:hint="eastAsia" w:ascii="Times New Roman" w:hAnsi="Times New Roman" w:eastAsiaTheme="minorEastAsia"/>
          <w:bCs/>
          <w:snapToGrid w:val="0"/>
          <w:color w:val="auto"/>
          <w:w w:val="99"/>
          <w:highlight w:val="none"/>
          <w:lang w:eastAsia="zh-CN"/>
        </w:rPr>
        <w:t>非</w:t>
      </w:r>
      <w:r>
        <w:rPr>
          <w:rFonts w:ascii="Times New Roman" w:hAnsi="Times New Roman" w:eastAsiaTheme="minorEastAsia"/>
          <w:bCs/>
          <w:snapToGrid w:val="0"/>
          <w:color w:val="auto"/>
          <w:w w:val="99"/>
          <w:highlight w:val="none"/>
        </w:rPr>
        <w:t>基本农田</w:t>
      </w:r>
      <w:r>
        <w:rPr>
          <w:rFonts w:hint="eastAsia" w:ascii="Times New Roman" w:hAnsi="Times New Roman" w:eastAsiaTheme="minorEastAsia"/>
          <w:bCs/>
          <w:snapToGrid w:val="0"/>
          <w:color w:val="auto"/>
          <w:w w:val="99"/>
          <w:highlight w:val="none"/>
          <w:lang w:eastAsia="zh-CN"/>
        </w:rPr>
        <w:t>、少量永久基本农田</w:t>
      </w:r>
      <w:r>
        <w:rPr>
          <w:rFonts w:ascii="Times New Roman" w:hAnsi="Times New Roman" w:eastAsiaTheme="minorEastAsia"/>
          <w:bCs/>
          <w:snapToGrid w:val="0"/>
          <w:color w:val="auto"/>
          <w:w w:val="99"/>
          <w:highlight w:val="none"/>
        </w:rPr>
        <w:t>）</w:t>
      </w:r>
      <w:r>
        <w:rPr>
          <w:rFonts w:ascii="Times New Roman" w:hAnsi="Times New Roman" w:eastAsiaTheme="minorEastAsia"/>
          <w:snapToGrid w:val="0"/>
          <w:color w:val="auto"/>
          <w:w w:val="99"/>
          <w:highlight w:val="none"/>
        </w:rPr>
        <w:t>。</w:t>
      </w:r>
    </w:p>
    <w:p>
      <w:pPr>
        <w:pStyle w:val="32"/>
        <w:spacing w:line="500" w:lineRule="exact"/>
        <w:ind w:firstLine="474" w:firstLineChars="200"/>
        <w:jc w:val="both"/>
        <w:rPr>
          <w:rFonts w:ascii="Times New Roman" w:hAnsi="Times New Roman"/>
          <w:bCs/>
          <w:snapToGrid w:val="0"/>
          <w:color w:val="auto"/>
          <w:w w:val="99"/>
          <w:highlight w:val="none"/>
        </w:rPr>
      </w:pPr>
      <w:r>
        <w:rPr>
          <w:rFonts w:ascii="Times New Roman" w:hAnsi="Times New Roman" w:eastAsiaTheme="minorEastAsia"/>
          <w:bCs/>
          <w:color w:val="auto"/>
          <w:w w:val="99"/>
          <w:highlight w:val="none"/>
        </w:rPr>
        <w:t>本工程开发位于大庆油田有限责任公司</w:t>
      </w:r>
      <w:r>
        <w:rPr>
          <w:rFonts w:hint="eastAsia" w:ascii="Times New Roman" w:hAnsi="Times New Roman" w:eastAsiaTheme="minorEastAsia"/>
          <w:bCs/>
          <w:color w:val="auto"/>
          <w:w w:val="99"/>
          <w:highlight w:val="none"/>
        </w:rPr>
        <w:t>第十采油厂</w:t>
      </w:r>
      <w:r>
        <w:rPr>
          <w:rFonts w:ascii="Times New Roman" w:hAnsi="Times New Roman" w:eastAsiaTheme="minorEastAsia"/>
          <w:bCs/>
          <w:color w:val="auto"/>
          <w:w w:val="99"/>
          <w:highlight w:val="none"/>
        </w:rPr>
        <w:t>肇源</w:t>
      </w:r>
      <w:r>
        <w:rPr>
          <w:rFonts w:hint="eastAsia" w:ascii="Times New Roman" w:hAnsi="Times New Roman" w:eastAsiaTheme="minorEastAsia"/>
          <w:bCs/>
          <w:color w:val="auto"/>
          <w:w w:val="99"/>
          <w:highlight w:val="none"/>
        </w:rPr>
        <w:t>油田</w:t>
      </w:r>
      <w:r>
        <w:rPr>
          <w:rFonts w:ascii="Times New Roman" w:hAnsi="Times New Roman" w:eastAsiaTheme="minorEastAsia"/>
          <w:bCs/>
          <w:color w:val="auto"/>
          <w:w w:val="99"/>
          <w:highlight w:val="none"/>
        </w:rPr>
        <w:t>区块的滚动开发</w:t>
      </w:r>
      <w:r>
        <w:rPr>
          <w:rFonts w:hint="eastAsia" w:ascii="Times New Roman" w:hAnsi="Times New Roman" w:eastAsiaTheme="minorEastAsia"/>
          <w:bCs/>
          <w:color w:val="auto"/>
          <w:w w:val="99"/>
          <w:highlight w:val="none"/>
        </w:rPr>
        <w:t>内，</w:t>
      </w:r>
      <w:r>
        <w:rPr>
          <w:rFonts w:hint="eastAsia" w:ascii="Times New Roman" w:hAnsi="Times New Roman" w:eastAsiaTheme="minorEastAsia"/>
          <w:bCs/>
          <w:color w:val="auto"/>
          <w:w w:val="99"/>
          <w:highlight w:val="none"/>
          <w:lang w:eastAsia="zh-CN"/>
        </w:rPr>
        <w:t>包括</w:t>
      </w:r>
      <w:r>
        <w:rPr>
          <w:rFonts w:hint="eastAsia" w:ascii="Times New Roman" w:hAnsi="Times New Roman" w:eastAsiaTheme="minorEastAsia"/>
          <w:bCs/>
          <w:color w:val="auto"/>
          <w:w w:val="99"/>
          <w:highlight w:val="none"/>
        </w:rPr>
        <w:t>源35区块、源212区块、源20东外扩区块、民2-3区块、州39-2区</w:t>
      </w:r>
      <w:r>
        <w:rPr>
          <w:rFonts w:hint="eastAsia" w:ascii="Times New Roman" w:hAnsi="Times New Roman" w:eastAsiaTheme="minorEastAsia"/>
          <w:bCs/>
          <w:color w:val="auto"/>
          <w:w w:val="99"/>
          <w:highlight w:val="none"/>
          <w:lang w:eastAsia="zh-CN"/>
        </w:rPr>
        <w:t>。</w:t>
      </w:r>
      <w:r>
        <w:rPr>
          <w:rFonts w:hint="eastAsia" w:ascii="Times New Roman" w:hAnsi="Times New Roman" w:eastAsiaTheme="minorEastAsia"/>
          <w:bCs/>
          <w:color w:val="auto"/>
          <w:w w:val="99"/>
          <w:highlight w:val="none"/>
        </w:rPr>
        <w:t>本项目为</w:t>
      </w:r>
      <w:r>
        <w:rPr>
          <w:rFonts w:hint="eastAsia" w:ascii="Times New Roman" w:hAnsi="Times New Roman" w:eastAsiaTheme="minorEastAsia"/>
          <w:bCs/>
          <w:color w:val="auto"/>
          <w:w w:val="99"/>
          <w:highlight w:val="none"/>
          <w:lang w:eastAsia="zh-CN"/>
        </w:rPr>
        <w:t>肇源油田源35区块外扩开发钻井工程</w:t>
      </w:r>
      <w:r>
        <w:rPr>
          <w:rFonts w:hint="eastAsia" w:ascii="Times New Roman" w:hAnsi="Times New Roman" w:eastAsiaTheme="minorEastAsia"/>
          <w:bCs/>
          <w:color w:val="auto"/>
          <w:w w:val="99"/>
          <w:highlight w:val="none"/>
        </w:rPr>
        <w:t>。源35区块于2018年10月进行了《2017年肇源油田源35区块开发首钻井工程环境影响报告表》的编制，该项目主要工程内容为新钻井2口，由钻井、录井、测井、固井和完井组成，该项目于2019年2月3日在大庆市生态环境局获得批复，批复文号庆环审〔2019〕16号，目前正在组织验收。</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根据《大庆市土地利用总体规划》（2006-2020年），本项目位于石油用地区，目前区域内为耕地（</w:t>
      </w:r>
      <w:r>
        <w:rPr>
          <w:rFonts w:hint="eastAsia" w:ascii="Times New Roman" w:hAnsi="Times New Roman" w:eastAsiaTheme="minorEastAsia"/>
          <w:color w:val="auto"/>
          <w:w w:val="99"/>
          <w:highlight w:val="none"/>
          <w:lang w:eastAsia="zh-CN"/>
        </w:rPr>
        <w:t>非</w:t>
      </w:r>
      <w:r>
        <w:rPr>
          <w:rFonts w:ascii="Times New Roman" w:hAnsi="Times New Roman" w:eastAsiaTheme="minorEastAsia"/>
          <w:color w:val="auto"/>
          <w:w w:val="99"/>
          <w:highlight w:val="none"/>
        </w:rPr>
        <w:t>基本农田</w:t>
      </w:r>
      <w:r>
        <w:rPr>
          <w:rFonts w:hint="eastAsia" w:ascii="Times New Roman" w:hAnsi="Times New Roman" w:eastAsiaTheme="minorEastAsia"/>
          <w:color w:val="auto"/>
          <w:w w:val="99"/>
          <w:highlight w:val="none"/>
          <w:lang w:eastAsia="zh-CN"/>
        </w:rPr>
        <w:t>、少量永久基本农田</w:t>
      </w:r>
      <w:r>
        <w:rPr>
          <w:rFonts w:ascii="Times New Roman" w:hAnsi="Times New Roman" w:eastAsiaTheme="minorEastAsia"/>
          <w:color w:val="auto"/>
          <w:w w:val="99"/>
          <w:highlight w:val="none"/>
        </w:rPr>
        <w:t>）；根据《大庆市水土保持规划》（2015～2030年），</w:t>
      </w:r>
      <w:r>
        <w:rPr>
          <w:rFonts w:ascii="Times New Roman" w:hAnsi="Times New Roman"/>
          <w:color w:val="auto"/>
          <w:w w:val="99"/>
          <w:highlight w:val="none"/>
          <w:lang w:val="en"/>
        </w:rPr>
        <w:t>大庆市划定了市级水土流失重点预防区和重点治理区，本项目拟钻油井位于大庆市</w:t>
      </w:r>
      <w:r>
        <w:rPr>
          <w:rFonts w:hint="eastAsia" w:ascii="Times New Roman" w:hAnsi="Times New Roman"/>
          <w:color w:val="auto"/>
          <w:w w:val="99"/>
          <w:highlight w:val="none"/>
          <w:lang w:val="en" w:eastAsia="zh-CN"/>
        </w:rPr>
        <w:t>肇源县古恰镇境内</w:t>
      </w:r>
      <w:r>
        <w:rPr>
          <w:rFonts w:ascii="Times New Roman" w:hAnsi="Times New Roman"/>
          <w:color w:val="auto"/>
          <w:w w:val="99"/>
          <w:highlight w:val="none"/>
          <w:lang w:val="en"/>
        </w:rPr>
        <w:t>，</w:t>
      </w:r>
      <w:r>
        <w:rPr>
          <w:rFonts w:hint="eastAsia" w:ascii="Times New Roman" w:hAnsi="Times New Roman"/>
          <w:color w:val="auto"/>
          <w:w w:val="99"/>
          <w:highlight w:val="none"/>
          <w:lang w:val="en" w:eastAsia="zh-CN"/>
        </w:rPr>
        <w:t>不</w:t>
      </w:r>
      <w:r>
        <w:rPr>
          <w:rFonts w:ascii="Times New Roman" w:hAnsi="Times New Roman"/>
          <w:color w:val="auto"/>
          <w:w w:val="99"/>
          <w:highlight w:val="none"/>
          <w:lang w:val="en"/>
        </w:rPr>
        <w:t>属于市级水土流失重点预防区和重点治理区</w:t>
      </w:r>
      <w:r>
        <w:rPr>
          <w:rFonts w:ascii="Times New Roman" w:hAnsi="Times New Roman" w:eastAsiaTheme="minorEastAsia"/>
          <w:color w:val="auto"/>
          <w:w w:val="99"/>
          <w:highlight w:val="none"/>
          <w:lang w:val="en"/>
        </w:rPr>
        <w:t>。</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根据《建设项目环境影响评价分类管理名录（2021年版）》（部令第16号），本项目属于第五项石油和天然气开采业“陆地石油开采 0711”，且本项目拟钻井场</w:t>
      </w:r>
      <w:r>
        <w:rPr>
          <w:rFonts w:hint="eastAsia" w:ascii="Times New Roman" w:hAnsi="Times New Roman" w:eastAsiaTheme="minorEastAsia"/>
          <w:color w:val="auto"/>
          <w:w w:val="99"/>
          <w:highlight w:val="none"/>
          <w:lang w:eastAsia="zh-CN"/>
        </w:rPr>
        <w:t>占用永久基本农田</w:t>
      </w:r>
      <w:r>
        <w:rPr>
          <w:rFonts w:ascii="Times New Roman" w:hAnsi="Times New Roman" w:eastAsiaTheme="minorEastAsia"/>
          <w:color w:val="auto"/>
          <w:w w:val="99"/>
          <w:highlight w:val="none"/>
        </w:rPr>
        <w:t>，</w:t>
      </w:r>
      <w:r>
        <w:rPr>
          <w:rFonts w:hint="eastAsia" w:ascii="Times New Roman" w:hAnsi="Times New Roman" w:eastAsiaTheme="minorEastAsia"/>
          <w:color w:val="auto"/>
          <w:w w:val="99"/>
          <w:highlight w:val="none"/>
          <w:lang w:eastAsia="zh-CN"/>
        </w:rPr>
        <w:t>永久基本农田属于</w:t>
      </w:r>
      <w:r>
        <w:rPr>
          <w:rFonts w:ascii="Times New Roman" w:hAnsi="Times New Roman" w:eastAsiaTheme="minorEastAsia"/>
          <w:color w:val="auto"/>
          <w:w w:val="99"/>
          <w:highlight w:val="none"/>
        </w:rPr>
        <w:t>环境敏感区</w:t>
      </w:r>
      <w:r>
        <w:rPr>
          <w:rFonts w:hint="eastAsia" w:ascii="Times New Roman" w:hAnsi="Times New Roman" w:eastAsiaTheme="minorEastAsia"/>
          <w:color w:val="auto"/>
          <w:w w:val="99"/>
          <w:highlight w:val="none"/>
          <w:lang w:eastAsia="zh-CN"/>
        </w:rPr>
        <w:t>，</w:t>
      </w:r>
      <w:r>
        <w:rPr>
          <w:rFonts w:ascii="Times New Roman" w:hAnsi="Times New Roman" w:eastAsiaTheme="minorEastAsia"/>
          <w:color w:val="auto"/>
          <w:w w:val="99"/>
          <w:highlight w:val="none"/>
        </w:rPr>
        <w:t>不涉及名录第三条中的除</w:t>
      </w:r>
      <w:r>
        <w:rPr>
          <w:rFonts w:hint="eastAsia" w:ascii="Times New Roman" w:hAnsi="Times New Roman" w:eastAsiaTheme="minorEastAsia"/>
          <w:color w:val="auto"/>
          <w:w w:val="99"/>
          <w:highlight w:val="none"/>
          <w:lang w:val="en" w:eastAsia="zh-CN"/>
        </w:rPr>
        <w:t>永久基本农田</w:t>
      </w:r>
      <w:r>
        <w:rPr>
          <w:rFonts w:ascii="Times New Roman" w:hAnsi="Times New Roman" w:eastAsiaTheme="minorEastAsia"/>
          <w:color w:val="auto"/>
          <w:w w:val="99"/>
          <w:highlight w:val="none"/>
        </w:rPr>
        <w:t>外的其它依法设立的各级各类保护区域和对建设项目产生的环境影响特别敏感的区域，应编制环境影响报告书。</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根据2017年7月16日《国务院关于修改〈建设项目环境保护管理条例〉的决定》（中华人民共和国国务院令第682号）、《中华人民共和国环境影响评价法》、《建设项目环境影响评价分类管理名录》（生态环境部部令第16号）及《关于进一步加强石油天然气行业环境影响评价管理的通知》（环办环评函[2019]910号）等法律法规，为保证建设项目与环境保护协调发展，从环境保护角度评价建设项目的可行性，大庆油田有限责任公司</w:t>
      </w:r>
      <w:r>
        <w:rPr>
          <w:rFonts w:hint="eastAsia" w:ascii="Times New Roman" w:hAnsi="Times New Roman" w:eastAsiaTheme="minorEastAsia"/>
          <w:color w:val="auto"/>
          <w:w w:val="99"/>
          <w:highlight w:val="none"/>
        </w:rPr>
        <w:t>第十采油厂</w:t>
      </w:r>
      <w:r>
        <w:rPr>
          <w:rFonts w:ascii="Times New Roman" w:hAnsi="Times New Roman" w:eastAsiaTheme="minorEastAsia"/>
          <w:color w:val="auto"/>
          <w:w w:val="99"/>
          <w:highlight w:val="none"/>
        </w:rPr>
        <w:t>委托</w:t>
      </w:r>
      <w:r>
        <w:rPr>
          <w:rFonts w:hint="eastAsia" w:ascii="Times New Roman" w:hAnsi="Times New Roman" w:eastAsiaTheme="minorEastAsia"/>
          <w:color w:val="auto"/>
          <w:w w:val="99"/>
          <w:highlight w:val="none"/>
        </w:rPr>
        <w:t>河北奇正环境科技有限公</w:t>
      </w:r>
      <w:r>
        <w:rPr>
          <w:rFonts w:ascii="Times New Roman" w:hAnsi="Times New Roman" w:eastAsiaTheme="minorEastAsia"/>
          <w:color w:val="auto"/>
          <w:w w:val="99"/>
          <w:highlight w:val="none"/>
        </w:rPr>
        <w:t>司编制环境影响报告书。</w:t>
      </w:r>
    </w:p>
    <w:p>
      <w:pPr>
        <w:pStyle w:val="5"/>
        <w:keepNext w:val="0"/>
        <w:keepLines w:val="0"/>
        <w:widowControl w:val="0"/>
        <w:spacing w:before="120" w:after="120"/>
        <w:jc w:val="both"/>
        <w:rPr>
          <w:rFonts w:ascii="Times New Roman" w:hAnsi="Times New Roman"/>
          <w:b/>
          <w:snapToGrid w:val="0"/>
          <w:color w:val="auto"/>
          <w:w w:val="99"/>
          <w:highlight w:val="none"/>
        </w:rPr>
      </w:pPr>
      <w:bookmarkStart w:id="5" w:name="_Toc502736431"/>
      <w:bookmarkStart w:id="6" w:name="_Toc80105090"/>
      <w:r>
        <w:rPr>
          <w:rFonts w:ascii="Times New Roman" w:hAnsi="Times New Roman"/>
          <w:b/>
          <w:snapToGrid w:val="0"/>
          <w:color w:val="auto"/>
          <w:w w:val="99"/>
          <w:highlight w:val="none"/>
        </w:rPr>
        <w:t>1.2项目特点</w:t>
      </w:r>
      <w:bookmarkEnd w:id="5"/>
      <w:bookmarkEnd w:id="6"/>
    </w:p>
    <w:p>
      <w:pPr>
        <w:pStyle w:val="7"/>
        <w:widowControl w:val="0"/>
        <w:spacing w:before="60" w:after="60"/>
        <w:jc w:val="both"/>
        <w:rPr>
          <w:b/>
          <w:color w:val="auto"/>
          <w:w w:val="99"/>
          <w:kern w:val="2"/>
          <w:sz w:val="24"/>
          <w:szCs w:val="24"/>
          <w:highlight w:val="none"/>
        </w:rPr>
      </w:pPr>
      <w:bookmarkStart w:id="7" w:name="_Toc80105091"/>
      <w:bookmarkStart w:id="8" w:name="_Toc77667235"/>
      <w:bookmarkStart w:id="9" w:name="_Toc71371891"/>
      <w:bookmarkStart w:id="10" w:name="_Toc74812262"/>
      <w:bookmarkStart w:id="11" w:name="_Toc69690759"/>
      <w:bookmarkStart w:id="12" w:name="_Toc67523541"/>
      <w:bookmarkStart w:id="13" w:name="_Toc22290"/>
      <w:r>
        <w:rPr>
          <w:b/>
          <w:color w:val="auto"/>
          <w:w w:val="99"/>
          <w:kern w:val="2"/>
          <w:sz w:val="24"/>
          <w:szCs w:val="24"/>
          <w:highlight w:val="none"/>
        </w:rPr>
        <w:t>1.2.1项目选址</w:t>
      </w:r>
      <w:bookmarkEnd w:id="7"/>
      <w:bookmarkEnd w:id="8"/>
      <w:bookmarkEnd w:id="9"/>
      <w:bookmarkEnd w:id="10"/>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本项目选址位于大庆市</w:t>
      </w:r>
      <w:r>
        <w:rPr>
          <w:rFonts w:hint="eastAsia" w:ascii="Times New Roman" w:hAnsi="Times New Roman" w:eastAsiaTheme="minorEastAsia"/>
          <w:color w:val="auto"/>
          <w:w w:val="99"/>
          <w:highlight w:val="none"/>
          <w:lang w:eastAsia="zh-CN"/>
        </w:rPr>
        <w:t>肇源县</w:t>
      </w:r>
      <w:r>
        <w:rPr>
          <w:rFonts w:hint="eastAsia" w:ascii="Times New Roman" w:hAnsi="Times New Roman" w:eastAsiaTheme="minorEastAsia"/>
          <w:color w:val="auto"/>
          <w:w w:val="99"/>
          <w:highlight w:val="none"/>
        </w:rPr>
        <w:t>境内</w:t>
      </w:r>
      <w:r>
        <w:rPr>
          <w:rFonts w:ascii="Times New Roman" w:hAnsi="Times New Roman" w:eastAsiaTheme="minorEastAsia"/>
          <w:color w:val="auto"/>
          <w:w w:val="99"/>
          <w:highlight w:val="none"/>
        </w:rPr>
        <w:t>，区域内以耕地为主，项目周边分布有</w:t>
      </w:r>
      <w:r>
        <w:rPr>
          <w:rFonts w:hint="eastAsia" w:ascii="Times New Roman" w:hAnsi="Times New Roman" w:eastAsiaTheme="minorEastAsia"/>
          <w:color w:val="auto"/>
          <w:w w:val="99"/>
          <w:highlight w:val="none"/>
        </w:rPr>
        <w:t>厢房屯、三家子村、</w:t>
      </w:r>
      <w:r>
        <w:rPr>
          <w:rFonts w:hint="eastAsia" w:ascii="Times New Roman" w:hAnsi="Times New Roman" w:eastAsiaTheme="minorEastAsia"/>
          <w:color w:val="auto"/>
          <w:w w:val="99"/>
          <w:highlight w:val="none"/>
          <w:lang w:eastAsia="zh-CN"/>
        </w:rPr>
        <w:t>三胜村、</w:t>
      </w:r>
      <w:r>
        <w:rPr>
          <w:rFonts w:hint="eastAsia" w:ascii="Times New Roman" w:hAnsi="Times New Roman" w:eastAsiaTheme="minorEastAsia"/>
          <w:color w:val="auto"/>
          <w:w w:val="99"/>
          <w:highlight w:val="none"/>
        </w:rPr>
        <w:t>后永利村、</w:t>
      </w:r>
      <w:r>
        <w:rPr>
          <w:rFonts w:hint="eastAsia" w:ascii="Times New Roman" w:hAnsi="Times New Roman" w:eastAsiaTheme="minorEastAsia"/>
          <w:color w:val="auto"/>
          <w:w w:val="99"/>
          <w:highlight w:val="none"/>
          <w:lang w:eastAsia="zh-CN"/>
        </w:rPr>
        <w:t>仓粮村、后仓粮</w:t>
      </w:r>
      <w:r>
        <w:rPr>
          <w:rFonts w:ascii="Times New Roman" w:hAnsi="Times New Roman" w:eastAsiaTheme="minorEastAsia"/>
          <w:color w:val="auto"/>
          <w:w w:val="99"/>
          <w:highlight w:val="none"/>
        </w:rPr>
        <w:t>等村屯。本工程未在自然保护区、风景名胜区等环境敏感区域内，也不涉及生态保护红线管控范围，区域周边的地表水体为</w:t>
      </w:r>
      <w:r>
        <w:rPr>
          <w:rFonts w:hint="eastAsia" w:ascii="Times New Roman" w:hAnsi="Times New Roman" w:eastAsiaTheme="minorEastAsia"/>
          <w:color w:val="auto"/>
          <w:w w:val="99"/>
          <w:kern w:val="21"/>
          <w:szCs w:val="20"/>
          <w:highlight w:val="none"/>
        </w:rPr>
        <w:t>安肇新河</w:t>
      </w:r>
      <w:r>
        <w:rPr>
          <w:rFonts w:ascii="Times New Roman" w:hAnsi="Times New Roman" w:eastAsiaTheme="minorEastAsia"/>
          <w:color w:val="auto"/>
          <w:w w:val="99"/>
          <w:highlight w:val="none"/>
        </w:rPr>
        <w:t>。本工程占地类型均为耕地（</w:t>
      </w:r>
      <w:r>
        <w:rPr>
          <w:rFonts w:hint="eastAsia" w:ascii="Times New Roman" w:hAnsi="Times New Roman" w:eastAsiaTheme="minorEastAsia"/>
          <w:color w:val="auto"/>
          <w:w w:val="99"/>
          <w:highlight w:val="none"/>
          <w:lang w:eastAsia="zh-CN"/>
        </w:rPr>
        <w:t>非</w:t>
      </w:r>
      <w:r>
        <w:rPr>
          <w:rFonts w:ascii="Times New Roman" w:hAnsi="Times New Roman" w:eastAsiaTheme="minorEastAsia"/>
          <w:color w:val="auto"/>
          <w:w w:val="99"/>
          <w:highlight w:val="none"/>
        </w:rPr>
        <w:t>基本农田</w:t>
      </w:r>
      <w:r>
        <w:rPr>
          <w:rFonts w:hint="eastAsia" w:ascii="Times New Roman" w:hAnsi="Times New Roman" w:eastAsiaTheme="minorEastAsia"/>
          <w:color w:val="auto"/>
          <w:w w:val="99"/>
          <w:highlight w:val="none"/>
          <w:lang w:eastAsia="zh-CN"/>
        </w:rPr>
        <w:t>、少量永久基本农田</w:t>
      </w:r>
      <w:r>
        <w:rPr>
          <w:rFonts w:ascii="Times New Roman" w:hAnsi="Times New Roman" w:eastAsiaTheme="minorEastAsia"/>
          <w:color w:val="auto"/>
          <w:w w:val="99"/>
          <w:highlight w:val="none"/>
        </w:rPr>
        <w:t>），总占地面积</w:t>
      </w:r>
      <w:r>
        <w:rPr>
          <w:rFonts w:hint="eastAsia" w:ascii="Times New Roman" w:hAnsi="Times New Roman" w:eastAsiaTheme="minorEastAsia"/>
          <w:color w:val="auto"/>
          <w:w w:val="99"/>
          <w:highlight w:val="none"/>
          <w:lang w:val="en-US" w:eastAsia="zh-CN"/>
        </w:rPr>
        <w:t>29.04</w:t>
      </w:r>
      <w:r>
        <w:rPr>
          <w:rFonts w:ascii="Times New Roman" w:hAnsi="Times New Roman" w:eastAsiaTheme="minorEastAsia"/>
          <w:color w:val="auto"/>
          <w:w w:val="99"/>
          <w:highlight w:val="none"/>
        </w:rPr>
        <w:t>hm</w:t>
      </w:r>
      <w:r>
        <w:rPr>
          <w:rFonts w:ascii="Times New Roman" w:hAnsi="Times New Roman" w:eastAsiaTheme="minorEastAsia"/>
          <w:color w:val="auto"/>
          <w:w w:val="99"/>
          <w:highlight w:val="none"/>
          <w:vertAlign w:val="superscript"/>
        </w:rPr>
        <w:t>2</w:t>
      </w:r>
      <w:r>
        <w:rPr>
          <w:rFonts w:ascii="Times New Roman" w:hAnsi="Times New Roman" w:eastAsiaTheme="minorEastAsia"/>
          <w:color w:val="auto"/>
          <w:w w:val="99"/>
          <w:highlight w:val="none"/>
        </w:rPr>
        <w:t>，其中永久占地</w:t>
      </w:r>
      <w:r>
        <w:rPr>
          <w:rFonts w:hint="eastAsia" w:ascii="Times New Roman" w:hAnsi="Times New Roman" w:eastAsiaTheme="minorEastAsia"/>
          <w:color w:val="auto"/>
          <w:w w:val="99"/>
          <w:highlight w:val="none"/>
          <w:lang w:val="en-US" w:eastAsia="zh-CN"/>
        </w:rPr>
        <w:t>6.16</w:t>
      </w:r>
      <w:r>
        <w:rPr>
          <w:rFonts w:ascii="Times New Roman" w:hAnsi="Times New Roman" w:eastAsiaTheme="minorEastAsia"/>
          <w:color w:val="auto"/>
          <w:w w:val="99"/>
          <w:highlight w:val="none"/>
        </w:rPr>
        <w:t>hm</w:t>
      </w:r>
      <w:r>
        <w:rPr>
          <w:rFonts w:ascii="Times New Roman" w:hAnsi="Times New Roman" w:eastAsiaTheme="minorEastAsia"/>
          <w:color w:val="auto"/>
          <w:w w:val="99"/>
          <w:highlight w:val="none"/>
          <w:vertAlign w:val="superscript"/>
        </w:rPr>
        <w:t>2</w:t>
      </w:r>
      <w:r>
        <w:rPr>
          <w:rFonts w:ascii="Times New Roman" w:hAnsi="Times New Roman" w:eastAsiaTheme="minorEastAsia"/>
          <w:color w:val="auto"/>
          <w:w w:val="99"/>
          <w:highlight w:val="none"/>
        </w:rPr>
        <w:t>，临时占地</w:t>
      </w:r>
      <w:r>
        <w:rPr>
          <w:rFonts w:hint="eastAsia" w:ascii="Times New Roman" w:hAnsi="Times New Roman" w:eastAsiaTheme="minorEastAsia"/>
          <w:color w:val="auto"/>
          <w:w w:val="99"/>
          <w:highlight w:val="none"/>
          <w:lang w:val="en-US" w:eastAsia="zh-CN"/>
        </w:rPr>
        <w:t>22.88</w:t>
      </w:r>
      <w:r>
        <w:rPr>
          <w:rFonts w:hint="eastAsia" w:ascii="Times New Roman" w:hAnsi="Times New Roman" w:eastAsiaTheme="minorEastAsia"/>
          <w:color w:val="auto"/>
          <w:w w:val="99"/>
          <w:highlight w:val="none"/>
        </w:rPr>
        <w:t>hm</w:t>
      </w:r>
      <w:r>
        <w:rPr>
          <w:rFonts w:hint="eastAsia" w:ascii="Times New Roman" w:hAnsi="Times New Roman" w:eastAsiaTheme="minorEastAsia"/>
          <w:color w:val="auto"/>
          <w:w w:val="99"/>
          <w:highlight w:val="none"/>
          <w:vertAlign w:val="superscript"/>
        </w:rPr>
        <w:t>2</w:t>
      </w:r>
      <w:r>
        <w:rPr>
          <w:rFonts w:ascii="Times New Roman" w:hAnsi="Times New Roman" w:eastAsiaTheme="minorEastAsia"/>
          <w:color w:val="auto"/>
          <w:w w:val="99"/>
          <w:highlight w:val="none"/>
        </w:rPr>
        <w:t>。工程总投资</w:t>
      </w:r>
      <w:r>
        <w:rPr>
          <w:rFonts w:hint="eastAsia" w:ascii="Times New Roman" w:hAnsi="Times New Roman" w:eastAsiaTheme="minorEastAsia"/>
          <w:color w:val="auto"/>
          <w:w w:val="99"/>
          <w:highlight w:val="none"/>
          <w:lang w:eastAsia="zh-CN"/>
        </w:rPr>
        <w:t>25746.31万元</w:t>
      </w:r>
      <w:r>
        <w:rPr>
          <w:rFonts w:ascii="Times New Roman" w:hAnsi="Times New Roman" w:eastAsiaTheme="minorEastAsia"/>
          <w:color w:val="auto"/>
          <w:w w:val="99"/>
          <w:highlight w:val="none"/>
        </w:rPr>
        <w:t>。</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根据《大庆市水土保持规划》（2015～2030年），</w:t>
      </w:r>
      <w:r>
        <w:rPr>
          <w:rFonts w:ascii="Times New Roman" w:hAnsi="Times New Roman"/>
          <w:color w:val="auto"/>
          <w:w w:val="99"/>
          <w:highlight w:val="none"/>
          <w:lang w:val="en"/>
        </w:rPr>
        <w:t>大庆市划定了市级水土流失重点预防区和重点治理区，本项目拟钻油井位于</w:t>
      </w:r>
      <w:r>
        <w:rPr>
          <w:rFonts w:hint="eastAsia" w:ascii="Times New Roman" w:hAnsi="Times New Roman"/>
          <w:color w:val="auto"/>
          <w:w w:val="99"/>
          <w:highlight w:val="none"/>
          <w:lang w:val="en"/>
        </w:rPr>
        <w:t>大庆市</w:t>
      </w:r>
      <w:r>
        <w:rPr>
          <w:rFonts w:hint="eastAsia" w:ascii="Times New Roman" w:hAnsi="Times New Roman"/>
          <w:color w:val="auto"/>
          <w:w w:val="99"/>
          <w:highlight w:val="none"/>
          <w:lang w:val="en" w:eastAsia="zh-CN"/>
        </w:rPr>
        <w:t>肇源县</w:t>
      </w:r>
      <w:r>
        <w:rPr>
          <w:rFonts w:ascii="Times New Roman" w:hAnsi="Times New Roman"/>
          <w:color w:val="auto"/>
          <w:w w:val="99"/>
          <w:highlight w:val="none"/>
          <w:lang w:val="en"/>
        </w:rPr>
        <w:t>，</w:t>
      </w:r>
      <w:r>
        <w:rPr>
          <w:rFonts w:hint="eastAsia" w:ascii="Times New Roman" w:hAnsi="Times New Roman"/>
          <w:color w:val="auto"/>
          <w:w w:val="99"/>
          <w:highlight w:val="none"/>
          <w:lang w:val="en" w:eastAsia="zh-CN"/>
        </w:rPr>
        <w:t>不</w:t>
      </w:r>
      <w:r>
        <w:rPr>
          <w:rFonts w:ascii="Times New Roman" w:hAnsi="Times New Roman"/>
          <w:color w:val="auto"/>
          <w:w w:val="99"/>
          <w:highlight w:val="none"/>
          <w:lang w:val="en"/>
        </w:rPr>
        <w:t>属于市级水土流失重点预防区和重点治理区</w:t>
      </w:r>
      <w:r>
        <w:rPr>
          <w:rFonts w:ascii="Times New Roman" w:hAnsi="Times New Roman" w:eastAsiaTheme="minorEastAsia"/>
          <w:color w:val="auto"/>
          <w:w w:val="99"/>
          <w:highlight w:val="none"/>
          <w:lang w:val="en"/>
        </w:rPr>
        <w:t>。</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kern w:val="2"/>
          <w:szCs w:val="28"/>
          <w:highlight w:val="none"/>
        </w:rPr>
        <w:t>根据黑龙江省防沙治沙工作领导小组《关于印发&lt;关于贯彻落实《沙化土地封禁保护修复制度方案》的实施意见&gt;的通知》，</w:t>
      </w:r>
      <w:r>
        <w:rPr>
          <w:rFonts w:hint="eastAsia" w:ascii="Times New Roman" w:hAnsi="Times New Roman" w:eastAsiaTheme="minorEastAsia"/>
          <w:color w:val="auto"/>
          <w:w w:val="99"/>
          <w:kern w:val="2"/>
          <w:szCs w:val="28"/>
          <w:highlight w:val="none"/>
          <w:lang w:eastAsia="zh-CN"/>
        </w:rPr>
        <w:t>肇源县</w:t>
      </w:r>
      <w:r>
        <w:rPr>
          <w:rFonts w:ascii="Times New Roman" w:hAnsi="Times New Roman" w:eastAsiaTheme="minorEastAsia"/>
          <w:color w:val="auto"/>
          <w:w w:val="99"/>
          <w:kern w:val="2"/>
          <w:szCs w:val="28"/>
          <w:highlight w:val="none"/>
        </w:rPr>
        <w:t>属于沙化土地所在县（区），当重点增加、恢复和保护林草植被，治理土地沙化和草原退化、沙化、碱化。</w:t>
      </w:r>
    </w:p>
    <w:p>
      <w:pPr>
        <w:pStyle w:val="7"/>
        <w:widowControl w:val="0"/>
        <w:spacing w:before="60" w:after="60"/>
        <w:jc w:val="both"/>
        <w:rPr>
          <w:b/>
          <w:color w:val="auto"/>
          <w:w w:val="99"/>
          <w:kern w:val="2"/>
          <w:sz w:val="24"/>
          <w:szCs w:val="24"/>
          <w:highlight w:val="none"/>
        </w:rPr>
      </w:pPr>
      <w:bookmarkStart w:id="14" w:name="_Toc71371892"/>
      <w:bookmarkStart w:id="15" w:name="_Toc77667236"/>
      <w:bookmarkStart w:id="16" w:name="_Toc74812263"/>
      <w:bookmarkStart w:id="17" w:name="_Toc80105092"/>
      <w:r>
        <w:rPr>
          <w:b/>
          <w:color w:val="auto"/>
          <w:w w:val="99"/>
          <w:kern w:val="2"/>
          <w:sz w:val="24"/>
          <w:szCs w:val="24"/>
          <w:highlight w:val="none"/>
        </w:rPr>
        <w:t>1.2.2钻井工艺特点</w:t>
      </w:r>
      <w:bookmarkEnd w:id="11"/>
      <w:bookmarkEnd w:id="12"/>
      <w:bookmarkEnd w:id="14"/>
      <w:bookmarkEnd w:id="15"/>
      <w:bookmarkEnd w:id="16"/>
      <w:bookmarkEnd w:id="17"/>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bCs/>
          <w:snapToGrid w:val="0"/>
          <w:color w:val="auto"/>
          <w:w w:val="99"/>
          <w:highlight w:val="none"/>
        </w:rPr>
        <w:t>本项目新钻油井</w:t>
      </w:r>
      <w:r>
        <w:rPr>
          <w:rFonts w:hint="eastAsia" w:ascii="Times New Roman" w:hAnsi="Times New Roman" w:eastAsiaTheme="minorEastAsia"/>
          <w:bCs/>
          <w:snapToGrid w:val="0"/>
          <w:color w:val="auto"/>
          <w:w w:val="99"/>
          <w:highlight w:val="none"/>
          <w:lang w:val="en-US" w:eastAsia="zh-CN"/>
        </w:rPr>
        <w:t>44</w:t>
      </w:r>
      <w:r>
        <w:rPr>
          <w:rFonts w:hint="eastAsia" w:ascii="Times New Roman" w:hAnsi="Times New Roman" w:eastAsiaTheme="minorEastAsia"/>
          <w:bCs/>
          <w:snapToGrid w:val="0"/>
          <w:color w:val="auto"/>
          <w:w w:val="99"/>
          <w:highlight w:val="none"/>
        </w:rPr>
        <w:t>口，包括包括首钻井2口、</w:t>
      </w:r>
      <w:r>
        <w:rPr>
          <w:rFonts w:hint="eastAsia" w:ascii="Times New Roman" w:hAnsi="Times New Roman" w:eastAsiaTheme="minorEastAsia"/>
          <w:bCs/>
          <w:snapToGrid w:val="0"/>
          <w:color w:val="auto"/>
          <w:w w:val="99"/>
          <w:highlight w:val="none"/>
          <w:lang w:eastAsia="zh-CN"/>
        </w:rPr>
        <w:t>正常井</w:t>
      </w:r>
      <w:r>
        <w:rPr>
          <w:rFonts w:hint="eastAsia" w:ascii="Times New Roman" w:hAnsi="Times New Roman" w:eastAsiaTheme="minorEastAsia"/>
          <w:bCs/>
          <w:snapToGrid w:val="0"/>
          <w:color w:val="auto"/>
          <w:w w:val="99"/>
          <w:highlight w:val="none"/>
          <w:lang w:val="en-US" w:eastAsia="zh-CN"/>
        </w:rPr>
        <w:t>31</w:t>
      </w:r>
      <w:r>
        <w:rPr>
          <w:rFonts w:hint="eastAsia" w:ascii="Times New Roman" w:hAnsi="Times New Roman" w:eastAsiaTheme="minorEastAsia"/>
          <w:bCs/>
          <w:snapToGrid w:val="0"/>
          <w:color w:val="auto"/>
          <w:w w:val="99"/>
          <w:highlight w:val="none"/>
          <w:lang w:eastAsia="zh-CN"/>
        </w:rPr>
        <w:t>口</w:t>
      </w:r>
      <w:r>
        <w:rPr>
          <w:rFonts w:hint="eastAsia" w:ascii="Times New Roman" w:hAnsi="Times New Roman" w:eastAsiaTheme="minorEastAsia"/>
          <w:bCs/>
          <w:snapToGrid w:val="0"/>
          <w:color w:val="auto"/>
          <w:w w:val="99"/>
          <w:highlight w:val="none"/>
        </w:rPr>
        <w:t>、缓钻井11口</w:t>
      </w:r>
      <w:r>
        <w:rPr>
          <w:rFonts w:ascii="Times New Roman" w:hAnsi="Times New Roman" w:eastAsiaTheme="minorEastAsia"/>
          <w:bCs/>
          <w:snapToGrid w:val="0"/>
          <w:color w:val="auto"/>
          <w:w w:val="99"/>
          <w:highlight w:val="none"/>
        </w:rPr>
        <w:t>，</w:t>
      </w:r>
      <w:r>
        <w:rPr>
          <w:rFonts w:hint="eastAsia" w:ascii="Times New Roman" w:hAnsi="Times New Roman" w:eastAsiaTheme="minorEastAsia"/>
          <w:bCs/>
          <w:snapToGrid w:val="0"/>
          <w:color w:val="auto"/>
          <w:w w:val="99"/>
          <w:highlight w:val="none"/>
        </w:rPr>
        <w:t>均为单井</w:t>
      </w:r>
      <w:r>
        <w:rPr>
          <w:rFonts w:ascii="Times New Roman" w:hAnsi="Times New Roman" w:eastAsiaTheme="minorEastAsia"/>
          <w:bCs/>
          <w:snapToGrid w:val="0"/>
          <w:color w:val="auto"/>
          <w:w w:val="99"/>
          <w:highlight w:val="none"/>
        </w:rPr>
        <w:t>，</w:t>
      </w:r>
      <w:r>
        <w:rPr>
          <w:rFonts w:hint="eastAsia" w:ascii="Times New Roman" w:hAnsi="Times New Roman" w:eastAsiaTheme="minorEastAsia"/>
          <w:bCs/>
          <w:snapToGrid w:val="0"/>
          <w:color w:val="auto"/>
          <w:w w:val="99"/>
          <w:highlight w:val="none"/>
        </w:rPr>
        <w:t>单井完钻井深为</w:t>
      </w:r>
      <w:r>
        <w:rPr>
          <w:rFonts w:hint="eastAsia" w:ascii="Times New Roman" w:hAnsi="Times New Roman" w:eastAsiaTheme="minorEastAsia"/>
          <w:bCs/>
          <w:snapToGrid w:val="0"/>
          <w:color w:val="auto"/>
          <w:w w:val="99"/>
          <w:highlight w:val="none"/>
          <w:lang w:eastAsia="zh-CN"/>
        </w:rPr>
        <w:t>1689-1867m</w:t>
      </w:r>
      <w:r>
        <w:rPr>
          <w:rFonts w:hint="eastAsia" w:ascii="Times New Roman" w:hAnsi="Times New Roman" w:eastAsiaTheme="minorEastAsia"/>
          <w:bCs/>
          <w:snapToGrid w:val="0"/>
          <w:color w:val="auto"/>
          <w:w w:val="99"/>
          <w:highlight w:val="none"/>
        </w:rPr>
        <w:t>，</w:t>
      </w:r>
      <w:r>
        <w:rPr>
          <w:rFonts w:ascii="Times New Roman" w:hAnsi="Times New Roman" w:eastAsiaTheme="minorEastAsia"/>
          <w:bCs/>
          <w:snapToGrid w:val="0"/>
          <w:color w:val="auto"/>
          <w:w w:val="99"/>
          <w:highlight w:val="none"/>
        </w:rPr>
        <w:t>总进尺</w:t>
      </w:r>
      <w:r>
        <w:rPr>
          <w:rFonts w:hint="eastAsia" w:ascii="Times New Roman" w:hAnsi="Times New Roman" w:eastAsiaTheme="minorEastAsia"/>
          <w:bCs/>
          <w:snapToGrid w:val="0"/>
          <w:color w:val="auto"/>
          <w:w w:val="99"/>
          <w:highlight w:val="none"/>
          <w:lang w:val="en-US" w:eastAsia="zh-CN"/>
        </w:rPr>
        <w:t>79111</w:t>
      </w:r>
      <w:r>
        <w:rPr>
          <w:rFonts w:hint="eastAsia" w:ascii="Times New Roman" w:hAnsi="Times New Roman" w:eastAsiaTheme="minorEastAsia"/>
          <w:bCs/>
          <w:snapToGrid w:val="0"/>
          <w:color w:val="auto"/>
          <w:w w:val="99"/>
          <w:highlight w:val="none"/>
          <w:lang w:eastAsia="zh-CN"/>
        </w:rPr>
        <w:t>m</w:t>
      </w:r>
      <w:r>
        <w:rPr>
          <w:rFonts w:ascii="Times New Roman" w:hAnsi="Times New Roman" w:eastAsiaTheme="minorEastAsia"/>
          <w:bCs/>
          <w:snapToGrid w:val="0"/>
          <w:color w:val="auto"/>
          <w:w w:val="99"/>
          <w:highlight w:val="none"/>
        </w:rPr>
        <w:t>，施工期占地性质为耕地（</w:t>
      </w:r>
      <w:r>
        <w:rPr>
          <w:rFonts w:hint="eastAsia" w:ascii="Times New Roman" w:hAnsi="Times New Roman" w:eastAsiaTheme="minorEastAsia"/>
          <w:bCs/>
          <w:snapToGrid w:val="0"/>
          <w:color w:val="auto"/>
          <w:w w:val="99"/>
          <w:highlight w:val="none"/>
          <w:lang w:eastAsia="zh-CN"/>
        </w:rPr>
        <w:t>非</w:t>
      </w:r>
      <w:r>
        <w:rPr>
          <w:rFonts w:ascii="Times New Roman" w:hAnsi="Times New Roman" w:eastAsiaTheme="minorEastAsia"/>
          <w:bCs/>
          <w:snapToGrid w:val="0"/>
          <w:color w:val="auto"/>
          <w:w w:val="99"/>
          <w:highlight w:val="none"/>
        </w:rPr>
        <w:t>基本农田</w:t>
      </w:r>
      <w:r>
        <w:rPr>
          <w:rFonts w:hint="eastAsia" w:ascii="Times New Roman" w:hAnsi="Times New Roman" w:eastAsiaTheme="minorEastAsia"/>
          <w:bCs/>
          <w:snapToGrid w:val="0"/>
          <w:color w:val="auto"/>
          <w:w w:val="99"/>
          <w:highlight w:val="none"/>
          <w:lang w:eastAsia="zh-CN"/>
        </w:rPr>
        <w:t>、少量永久基本农田</w:t>
      </w:r>
      <w:r>
        <w:rPr>
          <w:rFonts w:ascii="Times New Roman" w:hAnsi="Times New Roman" w:eastAsiaTheme="minorEastAsia"/>
          <w:bCs/>
          <w:snapToGrid w:val="0"/>
          <w:color w:val="auto"/>
          <w:w w:val="99"/>
          <w:highlight w:val="none"/>
        </w:rPr>
        <w:t>）</w:t>
      </w:r>
      <w:r>
        <w:rPr>
          <w:rFonts w:ascii="Times New Roman" w:hAnsi="Times New Roman" w:eastAsiaTheme="minorEastAsia"/>
          <w:color w:val="auto"/>
          <w:w w:val="99"/>
          <w:highlight w:val="none"/>
        </w:rPr>
        <w:t>。</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本项目为油田钻井工程，仅涉及施工期，钻井工艺主要包括</w:t>
      </w:r>
      <w:r>
        <w:rPr>
          <w:rFonts w:ascii="Times New Roman" w:hAnsi="Times New Roman" w:eastAsiaTheme="minorEastAsia"/>
          <w:color w:val="auto"/>
          <w:w w:val="99"/>
          <w:kern w:val="2"/>
          <w:szCs w:val="20"/>
          <w:highlight w:val="none"/>
        </w:rPr>
        <w:t>钻前准备、钻进、录井、测井、固井、射孔完井，本项目不涉及压裂工艺，压裂工艺、</w:t>
      </w:r>
      <w:r>
        <w:rPr>
          <w:rFonts w:ascii="Times New Roman" w:hAnsi="Times New Roman" w:eastAsiaTheme="minorEastAsia"/>
          <w:color w:val="auto"/>
          <w:w w:val="99"/>
          <w:highlight w:val="none"/>
        </w:rPr>
        <w:t>地面工程施工及运营期另做环评。</w:t>
      </w:r>
    </w:p>
    <w:p>
      <w:pPr>
        <w:pStyle w:val="7"/>
        <w:widowControl w:val="0"/>
        <w:spacing w:before="60" w:after="60"/>
        <w:jc w:val="both"/>
        <w:rPr>
          <w:b/>
          <w:color w:val="auto"/>
          <w:w w:val="99"/>
          <w:kern w:val="2"/>
          <w:sz w:val="24"/>
          <w:szCs w:val="24"/>
          <w:highlight w:val="none"/>
        </w:rPr>
      </w:pPr>
      <w:bookmarkStart w:id="18" w:name="_Toc77667237"/>
      <w:bookmarkStart w:id="19" w:name="_Toc71371893"/>
      <w:bookmarkStart w:id="20" w:name="_Toc69690760"/>
      <w:bookmarkStart w:id="21" w:name="_Toc80105093"/>
      <w:bookmarkStart w:id="22" w:name="_Toc67523542"/>
      <w:bookmarkStart w:id="23" w:name="_Toc74812264"/>
      <w:r>
        <w:rPr>
          <w:b/>
          <w:color w:val="auto"/>
          <w:w w:val="99"/>
          <w:kern w:val="2"/>
          <w:sz w:val="24"/>
          <w:szCs w:val="24"/>
          <w:highlight w:val="none"/>
        </w:rPr>
        <w:t>1.2.3排污特点</w:t>
      </w:r>
      <w:bookmarkEnd w:id="18"/>
      <w:bookmarkEnd w:id="19"/>
      <w:bookmarkEnd w:id="20"/>
      <w:bookmarkEnd w:id="21"/>
      <w:bookmarkEnd w:id="22"/>
      <w:bookmarkEnd w:id="23"/>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（1）本项目钻井施工过程中产生的废水主要为生活污水、钻井废水。生活污水</w:t>
      </w:r>
      <w:r>
        <w:rPr>
          <w:rFonts w:hint="eastAsia" w:ascii="Times New Roman" w:hAnsi="Times New Roman" w:eastAsiaTheme="minorEastAsia"/>
          <w:color w:val="auto"/>
          <w:w w:val="99"/>
          <w:highlight w:val="none"/>
        </w:rPr>
        <w:t>排入施工井场内临时设置的防渗旱厕，定期清掏外运堆肥处理，施工结束后进行卫生处理，场地进行平整</w:t>
      </w:r>
      <w:r>
        <w:rPr>
          <w:rFonts w:ascii="Times New Roman" w:hAnsi="Times New Roman" w:eastAsiaTheme="minorEastAsia"/>
          <w:color w:val="auto"/>
          <w:w w:val="99"/>
          <w:highlight w:val="none"/>
        </w:rPr>
        <w:t>；钻井废水</w:t>
      </w:r>
      <w:r>
        <w:rPr>
          <w:rFonts w:ascii="Times New Roman" w:hAnsi="Times New Roman" w:eastAsiaTheme="minorEastAsia"/>
          <w:bCs/>
          <w:color w:val="auto"/>
          <w:w w:val="99"/>
          <w:highlight w:val="none"/>
        </w:rPr>
        <w:t>排入井场钢制泥浆槽，及时拉运至</w:t>
      </w:r>
      <w:r>
        <w:rPr>
          <w:rFonts w:ascii="Times New Roman" w:hAnsi="Times New Roman" w:eastAsiaTheme="minorEastAsia"/>
          <w:color w:val="auto"/>
          <w:w w:val="99"/>
          <w:highlight w:val="none"/>
        </w:rPr>
        <w:t>大庆油田昆仑集团有限公司环保分公司</w:t>
      </w:r>
      <w:r>
        <w:rPr>
          <w:rFonts w:hint="eastAsia" w:ascii="Times New Roman" w:hAnsi="Times New Roman" w:eastAsiaTheme="minorEastAsia"/>
          <w:bCs/>
          <w:color w:val="auto"/>
          <w:w w:val="99"/>
          <w:highlight w:val="none"/>
        </w:rPr>
        <w:t>处理</w:t>
      </w:r>
      <w:r>
        <w:rPr>
          <w:rFonts w:hint="eastAsia" w:ascii="Times New Roman" w:hAnsi="Times New Roman" w:eastAsiaTheme="minorEastAsia"/>
          <w:bCs/>
          <w:color w:val="auto"/>
          <w:w w:val="99"/>
          <w:highlight w:val="none"/>
          <w:lang w:eastAsia="zh-CN"/>
        </w:rPr>
        <w:t>，</w:t>
      </w:r>
      <w:r>
        <w:rPr>
          <w:rFonts w:ascii="Times New Roman" w:hAnsi="Times New Roman" w:eastAsiaTheme="minorEastAsia"/>
          <w:color w:val="auto"/>
          <w:w w:val="99"/>
          <w:highlight w:val="none"/>
        </w:rPr>
        <w:t>处理后的压滤水定期由罐车拉运至朝一联含油污水处理站处理</w:t>
      </w:r>
      <w:r>
        <w:rPr>
          <w:rFonts w:ascii="Times New Roman" w:hAnsi="Times New Roman" w:eastAsiaTheme="minorEastAsia"/>
          <w:bCs/>
          <w:color w:val="auto"/>
          <w:w w:val="99"/>
          <w:highlight w:val="none"/>
        </w:rPr>
        <w:t>满足《大庆油田地面工程建设设计规定》（Q/SYDQ0639-2015）中“含油量≤5mg/L、悬浮固体含量≤1mg/L、粒径中值≤1μm”规定后回注油层，压滤泥饼满足《废弃钻井液处理规范》（DB23/T693-2000）表1要求后用于铺垫井场及通井路。</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（2）本项目钻井施工过程中产生的废气主要为施工扬尘、</w:t>
      </w:r>
      <w:r>
        <w:rPr>
          <w:rFonts w:ascii="Times New Roman" w:hAnsi="Times New Roman" w:eastAsiaTheme="minorEastAsia"/>
          <w:color w:val="auto"/>
          <w:w w:val="99"/>
          <w:kern w:val="2"/>
          <w:szCs w:val="20"/>
          <w:highlight w:val="none"/>
        </w:rPr>
        <w:t>柴油机废气。施工扬尘采取施工现场洒水抑尘、运输</w:t>
      </w:r>
      <w:r>
        <w:rPr>
          <w:rFonts w:ascii="Times New Roman" w:hAnsi="Times New Roman" w:eastAsiaTheme="minorEastAsia"/>
          <w:bCs/>
          <w:color w:val="auto"/>
          <w:w w:val="99"/>
          <w:highlight w:val="none"/>
        </w:rPr>
        <w:t>运输</w:t>
      </w:r>
      <w:r>
        <w:rPr>
          <w:rFonts w:ascii="Times New Roman" w:hAnsi="Times New Roman" w:eastAsiaTheme="minorEastAsia"/>
          <w:color w:val="auto"/>
          <w:w w:val="99"/>
          <w:kern w:val="2"/>
          <w:szCs w:val="20"/>
          <w:highlight w:val="none"/>
        </w:rPr>
        <w:t>车辆及物料加盖防尘布等方式降低扬尘污染；柴油机废气采取</w:t>
      </w:r>
      <w:r>
        <w:rPr>
          <w:rFonts w:ascii="Times New Roman" w:hAnsi="Times New Roman" w:eastAsiaTheme="minorEastAsia"/>
          <w:color w:val="auto"/>
          <w:w w:val="99"/>
          <w:highlight w:val="none"/>
        </w:rPr>
        <w:t>施工时使用低标号柴油，调节好柴油机运行工况等措施。</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（3）钻井施工过程中产生的噪声主要为</w:t>
      </w:r>
      <w:r>
        <w:rPr>
          <w:rFonts w:ascii="Times New Roman" w:hAnsi="Times New Roman" w:eastAsiaTheme="minorEastAsia"/>
          <w:color w:val="auto"/>
          <w:w w:val="99"/>
          <w:kern w:val="2"/>
          <w:szCs w:val="20"/>
          <w:highlight w:val="none"/>
        </w:rPr>
        <w:t>重型车辆沿途产生的噪声及钻机振动产生的噪声污染。采取</w:t>
      </w:r>
      <w:r>
        <w:rPr>
          <w:rFonts w:ascii="Times New Roman" w:hAnsi="Times New Roman" w:eastAsiaTheme="minorEastAsia"/>
          <w:color w:val="auto"/>
          <w:w w:val="99"/>
          <w:highlight w:val="none"/>
        </w:rPr>
        <w:t>物料及设备等运输车辆应选择合理时间和路线，避开居民休息时段；严格限定施工范围，选用噪音低的设备；注意对设备的维护和保养，合理操作，保证施工机械保持在最佳状态，降低噪声源强度。</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（4）钻井施工过程中产生的固体废物主要为废钻井液、钻井岩屑、废射孔液、膨润土等废包装袋、废防渗布、KOH包装袋、生活垃圾等。废钻井液与钻井废水、钻井岩屑、废射孔液等废弃物暂存于井场泥浆槽中，</w:t>
      </w:r>
      <w:r>
        <w:rPr>
          <w:rFonts w:ascii="Times New Roman" w:hAnsi="Times New Roman" w:eastAsiaTheme="minorEastAsia"/>
          <w:snapToGrid w:val="0"/>
          <w:color w:val="auto"/>
          <w:w w:val="99"/>
          <w:highlight w:val="none"/>
        </w:rPr>
        <w:t>定期由罐车拉运至</w:t>
      </w:r>
      <w:r>
        <w:rPr>
          <w:rFonts w:hint="eastAsia" w:ascii="Times New Roman" w:hAnsi="Times New Roman" w:eastAsiaTheme="minorEastAsia"/>
          <w:color w:val="auto"/>
          <w:w w:val="99"/>
          <w:highlight w:val="none"/>
        </w:rPr>
        <w:t>大庆油田昆仑集团有限公司环保分公司</w:t>
      </w:r>
      <w:r>
        <w:rPr>
          <w:rFonts w:ascii="Times New Roman" w:hAnsi="Times New Roman" w:eastAsiaTheme="minorEastAsia"/>
          <w:color w:val="auto"/>
          <w:w w:val="99"/>
          <w:highlight w:val="none"/>
        </w:rPr>
        <w:t>处理</w:t>
      </w:r>
      <w:r>
        <w:rPr>
          <w:rFonts w:hint="eastAsia" w:ascii="Times New Roman" w:hAnsi="Times New Roman" w:eastAsiaTheme="minorEastAsia"/>
          <w:snapToGrid w:val="0"/>
          <w:color w:val="auto"/>
          <w:w w:val="99"/>
          <w:highlight w:val="none"/>
        </w:rPr>
        <w:t>处理</w:t>
      </w:r>
      <w:r>
        <w:rPr>
          <w:rFonts w:ascii="Times New Roman" w:hAnsi="Times New Roman" w:eastAsiaTheme="minorEastAsia"/>
          <w:snapToGrid w:val="0"/>
          <w:color w:val="auto"/>
          <w:w w:val="99"/>
          <w:highlight w:val="none"/>
        </w:rPr>
        <w:t>；膨润土、纯碱、重晶石粉废包装袋及废防渗布施工结束后由施工单位统一收集后拉运至第</w:t>
      </w:r>
      <w:r>
        <w:rPr>
          <w:rFonts w:hint="eastAsia" w:ascii="Times New Roman" w:hAnsi="Times New Roman" w:eastAsiaTheme="minorEastAsia"/>
          <w:snapToGrid w:val="0"/>
          <w:color w:val="auto"/>
          <w:w w:val="99"/>
          <w:highlight w:val="none"/>
        </w:rPr>
        <w:t>八</w:t>
      </w:r>
      <w:r>
        <w:rPr>
          <w:rFonts w:ascii="Times New Roman" w:hAnsi="Times New Roman" w:eastAsiaTheme="minorEastAsia"/>
          <w:snapToGrid w:val="0"/>
          <w:color w:val="auto"/>
          <w:w w:val="99"/>
          <w:highlight w:val="none"/>
        </w:rPr>
        <w:t>采油厂固废填埋场处理；KOH包装袋属于危险废物，经收集后直接由施工单位委托资质单位处理，不在井场暂存；生活垃圾统一收集后运至</w:t>
      </w:r>
      <w:r>
        <w:rPr>
          <w:rFonts w:hint="eastAsia" w:ascii="Times New Roman" w:hAnsi="Times New Roman" w:eastAsiaTheme="minorEastAsia"/>
          <w:snapToGrid w:val="0"/>
          <w:color w:val="auto"/>
          <w:w w:val="99"/>
          <w:highlight w:val="none"/>
          <w:lang w:eastAsia="zh-CN"/>
        </w:rPr>
        <w:t>肇东市生活垃圾填埋场</w:t>
      </w:r>
      <w:r>
        <w:rPr>
          <w:rFonts w:ascii="Times New Roman" w:hAnsi="Times New Roman" w:eastAsiaTheme="minorEastAsia"/>
          <w:snapToGrid w:val="0"/>
          <w:color w:val="auto"/>
          <w:w w:val="99"/>
          <w:highlight w:val="none"/>
        </w:rPr>
        <w:t>处理。</w:t>
      </w:r>
    </w:p>
    <w:bookmarkEnd w:id="13"/>
    <w:p>
      <w:pPr>
        <w:pStyle w:val="5"/>
        <w:keepNext w:val="0"/>
        <w:keepLines w:val="0"/>
        <w:widowControl w:val="0"/>
        <w:tabs>
          <w:tab w:val="left" w:pos="4678"/>
        </w:tabs>
        <w:spacing w:before="120" w:after="120"/>
        <w:jc w:val="both"/>
        <w:rPr>
          <w:rFonts w:ascii="Times New Roman" w:hAnsi="Times New Roman"/>
          <w:b/>
          <w:snapToGrid w:val="0"/>
          <w:color w:val="auto"/>
          <w:w w:val="99"/>
          <w:highlight w:val="none"/>
        </w:rPr>
      </w:pPr>
      <w:bookmarkStart w:id="24" w:name="_Toc502736432"/>
      <w:bookmarkStart w:id="25" w:name="_Toc80105094"/>
      <w:r>
        <w:rPr>
          <w:rFonts w:ascii="Times New Roman" w:hAnsi="Times New Roman"/>
          <w:b/>
          <w:snapToGrid w:val="0"/>
          <w:color w:val="auto"/>
          <w:w w:val="99"/>
          <w:highlight w:val="none"/>
        </w:rPr>
        <w:t>1.3环境影响评价工作过程</w:t>
      </w:r>
      <w:bookmarkEnd w:id="24"/>
      <w:bookmarkEnd w:id="25"/>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我单位在接受委托后，按照《建设项目环境影响评价技术导则总纲》（HJ2.1-2016）、《环境影响评价技术导则 陆地石油天然气开发建设项目》（HJ/T349-2007）等国家有关环境影响评价规范、技术导则及环境保护管理部门的要求，依次完成以下环境影响评价工作：</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第一阶段：首先，依据</w:t>
      </w:r>
      <w:r>
        <w:rPr>
          <w:rFonts w:ascii="Times New Roman" w:hAnsi="Times New Roman" w:eastAsiaTheme="minorEastAsia"/>
          <w:bCs/>
          <w:color w:val="auto"/>
          <w:w w:val="99"/>
          <w:kern w:val="21"/>
          <w:highlight w:val="none"/>
        </w:rPr>
        <w:t>《建设项目环境影响评价分类管理名录（2021年版）》（部令第16号）</w:t>
      </w:r>
      <w:r>
        <w:rPr>
          <w:rFonts w:ascii="Times New Roman" w:hAnsi="Times New Roman" w:eastAsiaTheme="minorEastAsia"/>
          <w:snapToGrid w:val="0"/>
          <w:color w:val="auto"/>
          <w:w w:val="99"/>
          <w:highlight w:val="none"/>
        </w:rPr>
        <w:t>规定，确定</w:t>
      </w:r>
      <w:r>
        <w:rPr>
          <w:rFonts w:hint="eastAsia" w:ascii="Times New Roman" w:hAnsi="Times New Roman" w:eastAsiaTheme="minorEastAsia"/>
          <w:snapToGrid w:val="0"/>
          <w:color w:val="auto"/>
          <w:w w:val="99"/>
          <w:highlight w:val="none"/>
          <w:lang w:eastAsia="zh-CN"/>
        </w:rPr>
        <w:t>肇源油田源35区块外扩开发钻井工程</w:t>
      </w:r>
      <w:r>
        <w:rPr>
          <w:rFonts w:hint="eastAsia" w:ascii="Times New Roman" w:hAnsi="Times New Roman" w:eastAsiaTheme="minorEastAsia"/>
          <w:snapToGrid w:val="0"/>
          <w:color w:val="auto"/>
          <w:w w:val="99"/>
          <w:highlight w:val="none"/>
        </w:rPr>
        <w:t>项目</w:t>
      </w:r>
      <w:r>
        <w:rPr>
          <w:rFonts w:ascii="Times New Roman" w:hAnsi="Times New Roman" w:eastAsiaTheme="minorEastAsia"/>
          <w:snapToGrid w:val="0"/>
          <w:color w:val="auto"/>
          <w:w w:val="99"/>
          <w:highlight w:val="none"/>
        </w:rPr>
        <w:t>环境影响评价技术文件类型为环境影响报告书。</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其次，在仔细研究项目钻井设计、开发方案的基础上，进行了初步工程分析，并对项目所在区域进行实地踏勘和调研，了解项目周围情况。在此基础上，完成环境影响因素识别、评价因子筛选、评价重点和主要环境保护目标确定等工作。通过对项目概况及周围环境敏感性分析确定：</w:t>
      </w:r>
      <w:r>
        <w:rPr>
          <w:rFonts w:hint="default" w:ascii="Times New Roman" w:hAnsi="Times New Roman" w:eastAsiaTheme="minorEastAsia"/>
          <w:snapToGrid w:val="0"/>
          <w:color w:val="auto"/>
          <w:w w:val="99"/>
          <w:highlight w:val="none"/>
        </w:rPr>
        <w:t>根据对本项目的性质和环境要素分析可知，本工程产生的大气污染物主要为施工扬尘、车辆尾气及柴油机废气，其污染随着施工的结束随即消失。本工程仅针对钻井施工期进行评价，不划定大气环境评价等级</w:t>
      </w:r>
      <w:r>
        <w:rPr>
          <w:rFonts w:ascii="Times New Roman" w:hAnsi="Times New Roman" w:eastAsiaTheme="minorEastAsia"/>
          <w:snapToGrid w:val="0"/>
          <w:color w:val="auto"/>
          <w:w w:val="99"/>
          <w:highlight w:val="none"/>
        </w:rPr>
        <w:t>；声环境影响评价工作等级确定为二级；地表水环境影响评价工作等级为三级B；地下水环境影响评价工作等级为二级；生态环境影响评价工作等级为三级；土壤环境影响评价工作等级为一级，环境风险环境影响评价工作等级为简单分析。并以此确定评价范围和评价标准，制定了工作方案。</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第二阶段：根据工作方案，针对各环境要素的评价工作等级，调查了评价范围内的环境状况，制定了监测方案。并进行了详细的项目工程分析，在环境质量现状监测与评价的基础上，进行各环境要素的环境影响预测和评价，编制完成各环境要素环境影响分析与评价章节。</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第三阶段：通过工程分析、环境影响分析的结果，确定项目所采取的环保措施，并对其技术、经济可行性进行论证，进一步完善环保措施，给出污染物排放清单，完成报告的编制。</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具体环境影响评价工作程序见图1.3-1。</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在本项目环境影响报告书编制过程及初稿完成后，建设单位依据《中华人民共和国环境影响评价法》、《环境影响评价公众参与办法》及建设项目环境影响评价的相关规定开展项目的公众参与工作并单独出具环境影响评价公众参与说明。公众参与工作采用网络公示、报纸公示以及张贴公告等相结合的方式进行。</w:t>
      </w:r>
      <w:r>
        <w:rPr>
          <w:rFonts w:hint="default" w:ascii="Times New Roman" w:hAnsi="Times New Roman" w:cs="Times New Roman" w:eastAsiaTheme="minorEastAsia"/>
          <w:snapToGrid w:val="0"/>
          <w:color w:val="auto"/>
          <w:w w:val="99"/>
          <w:highlight w:val="none"/>
        </w:rPr>
        <w:t>建设项目首次环境影响评价信息公开之日为2021年</w:t>
      </w:r>
      <w:r>
        <w:rPr>
          <w:rFonts w:hint="default" w:ascii="Times New Roman" w:hAnsi="Times New Roman" w:cs="Times New Roman" w:eastAsiaTheme="minorEastAsia"/>
          <w:snapToGrid w:val="0"/>
          <w:color w:val="auto"/>
          <w:w w:val="99"/>
          <w:highlight w:val="none"/>
          <w:lang w:val="en-US" w:eastAsia="zh-CN"/>
        </w:rPr>
        <w:t>12</w:t>
      </w:r>
      <w:r>
        <w:rPr>
          <w:rFonts w:hint="default" w:ascii="Times New Roman" w:hAnsi="Times New Roman" w:cs="Times New Roman" w:eastAsiaTheme="minorEastAsia"/>
          <w:snapToGrid w:val="0"/>
          <w:color w:val="auto"/>
          <w:w w:val="99"/>
          <w:highlight w:val="none"/>
        </w:rPr>
        <w:t>月</w:t>
      </w:r>
      <w:r>
        <w:rPr>
          <w:rFonts w:hint="eastAsia" w:ascii="Times New Roman" w:hAnsi="Times New Roman" w:cs="Times New Roman" w:eastAsiaTheme="minorEastAsia"/>
          <w:snapToGrid w:val="0"/>
          <w:color w:val="auto"/>
          <w:w w:val="99"/>
          <w:highlight w:val="none"/>
          <w:lang w:val="en-US" w:eastAsia="zh-CN"/>
        </w:rPr>
        <w:t>3</w:t>
      </w:r>
      <w:r>
        <w:rPr>
          <w:rFonts w:hint="default" w:ascii="Times New Roman" w:hAnsi="Times New Roman" w:cs="Times New Roman" w:eastAsiaTheme="minorEastAsia"/>
          <w:snapToGrid w:val="0"/>
          <w:color w:val="auto"/>
          <w:w w:val="99"/>
          <w:highlight w:val="none"/>
          <w:lang w:val="en-US" w:eastAsia="zh-CN"/>
        </w:rPr>
        <w:t>0</w:t>
      </w:r>
      <w:r>
        <w:rPr>
          <w:rFonts w:hint="default" w:ascii="Times New Roman" w:hAnsi="Times New Roman" w:cs="Times New Roman" w:eastAsiaTheme="minorEastAsia"/>
          <w:snapToGrid w:val="0"/>
          <w:color w:val="auto"/>
          <w:w w:val="99"/>
          <w:highlight w:val="none"/>
        </w:rPr>
        <w:t>日（黑龙江环保技术服务网http://www.hljhbjsfw.cn/NewsDetail.aspx?ID=468）</w:t>
      </w:r>
      <w:r>
        <w:rPr>
          <w:rFonts w:hint="eastAsia" w:ascii="Times New Roman" w:hAnsi="Times New Roman" w:cs="Times New Roman" w:eastAsiaTheme="minorEastAsia"/>
          <w:snapToGrid w:val="0"/>
          <w:color w:val="auto"/>
          <w:w w:val="99"/>
          <w:highlight w:val="none"/>
          <w:lang w:eastAsia="zh-CN"/>
        </w:rPr>
        <w:t>；</w:t>
      </w:r>
      <w:r>
        <w:rPr>
          <w:rFonts w:hint="default" w:ascii="Times New Roman" w:hAnsi="Times New Roman" w:cs="Times New Roman" w:eastAsiaTheme="minorEastAsia"/>
          <w:snapToGrid w:val="0"/>
          <w:color w:val="auto"/>
          <w:w w:val="99"/>
          <w:highlight w:val="none"/>
        </w:rPr>
        <w:t>征求意见稿公示日期为202</w:t>
      </w:r>
      <w:r>
        <w:rPr>
          <w:rFonts w:hint="default" w:ascii="Times New Roman" w:hAnsi="Times New Roman" w:cs="Times New Roman" w:eastAsiaTheme="minorEastAsia"/>
          <w:snapToGrid w:val="0"/>
          <w:color w:val="auto"/>
          <w:w w:val="99"/>
          <w:highlight w:val="none"/>
          <w:lang w:val="en-US" w:eastAsia="zh-CN"/>
        </w:rPr>
        <w:t>2</w:t>
      </w:r>
      <w:r>
        <w:rPr>
          <w:rFonts w:hint="default" w:ascii="Times New Roman" w:hAnsi="Times New Roman" w:cs="Times New Roman" w:eastAsiaTheme="minorEastAsia"/>
          <w:snapToGrid w:val="0"/>
          <w:color w:val="auto"/>
          <w:w w:val="99"/>
          <w:highlight w:val="none"/>
        </w:rPr>
        <w:t>年1月1</w:t>
      </w:r>
      <w:r>
        <w:rPr>
          <w:rFonts w:hint="default" w:ascii="Times New Roman" w:hAnsi="Times New Roman" w:cs="Times New Roman" w:eastAsiaTheme="minorEastAsia"/>
          <w:snapToGrid w:val="0"/>
          <w:color w:val="auto"/>
          <w:w w:val="99"/>
          <w:highlight w:val="none"/>
          <w:lang w:val="en-US" w:eastAsia="zh-CN"/>
        </w:rPr>
        <w:t>1</w:t>
      </w:r>
      <w:r>
        <w:rPr>
          <w:rFonts w:hint="default" w:ascii="Times New Roman" w:hAnsi="Times New Roman" w:cs="Times New Roman" w:eastAsiaTheme="minorEastAsia"/>
          <w:snapToGrid w:val="0"/>
          <w:color w:val="auto"/>
          <w:w w:val="99"/>
          <w:highlight w:val="none"/>
        </w:rPr>
        <w:t>日～202</w:t>
      </w:r>
      <w:r>
        <w:rPr>
          <w:rFonts w:hint="default" w:ascii="Times New Roman" w:hAnsi="Times New Roman" w:cs="Times New Roman" w:eastAsiaTheme="minorEastAsia"/>
          <w:snapToGrid w:val="0"/>
          <w:color w:val="auto"/>
          <w:w w:val="99"/>
          <w:highlight w:val="none"/>
          <w:lang w:val="en-US"/>
        </w:rPr>
        <w:t>2</w:t>
      </w:r>
      <w:r>
        <w:rPr>
          <w:rFonts w:hint="default" w:ascii="Times New Roman" w:hAnsi="Times New Roman" w:cs="Times New Roman" w:eastAsiaTheme="minorEastAsia"/>
          <w:snapToGrid w:val="0"/>
          <w:color w:val="auto"/>
          <w:w w:val="99"/>
          <w:highlight w:val="none"/>
        </w:rPr>
        <w:t>年1月2</w:t>
      </w:r>
      <w:r>
        <w:rPr>
          <w:rFonts w:hint="default" w:ascii="Times New Roman" w:hAnsi="Times New Roman" w:cs="Times New Roman" w:eastAsiaTheme="minorEastAsia"/>
          <w:snapToGrid w:val="0"/>
          <w:color w:val="auto"/>
          <w:w w:val="99"/>
          <w:highlight w:val="none"/>
          <w:lang w:val="en-US"/>
        </w:rPr>
        <w:t>4</w:t>
      </w:r>
      <w:r>
        <w:rPr>
          <w:rFonts w:hint="default" w:ascii="Times New Roman" w:hAnsi="Times New Roman" w:cs="Times New Roman" w:eastAsiaTheme="minorEastAsia"/>
          <w:snapToGrid w:val="0"/>
          <w:color w:val="auto"/>
          <w:w w:val="99"/>
          <w:highlight w:val="none"/>
        </w:rPr>
        <w:t>日，共10个工作日（黑龙江环保技术服务网http://www.hljhbjsfw.cn/NewsDetail.aspx?ID=469</w:t>
      </w:r>
      <w:r>
        <w:rPr>
          <w:rFonts w:hint="default" w:ascii="Times New Roman" w:hAnsi="Times New Roman" w:cs="Times New Roman" w:eastAsiaTheme="minorEastAsia"/>
          <w:snapToGrid w:val="0"/>
          <w:color w:val="auto"/>
          <w:w w:val="99"/>
          <w:highlight w:val="none"/>
          <w:lang w:eastAsia="zh-CN"/>
        </w:rPr>
        <w:t>）</w:t>
      </w:r>
      <w:r>
        <w:rPr>
          <w:rFonts w:hint="eastAsia" w:ascii="Times New Roman" w:hAnsi="Times New Roman" w:cs="Times New Roman" w:eastAsiaTheme="minorEastAsia"/>
          <w:snapToGrid w:val="0"/>
          <w:color w:val="auto"/>
          <w:w w:val="99"/>
          <w:highlight w:val="none"/>
          <w:lang w:eastAsia="zh-CN"/>
        </w:rPr>
        <w:t>；</w:t>
      </w:r>
      <w:r>
        <w:rPr>
          <w:rFonts w:hint="default" w:ascii="Times New Roman" w:hAnsi="Times New Roman" w:cs="Times New Roman" w:eastAsiaTheme="minorEastAsia"/>
          <w:snapToGrid w:val="0"/>
          <w:color w:val="auto"/>
          <w:w w:val="99"/>
          <w:highlight w:val="none"/>
        </w:rPr>
        <w:t>报纸第一次公告日期为202</w:t>
      </w:r>
      <w:r>
        <w:rPr>
          <w:rFonts w:hint="default" w:ascii="Times New Roman" w:hAnsi="Times New Roman" w:cs="Times New Roman" w:eastAsiaTheme="minorEastAsia"/>
          <w:snapToGrid w:val="0"/>
          <w:color w:val="auto"/>
          <w:w w:val="99"/>
          <w:highlight w:val="none"/>
          <w:lang w:val="en-US" w:eastAsia="zh-CN"/>
        </w:rPr>
        <w:t>2</w:t>
      </w:r>
      <w:r>
        <w:rPr>
          <w:rFonts w:hint="default" w:ascii="Times New Roman" w:hAnsi="Times New Roman" w:cs="Times New Roman" w:eastAsiaTheme="minorEastAsia"/>
          <w:snapToGrid w:val="0"/>
          <w:color w:val="auto"/>
          <w:w w:val="99"/>
          <w:highlight w:val="none"/>
        </w:rPr>
        <w:t>年</w:t>
      </w:r>
      <w:r>
        <w:rPr>
          <w:rFonts w:hint="default" w:ascii="Times New Roman" w:hAnsi="Times New Roman" w:cs="Times New Roman" w:eastAsiaTheme="minorEastAsia"/>
          <w:snapToGrid w:val="0"/>
          <w:color w:val="auto"/>
          <w:w w:val="99"/>
          <w:highlight w:val="none"/>
          <w:lang w:val="en-US" w:eastAsia="zh-CN"/>
        </w:rPr>
        <w:t>1</w:t>
      </w:r>
      <w:r>
        <w:rPr>
          <w:rFonts w:hint="default" w:ascii="Times New Roman" w:hAnsi="Times New Roman" w:cs="Times New Roman" w:eastAsiaTheme="minorEastAsia"/>
          <w:snapToGrid w:val="0"/>
          <w:color w:val="auto"/>
          <w:w w:val="99"/>
          <w:highlight w:val="none"/>
        </w:rPr>
        <w:t>月</w:t>
      </w:r>
      <w:r>
        <w:rPr>
          <w:rFonts w:hint="default" w:ascii="Times New Roman" w:hAnsi="Times New Roman" w:cs="Times New Roman" w:eastAsiaTheme="minorEastAsia"/>
          <w:snapToGrid w:val="0"/>
          <w:color w:val="auto"/>
          <w:w w:val="99"/>
          <w:highlight w:val="none"/>
          <w:lang w:val="en-US" w:eastAsia="zh-CN"/>
        </w:rPr>
        <w:t>20</w:t>
      </w:r>
      <w:r>
        <w:rPr>
          <w:rFonts w:hint="default" w:ascii="Times New Roman" w:hAnsi="Times New Roman" w:cs="Times New Roman" w:eastAsiaTheme="minorEastAsia"/>
          <w:snapToGrid w:val="0"/>
          <w:color w:val="auto"/>
          <w:w w:val="99"/>
          <w:highlight w:val="none"/>
        </w:rPr>
        <w:t>日（大庆油田报），报纸第二次公告日期为202</w:t>
      </w:r>
      <w:r>
        <w:rPr>
          <w:rFonts w:hint="default" w:ascii="Times New Roman" w:hAnsi="Times New Roman" w:cs="Times New Roman" w:eastAsiaTheme="minorEastAsia"/>
          <w:snapToGrid w:val="0"/>
          <w:color w:val="auto"/>
          <w:w w:val="99"/>
          <w:highlight w:val="none"/>
          <w:lang w:val="en-US" w:eastAsia="zh-CN"/>
        </w:rPr>
        <w:t>2</w:t>
      </w:r>
      <w:r>
        <w:rPr>
          <w:rFonts w:hint="default" w:ascii="Times New Roman" w:hAnsi="Times New Roman" w:cs="Times New Roman" w:eastAsiaTheme="minorEastAsia"/>
          <w:snapToGrid w:val="0"/>
          <w:color w:val="auto"/>
          <w:w w:val="99"/>
          <w:highlight w:val="none"/>
        </w:rPr>
        <w:t>年</w:t>
      </w:r>
      <w:r>
        <w:rPr>
          <w:rFonts w:hint="default" w:ascii="Times New Roman" w:hAnsi="Times New Roman" w:cs="Times New Roman" w:eastAsiaTheme="minorEastAsia"/>
          <w:snapToGrid w:val="0"/>
          <w:color w:val="auto"/>
          <w:w w:val="99"/>
          <w:highlight w:val="none"/>
          <w:lang w:val="en-US" w:eastAsia="zh-CN"/>
        </w:rPr>
        <w:t>1</w:t>
      </w:r>
      <w:r>
        <w:rPr>
          <w:rFonts w:hint="default" w:ascii="Times New Roman" w:hAnsi="Times New Roman" w:cs="Times New Roman" w:eastAsiaTheme="minorEastAsia"/>
          <w:snapToGrid w:val="0"/>
          <w:color w:val="auto"/>
          <w:w w:val="99"/>
          <w:highlight w:val="none"/>
        </w:rPr>
        <w:t>月2</w:t>
      </w:r>
      <w:r>
        <w:rPr>
          <w:rFonts w:hint="default" w:ascii="Times New Roman" w:hAnsi="Times New Roman" w:cs="Times New Roman" w:eastAsiaTheme="minorEastAsia"/>
          <w:snapToGrid w:val="0"/>
          <w:color w:val="auto"/>
          <w:w w:val="99"/>
          <w:highlight w:val="none"/>
          <w:lang w:val="en-US" w:eastAsia="zh-CN"/>
        </w:rPr>
        <w:t>1</w:t>
      </w:r>
      <w:r>
        <w:rPr>
          <w:rFonts w:hint="default" w:ascii="Times New Roman" w:hAnsi="Times New Roman" w:cs="Times New Roman" w:eastAsiaTheme="minorEastAsia"/>
          <w:snapToGrid w:val="0"/>
          <w:color w:val="auto"/>
          <w:w w:val="99"/>
          <w:highlight w:val="none"/>
        </w:rPr>
        <w:t>日（大庆油田报）</w:t>
      </w:r>
      <w:r>
        <w:rPr>
          <w:rFonts w:hint="eastAsia" w:ascii="Times New Roman" w:hAnsi="Times New Roman" w:cs="Times New Roman" w:eastAsiaTheme="minorEastAsia"/>
          <w:snapToGrid w:val="0"/>
          <w:color w:val="auto"/>
          <w:w w:val="99"/>
          <w:highlight w:val="none"/>
          <w:lang w:eastAsia="zh-CN"/>
        </w:rPr>
        <w:t>；</w:t>
      </w:r>
      <w:r>
        <w:rPr>
          <w:rFonts w:hint="default" w:ascii="Times New Roman" w:hAnsi="Times New Roman" w:cs="Times New Roman" w:eastAsiaTheme="minorEastAsia"/>
          <w:snapToGrid w:val="0"/>
          <w:color w:val="auto"/>
          <w:w w:val="99"/>
          <w:highlight w:val="none"/>
          <w:lang w:val="en-US" w:eastAsia="zh-CN"/>
        </w:rPr>
        <w:t>现场张贴公示日期为202</w:t>
      </w:r>
      <w:r>
        <w:rPr>
          <w:rFonts w:hint="eastAsia" w:ascii="Times New Roman" w:hAnsi="Times New Roman" w:cs="Times New Roman" w:eastAsiaTheme="minorEastAsia"/>
          <w:snapToGrid w:val="0"/>
          <w:color w:val="auto"/>
          <w:w w:val="99"/>
          <w:highlight w:val="none"/>
          <w:lang w:val="en-US" w:eastAsia="zh-CN"/>
        </w:rPr>
        <w:t>2</w:t>
      </w:r>
      <w:r>
        <w:rPr>
          <w:rFonts w:hint="default" w:ascii="Times New Roman" w:hAnsi="Times New Roman" w:cs="Times New Roman" w:eastAsiaTheme="minorEastAsia"/>
          <w:snapToGrid w:val="0"/>
          <w:color w:val="auto"/>
          <w:w w:val="99"/>
          <w:highlight w:val="none"/>
          <w:lang w:val="en-US" w:eastAsia="zh-CN"/>
        </w:rPr>
        <w:t>年1月</w:t>
      </w:r>
      <w:r>
        <w:rPr>
          <w:rFonts w:hint="eastAsia" w:ascii="Times New Roman" w:hAnsi="Times New Roman" w:cs="Times New Roman" w:eastAsiaTheme="minorEastAsia"/>
          <w:snapToGrid w:val="0"/>
          <w:color w:val="auto"/>
          <w:w w:val="99"/>
          <w:highlight w:val="none"/>
          <w:lang w:val="en-US" w:eastAsia="zh-CN"/>
        </w:rPr>
        <w:t>13</w:t>
      </w:r>
      <w:r>
        <w:rPr>
          <w:rFonts w:hint="default" w:ascii="Times New Roman" w:hAnsi="Times New Roman" w:cs="Times New Roman" w:eastAsiaTheme="minorEastAsia"/>
          <w:snapToGrid w:val="0"/>
          <w:color w:val="auto"/>
          <w:w w:val="99"/>
          <w:highlight w:val="none"/>
          <w:lang w:val="en-US" w:eastAsia="zh-CN"/>
        </w:rPr>
        <w:t>日，公示地点为后仓粮、仓粮村、厢房屯、三胜村、三家子村、后永利村</w:t>
      </w:r>
      <w:r>
        <w:rPr>
          <w:rFonts w:hint="eastAsia" w:ascii="Times New Roman" w:hAnsi="Times New Roman" w:cs="Times New Roman" w:eastAsiaTheme="minorEastAsia"/>
          <w:snapToGrid w:val="0"/>
          <w:color w:val="auto"/>
          <w:w w:val="99"/>
          <w:highlight w:val="none"/>
          <w:lang w:val="en-US" w:eastAsia="zh-CN"/>
        </w:rPr>
        <w:t>等</w:t>
      </w:r>
      <w:r>
        <w:rPr>
          <w:rFonts w:hint="default" w:ascii="Times New Roman" w:hAnsi="Times New Roman" w:cs="Times New Roman" w:eastAsiaTheme="minorEastAsia"/>
          <w:snapToGrid w:val="0"/>
          <w:color w:val="auto"/>
          <w:w w:val="99"/>
          <w:highlight w:val="none"/>
          <w:lang w:val="en-US" w:eastAsia="zh-CN"/>
        </w:rPr>
        <w:t>附近村屯。至信息公告的截止日期没有收到相关反馈信息。</w:t>
      </w:r>
    </w:p>
    <w:p>
      <w:pPr>
        <w:keepNext w:val="0"/>
        <w:keepLines w:val="0"/>
        <w:pageBreakBefore w:val="0"/>
        <w:widowControl w:val="0"/>
        <w:kinsoku/>
        <w:wordWrap/>
        <w:overflowPunct/>
        <w:topLinePunct w:val="0"/>
        <w:bidi w:val="0"/>
        <w:spacing w:line="440" w:lineRule="exact"/>
        <w:ind w:firstLine="474" w:firstLineChars="200"/>
        <w:jc w:val="both"/>
        <w:rPr>
          <w:rFonts w:hint="default" w:ascii="Times New Roman" w:hAnsi="Times New Roman" w:eastAsia="宋体" w:cs="Times New Roman"/>
          <w:snapToGrid w:val="0"/>
          <w:color w:val="auto"/>
          <w:w w:val="99"/>
          <w:highlight w:val="none"/>
        </w:rPr>
      </w:pPr>
      <w:r>
        <w:rPr>
          <w:rFonts w:hint="default" w:ascii="Times New Roman" w:hAnsi="Times New Roman" w:eastAsia="宋体" w:cs="Times New Roman"/>
          <w:snapToGrid w:val="0"/>
          <w:color w:val="auto"/>
          <w:w w:val="99"/>
          <w:highlight w:val="none"/>
        </w:rPr>
        <w:t>首次环评公示及项目环境影响报告书征求意见稿公众时间分别为2021年</w:t>
      </w:r>
      <w:r>
        <w:rPr>
          <w:rFonts w:hint="eastAsia" w:ascii="Times New Roman" w:hAnsi="Times New Roman" w:cs="Times New Roman"/>
          <w:snapToGrid w:val="0"/>
          <w:color w:val="auto"/>
          <w:w w:val="99"/>
          <w:highlight w:val="none"/>
          <w:lang w:val="en-US" w:eastAsia="zh-CN"/>
        </w:rPr>
        <w:t>12</w:t>
      </w:r>
      <w:r>
        <w:rPr>
          <w:rFonts w:hint="default" w:ascii="Times New Roman" w:hAnsi="Times New Roman" w:eastAsia="宋体" w:cs="Times New Roman"/>
          <w:snapToGrid w:val="0"/>
          <w:color w:val="auto"/>
          <w:w w:val="99"/>
          <w:highlight w:val="none"/>
        </w:rPr>
        <w:t>月</w:t>
      </w:r>
      <w:r>
        <w:rPr>
          <w:rFonts w:hint="eastAsia" w:ascii="Times New Roman" w:hAnsi="Times New Roman" w:cs="Times New Roman"/>
          <w:snapToGrid w:val="0"/>
          <w:color w:val="auto"/>
          <w:w w:val="99"/>
          <w:highlight w:val="none"/>
          <w:lang w:val="en-US" w:eastAsia="zh-CN"/>
        </w:rPr>
        <w:t>30</w:t>
      </w:r>
      <w:r>
        <w:rPr>
          <w:rFonts w:hint="default" w:ascii="Times New Roman" w:hAnsi="Times New Roman" w:eastAsia="宋体" w:cs="Times New Roman"/>
          <w:snapToGrid w:val="0"/>
          <w:color w:val="auto"/>
          <w:w w:val="99"/>
          <w:highlight w:val="none"/>
        </w:rPr>
        <w:t>日及202</w:t>
      </w:r>
      <w:r>
        <w:rPr>
          <w:rFonts w:hint="eastAsia" w:ascii="Times New Roman" w:hAnsi="Times New Roman" w:cs="Times New Roman"/>
          <w:snapToGrid w:val="0"/>
          <w:color w:val="auto"/>
          <w:w w:val="99"/>
          <w:highlight w:val="none"/>
          <w:lang w:val="en-US" w:eastAsia="zh-CN"/>
        </w:rPr>
        <w:t>2</w:t>
      </w:r>
      <w:r>
        <w:rPr>
          <w:rFonts w:hint="default" w:ascii="Times New Roman" w:hAnsi="Times New Roman" w:eastAsia="宋体" w:cs="Times New Roman"/>
          <w:snapToGrid w:val="0"/>
          <w:color w:val="auto"/>
          <w:w w:val="99"/>
          <w:highlight w:val="none"/>
        </w:rPr>
        <w:t>年</w:t>
      </w:r>
      <w:r>
        <w:rPr>
          <w:rFonts w:hint="default" w:ascii="Times New Roman" w:hAnsi="Times New Roman" w:eastAsia="宋体" w:cs="Times New Roman"/>
          <w:snapToGrid w:val="0"/>
          <w:color w:val="auto"/>
          <w:w w:val="99"/>
          <w:highlight w:val="none"/>
          <w:lang w:val="en-US" w:eastAsia="zh-CN"/>
        </w:rPr>
        <w:t>1</w:t>
      </w:r>
      <w:r>
        <w:rPr>
          <w:rFonts w:hint="default" w:ascii="Times New Roman" w:hAnsi="Times New Roman" w:eastAsia="宋体" w:cs="Times New Roman"/>
          <w:snapToGrid w:val="0"/>
          <w:color w:val="auto"/>
          <w:w w:val="99"/>
          <w:highlight w:val="none"/>
        </w:rPr>
        <w:t>月</w:t>
      </w:r>
      <w:r>
        <w:rPr>
          <w:rFonts w:hint="eastAsia" w:ascii="Times New Roman" w:hAnsi="Times New Roman" w:cs="Times New Roman"/>
          <w:snapToGrid w:val="0"/>
          <w:color w:val="auto"/>
          <w:w w:val="99"/>
          <w:highlight w:val="none"/>
          <w:lang w:val="en-US" w:eastAsia="zh-CN"/>
        </w:rPr>
        <w:t>11</w:t>
      </w:r>
      <w:r>
        <w:rPr>
          <w:rFonts w:hint="default" w:ascii="Times New Roman" w:hAnsi="Times New Roman" w:eastAsia="宋体" w:cs="Times New Roman"/>
          <w:snapToGrid w:val="0"/>
          <w:color w:val="auto"/>
          <w:w w:val="99"/>
          <w:highlight w:val="none"/>
        </w:rPr>
        <w:t>日至202</w:t>
      </w:r>
      <w:r>
        <w:rPr>
          <w:rFonts w:hint="eastAsia" w:ascii="Times New Roman" w:hAnsi="Times New Roman" w:cs="Times New Roman"/>
          <w:snapToGrid w:val="0"/>
          <w:color w:val="auto"/>
          <w:w w:val="99"/>
          <w:highlight w:val="none"/>
          <w:lang w:val="en-US" w:eastAsia="zh-CN"/>
        </w:rPr>
        <w:t>2</w:t>
      </w:r>
      <w:r>
        <w:rPr>
          <w:rFonts w:hint="default" w:ascii="Times New Roman" w:hAnsi="Times New Roman" w:eastAsia="宋体" w:cs="Times New Roman"/>
          <w:snapToGrid w:val="0"/>
          <w:color w:val="auto"/>
          <w:w w:val="99"/>
          <w:highlight w:val="none"/>
        </w:rPr>
        <w:t>年</w:t>
      </w:r>
      <w:r>
        <w:rPr>
          <w:rFonts w:hint="default" w:ascii="Times New Roman" w:hAnsi="Times New Roman" w:eastAsia="宋体" w:cs="Times New Roman"/>
          <w:snapToGrid w:val="0"/>
          <w:color w:val="auto"/>
          <w:w w:val="99"/>
          <w:highlight w:val="none"/>
          <w:lang w:val="en-US" w:eastAsia="zh-CN"/>
        </w:rPr>
        <w:t>1</w:t>
      </w:r>
      <w:r>
        <w:rPr>
          <w:rFonts w:hint="default" w:ascii="Times New Roman" w:hAnsi="Times New Roman" w:eastAsia="宋体" w:cs="Times New Roman"/>
          <w:snapToGrid w:val="0"/>
          <w:color w:val="auto"/>
          <w:w w:val="99"/>
          <w:highlight w:val="none"/>
        </w:rPr>
        <w:t>月</w:t>
      </w:r>
      <w:r>
        <w:rPr>
          <w:rFonts w:hint="eastAsia" w:ascii="Times New Roman" w:hAnsi="Times New Roman" w:cs="Times New Roman"/>
          <w:snapToGrid w:val="0"/>
          <w:color w:val="auto"/>
          <w:w w:val="99"/>
          <w:highlight w:val="none"/>
          <w:lang w:val="en-US" w:eastAsia="zh-CN"/>
        </w:rPr>
        <w:t>24</w:t>
      </w:r>
      <w:r>
        <w:rPr>
          <w:rFonts w:hint="default" w:ascii="Times New Roman" w:hAnsi="Times New Roman" w:eastAsia="宋体" w:cs="Times New Roman"/>
          <w:snapToGrid w:val="0"/>
          <w:color w:val="auto"/>
          <w:w w:val="99"/>
          <w:highlight w:val="none"/>
        </w:rPr>
        <w:t>日；在公示期间建设单位及环评单位未收到相关反馈，建设单位承诺将加强企业环境管理，强化诚信意识，恪守环保信用，项目运行中主动公开环保信息，接受公众监督。</w:t>
      </w:r>
    </w:p>
    <w:p>
      <w:pPr>
        <w:pStyle w:val="109"/>
        <w:widowControl w:val="0"/>
        <w:spacing w:line="240" w:lineRule="auto"/>
        <w:ind w:firstLine="0" w:firstLineChars="0"/>
        <w:jc w:val="center"/>
        <w:rPr>
          <w:rFonts w:ascii="Times New Roman" w:hAnsi="Times New Roman" w:eastAsiaTheme="minorEastAsia"/>
          <w:snapToGrid w:val="0"/>
          <w:color w:val="auto"/>
          <w:w w:val="99"/>
          <w:highlight w:val="none"/>
        </w:rPr>
      </w:pPr>
      <w:r>
        <w:rPr>
          <w:rFonts w:ascii="Times New Roman" w:hAnsi="Times New Roman" w:eastAsiaTheme="minorEastAsia"/>
          <w:color w:val="auto"/>
          <w:w w:val="99"/>
          <w:highlight w:val="none"/>
        </w:rPr>
        <w:drawing>
          <wp:inline distT="0" distB="0" distL="0" distR="0">
            <wp:extent cx="5665470" cy="663829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1" cstate="print"/>
                    <a:stretch>
                      <a:fillRect/>
                    </a:stretch>
                  </pic:blipFill>
                  <pic:spPr>
                    <a:xfrm>
                      <a:off x="0" y="0"/>
                      <a:ext cx="5699386" cy="6678182"/>
                    </a:xfrm>
                    <a:prstGeom prst="rect">
                      <a:avLst/>
                    </a:prstGeom>
                  </pic:spPr>
                </pic:pic>
              </a:graphicData>
            </a:graphic>
          </wp:inline>
        </w:drawing>
      </w:r>
    </w:p>
    <w:p>
      <w:pPr>
        <w:pStyle w:val="109"/>
        <w:widowControl w:val="0"/>
        <w:spacing w:line="240" w:lineRule="auto"/>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图1.3-1             建设项目环境影响评价工作程序图</w:t>
      </w:r>
    </w:p>
    <w:p>
      <w:pPr>
        <w:pStyle w:val="5"/>
        <w:keepNext w:val="0"/>
        <w:keepLines w:val="0"/>
        <w:widowControl w:val="0"/>
        <w:spacing w:before="120" w:after="120"/>
        <w:jc w:val="both"/>
        <w:rPr>
          <w:rFonts w:ascii="Times New Roman" w:hAnsi="Times New Roman"/>
          <w:b/>
          <w:snapToGrid w:val="0"/>
          <w:color w:val="auto"/>
          <w:w w:val="99"/>
          <w:highlight w:val="none"/>
        </w:rPr>
      </w:pPr>
      <w:bookmarkStart w:id="26" w:name="_Toc502736433"/>
      <w:bookmarkStart w:id="27" w:name="_Toc80105095"/>
      <w:r>
        <w:rPr>
          <w:rFonts w:ascii="Times New Roman" w:hAnsi="Times New Roman"/>
          <w:b/>
          <w:snapToGrid w:val="0"/>
          <w:color w:val="auto"/>
          <w:w w:val="99"/>
          <w:highlight w:val="none"/>
        </w:rPr>
        <w:t>1.4分析判定相关情况</w:t>
      </w:r>
      <w:bookmarkEnd w:id="26"/>
      <w:bookmarkEnd w:id="27"/>
    </w:p>
    <w:p>
      <w:pPr>
        <w:pStyle w:val="7"/>
        <w:keepNext w:val="0"/>
        <w:keepLines w:val="0"/>
        <w:widowControl w:val="0"/>
        <w:spacing w:before="60" w:after="60"/>
        <w:jc w:val="both"/>
        <w:rPr>
          <w:b/>
          <w:color w:val="auto"/>
          <w:w w:val="99"/>
          <w:kern w:val="2"/>
          <w:sz w:val="24"/>
          <w:szCs w:val="24"/>
          <w:highlight w:val="none"/>
        </w:rPr>
      </w:pPr>
      <w:bookmarkStart w:id="28" w:name="_Toc77667240"/>
      <w:bookmarkStart w:id="29" w:name="_Toc57976628"/>
      <w:bookmarkStart w:id="30" w:name="_Toc17898120"/>
      <w:bookmarkStart w:id="31" w:name="_Toc502736434"/>
      <w:bookmarkStart w:id="32" w:name="_Toc57707873"/>
      <w:bookmarkStart w:id="33" w:name="_Toc69690763"/>
      <w:bookmarkStart w:id="34" w:name="_Toc61597173"/>
      <w:bookmarkStart w:id="35" w:name="_Toc67523545"/>
      <w:bookmarkStart w:id="36" w:name="_Toc57203203"/>
      <w:bookmarkStart w:id="37" w:name="_Toc71371896"/>
      <w:bookmarkStart w:id="38" w:name="_Toc74812267"/>
      <w:bookmarkStart w:id="39" w:name="_Toc29321"/>
      <w:bookmarkStart w:id="40" w:name="_Toc80105096"/>
      <w:r>
        <w:rPr>
          <w:b/>
          <w:color w:val="auto"/>
          <w:w w:val="99"/>
          <w:kern w:val="2"/>
          <w:sz w:val="24"/>
          <w:szCs w:val="24"/>
          <w:highlight w:val="none"/>
        </w:rPr>
        <w:t>1.4.1产业政策符合性分析</w:t>
      </w:r>
      <w:bookmarkEnd w:id="28"/>
      <w:bookmarkEnd w:id="29"/>
      <w:bookmarkEnd w:id="30"/>
      <w:bookmarkEnd w:id="31"/>
      <w:bookmarkEnd w:id="32"/>
      <w:bookmarkEnd w:id="33"/>
      <w:bookmarkEnd w:id="34"/>
      <w:bookmarkEnd w:id="35"/>
      <w:bookmarkEnd w:id="36"/>
      <w:bookmarkEnd w:id="37"/>
      <w:bookmarkEnd w:id="38"/>
      <w:bookmarkEnd w:id="39"/>
      <w:bookmarkEnd w:id="40"/>
    </w:p>
    <w:p>
      <w:pPr>
        <w:pStyle w:val="109"/>
        <w:widowControl w:val="0"/>
        <w:ind w:firstLine="473"/>
        <w:jc w:val="both"/>
        <w:rPr>
          <w:rFonts w:ascii="Times New Roman" w:hAnsi="Times New Roman" w:eastAsiaTheme="minorEastAsia"/>
          <w:color w:val="auto"/>
          <w:w w:val="99"/>
          <w:highlight w:val="none"/>
        </w:rPr>
      </w:pPr>
      <w:bookmarkStart w:id="41" w:name="_Toc502736435"/>
      <w:bookmarkStart w:id="42" w:name="_Toc3092"/>
      <w:bookmarkStart w:id="43" w:name="_Toc17898121"/>
      <w:r>
        <w:rPr>
          <w:rFonts w:ascii="Times New Roman" w:hAnsi="Times New Roman" w:eastAsiaTheme="minorEastAsia"/>
          <w:color w:val="auto"/>
          <w:w w:val="99"/>
          <w:highlight w:val="none"/>
        </w:rPr>
        <w:t>本项目为石油开采项目，根据《产业结构调整指导目录（2019年）》，本项目属于鼓励类“七、石油、天然气”中“1、常规石油、天然气勘探与开采”，因此，该项目建设符合国家的产业政策。</w:t>
      </w:r>
    </w:p>
    <w:p>
      <w:pPr>
        <w:pStyle w:val="7"/>
        <w:widowControl w:val="0"/>
        <w:spacing w:before="60" w:after="60"/>
        <w:jc w:val="both"/>
        <w:rPr>
          <w:b/>
          <w:color w:val="auto"/>
          <w:w w:val="99"/>
          <w:kern w:val="2"/>
          <w:sz w:val="24"/>
          <w:szCs w:val="24"/>
          <w:highlight w:val="none"/>
        </w:rPr>
      </w:pPr>
      <w:bookmarkStart w:id="44" w:name="_Toc57707874"/>
      <w:bookmarkStart w:id="45" w:name="_Toc57203204"/>
      <w:bookmarkStart w:id="46" w:name="_Toc57976629"/>
      <w:bookmarkStart w:id="47" w:name="_Toc71371897"/>
      <w:bookmarkStart w:id="48" w:name="_Toc74812268"/>
      <w:bookmarkStart w:id="49" w:name="_Toc69690764"/>
      <w:bookmarkStart w:id="50" w:name="_Toc77667241"/>
      <w:bookmarkStart w:id="51" w:name="_Toc80105097"/>
      <w:bookmarkStart w:id="52" w:name="_Toc61597174"/>
      <w:bookmarkStart w:id="53" w:name="_Toc67523546"/>
      <w:r>
        <w:rPr>
          <w:b/>
          <w:color w:val="auto"/>
          <w:w w:val="99"/>
          <w:kern w:val="2"/>
          <w:sz w:val="24"/>
          <w:szCs w:val="24"/>
          <w:highlight w:val="none"/>
        </w:rPr>
        <w:t>1.4.2</w:t>
      </w:r>
      <w:bookmarkEnd w:id="41"/>
      <w:bookmarkEnd w:id="42"/>
      <w:bookmarkEnd w:id="43"/>
      <w:bookmarkEnd w:id="44"/>
      <w:bookmarkEnd w:id="45"/>
      <w:bookmarkEnd w:id="46"/>
      <w:r>
        <w:rPr>
          <w:b/>
          <w:color w:val="auto"/>
          <w:w w:val="99"/>
          <w:kern w:val="2"/>
          <w:sz w:val="24"/>
          <w:szCs w:val="24"/>
          <w:highlight w:val="none"/>
        </w:rPr>
        <w:t>相关规划符合性分析</w:t>
      </w:r>
      <w:bookmarkEnd w:id="47"/>
      <w:bookmarkEnd w:id="48"/>
      <w:bookmarkEnd w:id="49"/>
      <w:bookmarkEnd w:id="50"/>
      <w:bookmarkEnd w:id="51"/>
      <w:bookmarkEnd w:id="52"/>
      <w:bookmarkEnd w:id="53"/>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1.4.2.1与《黑龙江省主体功能区规划》符合性分析</w:t>
      </w:r>
    </w:p>
    <w:p>
      <w:pPr>
        <w:pStyle w:val="109"/>
        <w:widowControl w:val="0"/>
        <w:spacing w:line="440" w:lineRule="exact"/>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本项目位于</w:t>
      </w:r>
      <w:r>
        <w:rPr>
          <w:rFonts w:hint="eastAsia" w:ascii="Times New Roman" w:hAnsi="Times New Roman" w:eastAsiaTheme="minorEastAsia"/>
          <w:color w:val="auto"/>
          <w:w w:val="99"/>
          <w:highlight w:val="none"/>
        </w:rPr>
        <w:t>大庆市</w:t>
      </w:r>
      <w:r>
        <w:rPr>
          <w:rFonts w:hint="eastAsia" w:ascii="Times New Roman" w:hAnsi="Times New Roman" w:eastAsiaTheme="minorEastAsia"/>
          <w:color w:val="auto"/>
          <w:w w:val="99"/>
          <w:highlight w:val="none"/>
          <w:lang w:eastAsia="zh-CN"/>
        </w:rPr>
        <w:t>肇源县</w:t>
      </w:r>
      <w:r>
        <w:rPr>
          <w:rFonts w:ascii="Times New Roman" w:hAnsi="Times New Roman" w:eastAsiaTheme="minorEastAsia"/>
          <w:color w:val="auto"/>
          <w:w w:val="99"/>
          <w:highlight w:val="none"/>
        </w:rPr>
        <w:t>，根据《黑龙江省主体功能区规划》</w:t>
      </w:r>
      <w:bookmarkStart w:id="54" w:name="_Toc321823622"/>
      <w:bookmarkStart w:id="55" w:name="_Toc273096878"/>
      <w:r>
        <w:rPr>
          <w:rFonts w:ascii="Times New Roman" w:hAnsi="Times New Roman" w:eastAsiaTheme="minorEastAsia"/>
          <w:color w:val="auto"/>
          <w:w w:val="99"/>
          <w:highlight w:val="none"/>
        </w:rPr>
        <w:t>，大庆市</w:t>
      </w:r>
      <w:r>
        <w:rPr>
          <w:rFonts w:hint="eastAsia" w:ascii="Times New Roman" w:hAnsi="Times New Roman" w:eastAsiaTheme="minorEastAsia"/>
          <w:color w:val="auto"/>
          <w:w w:val="99"/>
          <w:highlight w:val="none"/>
          <w:lang w:eastAsia="zh-CN"/>
        </w:rPr>
        <w:t>肇源县</w:t>
      </w:r>
      <w:r>
        <w:rPr>
          <w:rFonts w:ascii="Times New Roman" w:hAnsi="Times New Roman" w:eastAsiaTheme="minorEastAsia"/>
          <w:color w:val="auto"/>
          <w:w w:val="99"/>
          <w:highlight w:val="none"/>
        </w:rPr>
        <w:t>属于限制开发区域，</w:t>
      </w:r>
      <w:bookmarkEnd w:id="54"/>
      <w:bookmarkEnd w:id="55"/>
      <w:r>
        <w:rPr>
          <w:rFonts w:ascii="Times New Roman" w:hAnsi="Times New Roman" w:eastAsiaTheme="minorEastAsia"/>
          <w:color w:val="auto"/>
          <w:w w:val="99"/>
          <w:highlight w:val="none"/>
        </w:rPr>
        <w:t>该区域限制进行大规模高强度工业化城镇化开发。该区域功能定位：以提供农产品为主体功能，保障农产品供给安全的重要区域；重要的商品粮生产基地、绿色食品生产基地、畜牧业生产基地和农产品深加工区、农业综合开发试验区、社会主义新农村建设的示范区。</w:t>
      </w:r>
    </w:p>
    <w:p>
      <w:pPr>
        <w:pStyle w:val="109"/>
        <w:widowControl w:val="0"/>
        <w:spacing w:line="440" w:lineRule="exact"/>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szCs w:val="28"/>
          <w:highlight w:val="none"/>
        </w:rPr>
        <w:t>根据《基本农田保护条例》中规定：国家能源、交通、水利、军事设施等重点建设项目选址确实无法避开基本农田保护区，需要占用基本农田，涉及农用地转用或者征用土地必须经国务院批准。经国务院批准占用基本农田的，当地人民政府应当按照国务院的批准文件修改土地利用总体规划，并补充划入数量和质量相当的基本农田。占用单位应当按照占多少、垦多少的原则，负责开垦与所占用的基本农田数量与质量相当的耕地；没有条件开垦或者开垦的耕地不符合的要求的，应当按照省、自治区、直辖市的规定缴纳耕地开垦费，专款用于开垦新的耕地。</w:t>
      </w:r>
    </w:p>
    <w:p>
      <w:pPr>
        <w:pStyle w:val="109"/>
        <w:widowControl w:val="0"/>
        <w:spacing w:line="440" w:lineRule="exact"/>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且根据《黑龙江省主体功能区规划》中第八章第二节能源开发利用中明确：“在大庆及周边地区，加大石油勘探开发力度，实施老油田二次开发工程和三次采油工程，稳定石油产量”。第三节主要矿产资源开发利用中明确：“鼓励开采石油、天然气、煤层气、地热、油页岩、铁、铜、铅、锌、岩金、铂、钯、水泥用大理岩、含钾岩石、熔炼水晶、玻璃用硅质原料、珍珠岩、陶粒用原料、岩棉用玄武岩、透辉石岩、饰面石岩等矿产资源”。</w:t>
      </w:r>
    </w:p>
    <w:p>
      <w:pPr>
        <w:pStyle w:val="109"/>
        <w:widowControl w:val="0"/>
        <w:spacing w:line="440" w:lineRule="exact"/>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本项目属于油田开发项目，符合《黑龙江省主体功能区规划》要求。</w:t>
      </w:r>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1.4.2.2与《黑龙江省生态功能区规划》符合性分析</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根据《黑龙江省生态功能区划》，本项目所在区域位于</w:t>
      </w:r>
      <w:r>
        <w:rPr>
          <w:rFonts w:hint="eastAsia" w:cs="宋体"/>
          <w:color w:val="auto"/>
          <w:w w:val="99"/>
          <w:highlight w:val="none"/>
        </w:rPr>
        <w:t>Ⅰ</w:t>
      </w:r>
      <w:r>
        <w:rPr>
          <w:rFonts w:ascii="Times New Roman" w:hAnsi="Times New Roman" w:eastAsiaTheme="minorEastAsia"/>
          <w:color w:val="auto"/>
          <w:w w:val="99"/>
          <w:highlight w:val="none"/>
        </w:rPr>
        <w:t>—6—1—2大庆地区矿业与土壤保持生态功能区。</w:t>
      </w:r>
      <w:r>
        <w:rPr>
          <w:rFonts w:ascii="Times New Roman" w:hAnsi="Times New Roman"/>
          <w:iCs/>
          <w:color w:val="auto"/>
          <w:w w:val="99"/>
          <w:highlight w:val="none"/>
        </w:rPr>
        <w:t>该区位于大庆市，面积5170km</w:t>
      </w:r>
      <w:r>
        <w:rPr>
          <w:rFonts w:ascii="Times New Roman" w:hAnsi="Times New Roman"/>
          <w:iCs/>
          <w:color w:val="auto"/>
          <w:w w:val="99"/>
          <w:highlight w:val="none"/>
          <w:vertAlign w:val="superscript"/>
        </w:rPr>
        <w:t>2</w:t>
      </w:r>
      <w:r>
        <w:rPr>
          <w:rFonts w:ascii="Times New Roman" w:hAnsi="Times New Roman"/>
          <w:iCs/>
          <w:color w:val="auto"/>
          <w:w w:val="99"/>
          <w:highlight w:val="none"/>
        </w:rPr>
        <w:t>，该功能区的主要生态系统服务功能为沙漠化控制、植被保护、生物多样性保护、石油开采</w:t>
      </w:r>
      <w:r>
        <w:rPr>
          <w:rFonts w:ascii="Times New Roman" w:hAnsi="Times New Roman" w:eastAsiaTheme="minorEastAsia"/>
          <w:color w:val="auto"/>
          <w:w w:val="99"/>
          <w:highlight w:val="none"/>
        </w:rPr>
        <w:t>。</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本项目位于黑龙江省大庆市</w:t>
      </w:r>
      <w:r>
        <w:rPr>
          <w:rFonts w:hint="eastAsia" w:ascii="Times New Roman" w:hAnsi="Times New Roman" w:eastAsiaTheme="minorEastAsia"/>
          <w:color w:val="auto"/>
          <w:w w:val="99"/>
          <w:highlight w:val="none"/>
          <w:lang w:eastAsia="zh-CN"/>
        </w:rPr>
        <w:t>肇源县</w:t>
      </w:r>
      <w:r>
        <w:rPr>
          <w:rFonts w:hint="eastAsia" w:ascii="Times New Roman" w:hAnsi="Times New Roman" w:eastAsiaTheme="minorEastAsia"/>
          <w:color w:val="auto"/>
          <w:w w:val="99"/>
          <w:highlight w:val="none"/>
        </w:rPr>
        <w:t>境内</w:t>
      </w:r>
      <w:r>
        <w:rPr>
          <w:rFonts w:ascii="Times New Roman" w:hAnsi="Times New Roman" w:eastAsiaTheme="minorEastAsia"/>
          <w:color w:val="auto"/>
          <w:w w:val="99"/>
          <w:highlight w:val="none"/>
        </w:rPr>
        <w:t>，建成后永久占地面积为</w:t>
      </w:r>
      <w:r>
        <w:rPr>
          <w:rFonts w:hint="eastAsia" w:ascii="Times New Roman" w:hAnsi="Times New Roman" w:eastAsiaTheme="minorEastAsia"/>
          <w:color w:val="auto"/>
          <w:w w:val="99"/>
          <w:highlight w:val="none"/>
          <w:lang w:val="en-US" w:eastAsia="zh-CN"/>
        </w:rPr>
        <w:t>6.16</w:t>
      </w:r>
      <w:r>
        <w:rPr>
          <w:rFonts w:ascii="Times New Roman" w:hAnsi="Times New Roman" w:eastAsiaTheme="minorEastAsia"/>
          <w:color w:val="auto"/>
          <w:w w:val="99"/>
          <w:highlight w:val="none"/>
        </w:rPr>
        <w:t>hm</w:t>
      </w:r>
      <w:r>
        <w:rPr>
          <w:rFonts w:ascii="Times New Roman" w:hAnsi="Times New Roman" w:eastAsiaTheme="minorEastAsia"/>
          <w:color w:val="auto"/>
          <w:w w:val="99"/>
          <w:highlight w:val="none"/>
          <w:vertAlign w:val="superscript"/>
        </w:rPr>
        <w:t>2</w:t>
      </w:r>
      <w:r>
        <w:rPr>
          <w:rFonts w:ascii="Times New Roman" w:hAnsi="Times New Roman" w:eastAsiaTheme="minorEastAsia"/>
          <w:color w:val="auto"/>
          <w:w w:val="99"/>
          <w:highlight w:val="none"/>
        </w:rPr>
        <w:t>，</w:t>
      </w:r>
      <w:r>
        <w:rPr>
          <w:rFonts w:ascii="Times New Roman" w:hAnsi="Times New Roman" w:eastAsiaTheme="minorEastAsia"/>
          <w:bCs/>
          <w:snapToGrid w:val="0"/>
          <w:color w:val="auto"/>
          <w:w w:val="99"/>
          <w:highlight w:val="none"/>
        </w:rPr>
        <w:t>临时占地面积为</w:t>
      </w:r>
      <w:r>
        <w:rPr>
          <w:rFonts w:hint="eastAsia" w:ascii="Times New Roman" w:hAnsi="Times New Roman" w:eastAsiaTheme="minorEastAsia"/>
          <w:bCs/>
          <w:snapToGrid w:val="0"/>
          <w:color w:val="auto"/>
          <w:w w:val="99"/>
          <w:highlight w:val="none"/>
          <w:lang w:val="en-US" w:eastAsia="zh-CN"/>
        </w:rPr>
        <w:t>22.88</w:t>
      </w:r>
      <w:r>
        <w:rPr>
          <w:rFonts w:hint="eastAsia" w:ascii="Times New Roman" w:hAnsi="Times New Roman" w:eastAsiaTheme="minorEastAsia"/>
          <w:bCs/>
          <w:snapToGrid w:val="0"/>
          <w:color w:val="auto"/>
          <w:w w:val="99"/>
          <w:highlight w:val="none"/>
        </w:rPr>
        <w:t>6hm</w:t>
      </w:r>
      <w:r>
        <w:rPr>
          <w:rFonts w:hint="eastAsia" w:ascii="Times New Roman" w:hAnsi="Times New Roman" w:eastAsiaTheme="minorEastAsia"/>
          <w:bCs/>
          <w:snapToGrid w:val="0"/>
          <w:color w:val="auto"/>
          <w:w w:val="99"/>
          <w:highlight w:val="none"/>
          <w:vertAlign w:val="superscript"/>
        </w:rPr>
        <w:t>2</w:t>
      </w:r>
      <w:r>
        <w:rPr>
          <w:rFonts w:ascii="Times New Roman" w:hAnsi="Times New Roman" w:eastAsiaTheme="minorEastAsia"/>
          <w:bCs/>
          <w:snapToGrid w:val="0"/>
          <w:color w:val="auto"/>
          <w:w w:val="99"/>
          <w:highlight w:val="none"/>
        </w:rPr>
        <w:t>，</w:t>
      </w:r>
      <w:r>
        <w:rPr>
          <w:rFonts w:ascii="Times New Roman" w:hAnsi="Times New Roman" w:eastAsiaTheme="minorEastAsia"/>
          <w:color w:val="auto"/>
          <w:w w:val="99"/>
          <w:highlight w:val="none"/>
        </w:rPr>
        <w:t>占地类型为耕地（</w:t>
      </w:r>
      <w:r>
        <w:rPr>
          <w:rFonts w:hint="eastAsia" w:ascii="Times New Roman" w:hAnsi="Times New Roman" w:eastAsiaTheme="minorEastAsia"/>
          <w:color w:val="auto"/>
          <w:w w:val="99"/>
          <w:highlight w:val="none"/>
          <w:lang w:eastAsia="zh-CN"/>
        </w:rPr>
        <w:t>非</w:t>
      </w:r>
      <w:r>
        <w:rPr>
          <w:rFonts w:ascii="Times New Roman" w:hAnsi="Times New Roman" w:eastAsiaTheme="minorEastAsia"/>
          <w:color w:val="auto"/>
          <w:w w:val="99"/>
          <w:highlight w:val="none"/>
        </w:rPr>
        <w:t>基本农田</w:t>
      </w:r>
      <w:r>
        <w:rPr>
          <w:rFonts w:hint="eastAsia" w:ascii="Times New Roman" w:hAnsi="Times New Roman" w:eastAsiaTheme="minorEastAsia"/>
          <w:color w:val="auto"/>
          <w:w w:val="99"/>
          <w:highlight w:val="none"/>
          <w:lang w:eastAsia="zh-CN"/>
        </w:rPr>
        <w:t>、少量永久基本农田</w:t>
      </w:r>
      <w:r>
        <w:rPr>
          <w:rFonts w:ascii="Times New Roman" w:hAnsi="Times New Roman" w:eastAsiaTheme="minorEastAsia"/>
          <w:color w:val="auto"/>
          <w:w w:val="99"/>
          <w:highlight w:val="none"/>
        </w:rPr>
        <w:t>），项目施工结束后对临时占地进行恢复，对永久占地进行补偿，不会造成大面积的土地退化，项目的建设不会对区域生态功能产生明显影响，同时，在项目实施过程中，加强防沙治沙和水土保持措施的实施。因此本项目符合《黑龙江省生态功能区划》的要求。</w:t>
      </w:r>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1.4.2.3国民经济和社会发展规划符合性分析</w:t>
      </w:r>
    </w:p>
    <w:p>
      <w:pPr>
        <w:pStyle w:val="109"/>
        <w:ind w:firstLine="473"/>
        <w:rPr>
          <w:rFonts w:ascii="Times New Roman" w:hAnsi="Times New Roman" w:eastAsiaTheme="minorEastAsia"/>
          <w:color w:val="auto"/>
          <w:w w:val="99"/>
          <w:highlight w:val="none"/>
          <w:lang w:bidi="zh-CN"/>
        </w:rPr>
      </w:pPr>
      <w:r>
        <w:rPr>
          <w:rFonts w:ascii="Times New Roman" w:hAnsi="Times New Roman" w:eastAsiaTheme="minorEastAsia"/>
          <w:color w:val="auto"/>
          <w:w w:val="99"/>
          <w:highlight w:val="none"/>
          <w:lang w:bidi="zh-CN"/>
        </w:rPr>
        <w:t>黑龙江省委在关于制定国民经济和社会发展第十四个五年规划和二〇三五年远景目标的建议中提出保障国家能源安全。当好标杆旗帜、建设“百年油田”，推进大庆油田常规油气资源抓稳油增气，页岩油、页岩气、致密油气等非常规油气资源抓勘探上产，推进页岩油气开发利用取得突破，老油田实现二次革命。大庆市委在关于制定国民经济和社会发展第十四个五年规划和二O三五年远景目标的建议中提出加快体制机制创新，全力推动百年油田建设，支持油田打好“提质增效”攻坚战。支持油田打好“提质增效”攻坚战。全力服务油田产能建设，在环保、安全、自然资源利用等方面简化审批流程、开辟政务“绿色通道”，保障油气资源高质高效开发。</w:t>
      </w:r>
    </w:p>
    <w:p>
      <w:pPr>
        <w:pStyle w:val="109"/>
        <w:ind w:firstLine="473"/>
        <w:rPr>
          <w:rFonts w:ascii="Times New Roman" w:hAnsi="Times New Roman" w:eastAsiaTheme="minorEastAsia"/>
          <w:color w:val="auto"/>
          <w:w w:val="99"/>
          <w:highlight w:val="none"/>
          <w:lang w:bidi="zh-CN"/>
        </w:rPr>
      </w:pPr>
      <w:r>
        <w:rPr>
          <w:rFonts w:ascii="Times New Roman" w:hAnsi="Times New Roman" w:eastAsiaTheme="minorEastAsia"/>
          <w:color w:val="auto"/>
          <w:w w:val="99"/>
          <w:highlight w:val="none"/>
          <w:lang w:bidi="zh-CN"/>
        </w:rPr>
        <w:t>大庆市国民经济和社会发展第十三个五年规划纲要中提出，支持油田加大油气勘探力度，扩大勘探区域，提高探明率，增加石油、天然气后备可采储量。支持油田加强产能建设，发展精细水驱和三次采油，着力提高采收率，增加天然气产量，稳定油气生产规模。争取国家在大庆建设原油储备基地。积极扩大小油田开发合作。支持油田开拓国外市场。本工程建设就是为稳定油气生产规模，其建设符合该规划纲要。</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根据《大庆市城市总体规划（2011-2020年）》中“第五章主城区总体布局规划中第八节工业、仓储用地规划”，石油开采工业：主要在萨尔图周围及萨大路两侧为油田开发带，以石油开采业为主，是大庆油田产能的核心地域，要保证采油“三次加密”的实施，推广新技术手段的应用，加大外围油田勘探和开采力度，建立多元油田开发机制，在油田开采同时应兼顾城市生态环境的建设。本项目位于</w:t>
      </w:r>
      <w:r>
        <w:rPr>
          <w:rFonts w:hint="eastAsia" w:ascii="Times New Roman" w:hAnsi="Times New Roman" w:eastAsiaTheme="minorEastAsia"/>
          <w:color w:val="auto"/>
          <w:w w:val="99"/>
          <w:highlight w:val="none"/>
        </w:rPr>
        <w:t>大庆市</w:t>
      </w:r>
      <w:r>
        <w:rPr>
          <w:rFonts w:hint="eastAsia" w:ascii="Times New Roman" w:hAnsi="Times New Roman" w:eastAsiaTheme="minorEastAsia"/>
          <w:color w:val="auto"/>
          <w:w w:val="99"/>
          <w:highlight w:val="none"/>
          <w:lang w:eastAsia="zh-CN"/>
        </w:rPr>
        <w:t>肇源县</w:t>
      </w:r>
      <w:r>
        <w:rPr>
          <w:rFonts w:ascii="Times New Roman" w:hAnsi="Times New Roman" w:eastAsiaTheme="minorEastAsia"/>
          <w:color w:val="auto"/>
          <w:w w:val="99"/>
          <w:highlight w:val="none"/>
        </w:rPr>
        <w:t>，属于外围油田，符合该规划要求。</w:t>
      </w:r>
    </w:p>
    <w:p>
      <w:pPr>
        <w:pStyle w:val="109"/>
        <w:ind w:firstLine="473"/>
        <w:jc w:val="both"/>
        <w:rPr>
          <w:rFonts w:ascii="Times New Roman" w:hAnsi="Times New Roman" w:eastAsiaTheme="minorEastAsia"/>
          <w:color w:val="auto"/>
          <w:w w:val="99"/>
          <w:highlight w:val="none"/>
          <w:lang w:bidi="zh-CN"/>
        </w:rPr>
      </w:pPr>
      <w:r>
        <w:rPr>
          <w:rFonts w:hint="eastAsia" w:ascii="Times New Roman" w:hAnsi="Times New Roman" w:eastAsiaTheme="minorEastAsia"/>
          <w:color w:val="auto"/>
          <w:w w:val="99"/>
          <w:highlight w:val="none"/>
          <w:lang w:bidi="zh-CN"/>
        </w:rPr>
        <w:t>《</w:t>
      </w:r>
      <w:r>
        <w:rPr>
          <w:rFonts w:ascii="Times New Roman" w:hAnsi="Times New Roman" w:eastAsiaTheme="minorEastAsia"/>
          <w:color w:val="auto"/>
          <w:w w:val="99"/>
          <w:highlight w:val="none"/>
          <w:lang w:bidi="zh-CN"/>
        </w:rPr>
        <w:t>大庆油田油振兴发展纲要</w:t>
      </w:r>
      <w:r>
        <w:rPr>
          <w:rFonts w:hint="eastAsia" w:ascii="Times New Roman" w:hAnsi="Times New Roman" w:eastAsiaTheme="minorEastAsia"/>
          <w:color w:val="auto"/>
          <w:w w:val="99"/>
          <w:highlight w:val="none"/>
          <w:lang w:bidi="zh-CN"/>
        </w:rPr>
        <w:t>》</w:t>
      </w:r>
      <w:r>
        <w:rPr>
          <w:rFonts w:ascii="Times New Roman" w:hAnsi="Times New Roman" w:eastAsiaTheme="minorEastAsia"/>
          <w:color w:val="auto"/>
          <w:w w:val="99"/>
          <w:highlight w:val="none"/>
          <w:lang w:bidi="zh-CN"/>
        </w:rPr>
        <w:t>（2020年6月）根据大庆油田振兴发展纲要，力争到2025年，基本探明页岩油储量30亿吨，累计增加石油探明储量8亿吨，天然气探时储量3500亿立方米；本土原油产量实现3000万吨规模，天然气产量达到70亿立方米以上。《</w:t>
      </w:r>
      <w:r>
        <w:rPr>
          <w:rFonts w:hint="eastAsia" w:ascii="Times New Roman" w:hAnsi="Times New Roman" w:eastAsiaTheme="minorEastAsia"/>
          <w:snapToGrid w:val="0"/>
          <w:color w:val="auto"/>
          <w:w w:val="99"/>
          <w:highlight w:val="none"/>
          <w:lang w:eastAsia="zh-CN"/>
        </w:rPr>
        <w:t>肇源油田源35区块外扩开发钻井工程</w:t>
      </w:r>
      <w:r>
        <w:rPr>
          <w:rFonts w:hint="eastAsia" w:ascii="Times New Roman" w:hAnsi="Times New Roman" w:eastAsiaTheme="minorEastAsia"/>
          <w:snapToGrid w:val="0"/>
          <w:color w:val="auto"/>
          <w:w w:val="99"/>
          <w:highlight w:val="none"/>
        </w:rPr>
        <w:t>项目</w:t>
      </w:r>
      <w:r>
        <w:rPr>
          <w:rFonts w:ascii="Times New Roman" w:hAnsi="Times New Roman" w:eastAsiaTheme="minorEastAsia"/>
          <w:color w:val="auto"/>
          <w:w w:val="99"/>
          <w:highlight w:val="none"/>
          <w:lang w:bidi="zh-CN"/>
        </w:rPr>
        <w:t>》拟钻的</w:t>
      </w:r>
      <w:r>
        <w:rPr>
          <w:rFonts w:hint="eastAsia" w:ascii="Times New Roman" w:hAnsi="Times New Roman" w:eastAsiaTheme="minorEastAsia"/>
          <w:color w:val="auto"/>
          <w:w w:val="99"/>
          <w:highlight w:val="none"/>
          <w:lang w:bidi="zh-CN"/>
        </w:rPr>
        <w:t>4</w:t>
      </w:r>
      <w:r>
        <w:rPr>
          <w:rFonts w:hint="eastAsia" w:ascii="Times New Roman" w:hAnsi="Times New Roman" w:eastAsiaTheme="minorEastAsia"/>
          <w:color w:val="auto"/>
          <w:w w:val="99"/>
          <w:highlight w:val="none"/>
          <w:lang w:val="en-US" w:bidi="zh-CN"/>
        </w:rPr>
        <w:t>4</w:t>
      </w:r>
      <w:r>
        <w:rPr>
          <w:rFonts w:hint="eastAsia" w:ascii="Times New Roman" w:hAnsi="Times New Roman" w:eastAsiaTheme="minorEastAsia"/>
          <w:color w:val="auto"/>
          <w:w w:val="99"/>
          <w:highlight w:val="none"/>
          <w:lang w:bidi="zh-CN"/>
        </w:rPr>
        <w:t>口</w:t>
      </w:r>
      <w:r>
        <w:rPr>
          <w:rFonts w:ascii="Times New Roman" w:hAnsi="Times New Roman" w:eastAsiaTheme="minorEastAsia"/>
          <w:color w:val="auto"/>
          <w:w w:val="99"/>
          <w:highlight w:val="none"/>
          <w:lang w:bidi="zh-CN"/>
        </w:rPr>
        <w:t>油井是该规划中提及一部分，其建设符合大庆油田油振兴发展纲要。</w:t>
      </w:r>
    </w:p>
    <w:p>
      <w:pPr>
        <w:widowControl w:val="0"/>
        <w:spacing w:line="500" w:lineRule="exact"/>
        <w:ind w:firstLine="474" w:firstLineChars="200"/>
        <w:jc w:val="both"/>
        <w:rPr>
          <w:rFonts w:ascii="Times New Roman" w:hAnsi="Times New Roman" w:cs="Times New Roman" w:eastAsiaTheme="minorEastAsia"/>
          <w:bCs/>
          <w:color w:val="auto"/>
          <w:w w:val="99"/>
          <w:kern w:val="2"/>
          <w:highlight w:val="none"/>
        </w:rPr>
      </w:pPr>
      <w:r>
        <w:rPr>
          <w:rFonts w:ascii="Times New Roman" w:hAnsi="Times New Roman" w:cs="Times New Roman" w:eastAsiaTheme="minorEastAsia"/>
          <w:bCs/>
          <w:color w:val="auto"/>
          <w:w w:val="99"/>
          <w:kern w:val="2"/>
          <w:highlight w:val="none"/>
        </w:rPr>
        <w:t>《中共大庆市委关于制定国民经济和社会发展第十四个五年规划和二〇三五年远景目标的建议》中提出：完善百年油田建设专班推进工作机制；支持油田打好“提质增效”攻坚战，权利服务油田产能建设；拓展油田装备、油气储运、信息服务等产业合作领域，壮大混合所有制经济；加强油气资源和新能源开发利用；维护油田产业链供应链稳定；保障油田生产秩序。本工程为石油开采项目，因此本项目符合《中共大庆市委关于制定国民经济和社会发展第十四个五年规划和二〇三五年远景目标的建议》要求。</w:t>
      </w:r>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1.4.2.</w:t>
      </w:r>
      <w:r>
        <w:rPr>
          <w:rFonts w:hint="eastAsia" w:ascii="Times New Roman" w:hAnsi="Times New Roman" w:eastAsia="黑体"/>
          <w:b/>
          <w:color w:val="auto"/>
          <w:w w:val="99"/>
          <w:highlight w:val="none"/>
          <w:lang w:val="en-US" w:eastAsia="zh-CN"/>
        </w:rPr>
        <w:t>4</w:t>
      </w:r>
      <w:r>
        <w:rPr>
          <w:rFonts w:ascii="Times New Roman" w:hAnsi="Times New Roman" w:eastAsia="黑体"/>
          <w:b/>
          <w:color w:val="auto"/>
          <w:w w:val="99"/>
          <w:highlight w:val="none"/>
        </w:rPr>
        <w:t>大庆市生态环境保护“十三五”规划符合性分析</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大庆市生态环境保护“十三五”规划》（2017.3.20）中要求“石化生产储存销售企业和工业园区、矿山开采区、垃圾填埋场等区域应进行必要的防渗处理”，本项目施工阶段对施工井场采取分区防渗措施；该规划中要求“按照‘源头严防、过程严管、后果严惩’的思路，对土壤污染要健全监管体系、增强监管力量、提高监管效率，从源头控制造成土壤污染的主要来源。建立土壤环境质量例行监测点位，加强土壤环境质量监测网络建设，提高土壤环境监测能力”，本项目要求对项目拟钻井场及井场外耕地的土壤进行跟踪监测；因此，本项目符合《大庆市生态环境保护“十三五”规划》中相关规定。</w:t>
      </w:r>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1.4.2.</w:t>
      </w:r>
      <w:r>
        <w:rPr>
          <w:rFonts w:hint="eastAsia" w:ascii="Times New Roman" w:hAnsi="Times New Roman" w:eastAsia="黑体"/>
          <w:b/>
          <w:color w:val="auto"/>
          <w:w w:val="99"/>
          <w:highlight w:val="none"/>
          <w:lang w:val="en-US" w:eastAsia="zh-CN"/>
        </w:rPr>
        <w:t>5</w:t>
      </w:r>
      <w:r>
        <w:rPr>
          <w:rFonts w:ascii="Times New Roman" w:hAnsi="Times New Roman" w:eastAsia="黑体"/>
          <w:b/>
          <w:color w:val="auto"/>
          <w:w w:val="99"/>
          <w:highlight w:val="none"/>
        </w:rPr>
        <w:t>《大庆市土地利用总体规划》（2006-2020年）符合性分析</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本项目位于</w:t>
      </w:r>
      <w:r>
        <w:rPr>
          <w:rFonts w:hint="eastAsia" w:ascii="Times New Roman" w:hAnsi="Times New Roman" w:eastAsiaTheme="minorEastAsia"/>
          <w:color w:val="auto"/>
          <w:w w:val="99"/>
          <w:highlight w:val="none"/>
        </w:rPr>
        <w:t>大庆市</w:t>
      </w:r>
      <w:r>
        <w:rPr>
          <w:rFonts w:hint="eastAsia" w:ascii="Times New Roman" w:hAnsi="Times New Roman" w:eastAsiaTheme="minorEastAsia"/>
          <w:color w:val="auto"/>
          <w:w w:val="99"/>
          <w:highlight w:val="none"/>
          <w:lang w:eastAsia="zh-CN"/>
        </w:rPr>
        <w:t>肇源县</w:t>
      </w:r>
      <w:r>
        <w:rPr>
          <w:rFonts w:ascii="Times New Roman" w:hAnsi="Times New Roman" w:eastAsiaTheme="minorEastAsia"/>
          <w:color w:val="auto"/>
          <w:w w:val="99"/>
          <w:highlight w:val="none"/>
        </w:rPr>
        <w:t>，根据《大庆市土地利用总体规划》（2006-2020年），本项目所在地为</w:t>
      </w:r>
      <w:r>
        <w:rPr>
          <w:rFonts w:hint="eastAsia" w:ascii="Times New Roman" w:hAnsi="Times New Roman" w:eastAsiaTheme="minorEastAsia"/>
          <w:color w:val="auto"/>
          <w:w w:val="99"/>
          <w:highlight w:val="none"/>
          <w:lang w:eastAsia="zh-CN"/>
        </w:rPr>
        <w:t>牧业发展区</w:t>
      </w:r>
      <w:r>
        <w:rPr>
          <w:rFonts w:ascii="Times New Roman" w:hAnsi="Times New Roman" w:eastAsiaTheme="minorEastAsia"/>
          <w:color w:val="auto"/>
          <w:w w:val="99"/>
          <w:highlight w:val="none"/>
        </w:rPr>
        <w:t>。</w:t>
      </w:r>
      <w:r>
        <w:rPr>
          <w:rFonts w:hint="eastAsia" w:ascii="Times New Roman" w:hAnsi="Times New Roman" w:eastAsiaTheme="minorEastAsia"/>
          <w:color w:val="auto"/>
          <w:w w:val="99"/>
          <w:highlight w:val="none"/>
          <w:lang w:eastAsia="zh-CN"/>
        </w:rPr>
        <w:t>牧业发展区</w:t>
      </w:r>
      <w:r>
        <w:rPr>
          <w:rFonts w:ascii="Times New Roman" w:hAnsi="Times New Roman" w:eastAsiaTheme="minorEastAsia"/>
          <w:color w:val="auto"/>
          <w:w w:val="99"/>
          <w:highlight w:val="none"/>
        </w:rPr>
        <w:t>的土地综合利用方向为：</w:t>
      </w:r>
      <w:r>
        <w:rPr>
          <w:rFonts w:hint="eastAsia" w:ascii="Times New Roman" w:hAnsi="Times New Roman" w:eastAsiaTheme="minorEastAsia"/>
          <w:color w:val="auto"/>
          <w:w w:val="99"/>
          <w:highlight w:val="none"/>
        </w:rPr>
        <w:t>以牧业生产为主，进一步开展“三沙”苇地治理，增加人工和改良草场面积，提高草场质量，持草场面积稳定，大力发展符合地方特色的畜牧业</w:t>
      </w:r>
      <w:r>
        <w:rPr>
          <w:rFonts w:ascii="Times New Roman" w:hAnsi="Times New Roman" w:eastAsiaTheme="minorEastAsia"/>
          <w:color w:val="auto"/>
          <w:w w:val="99"/>
          <w:highlight w:val="none"/>
        </w:rPr>
        <w:t>。</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根据《大庆市土地利用总体规划（2006~2020）》中的要求，对列入国家和省重点建设计划的交通、水利、能源、环保等基础设施建设项目用地必须要优先安排，重点保障；本项目为油田开发项目，属于能源附属基本设施建设，服务于国家能源设施重点建设，根据油层地质勘查，项目井位确实无法避让耕地，本项目施工完毕后1年内，对永久占用的耕地给予农民一定的费用补偿，临时占地全部恢复原有植被类型，即临时占用耕地全部恢复。临时</w:t>
      </w:r>
      <w:r>
        <w:rPr>
          <w:rFonts w:hint="eastAsia" w:ascii="Times New Roman" w:hAnsi="Times New Roman" w:eastAsiaTheme="minorEastAsia"/>
          <w:color w:val="auto"/>
          <w:w w:val="99"/>
          <w:highlight w:val="none"/>
        </w:rPr>
        <w:t>占用耕地</w:t>
      </w:r>
      <w:r>
        <w:rPr>
          <w:rFonts w:ascii="Times New Roman" w:hAnsi="Times New Roman" w:eastAsiaTheme="minorEastAsia"/>
          <w:color w:val="auto"/>
          <w:w w:val="99"/>
          <w:highlight w:val="none"/>
        </w:rPr>
        <w:t>恢复也可给予农民一定的费用补偿，由农民自行进行土地恢复，在此前提下，符合土地利用总体规划要求。本项目与大庆市土地利用总体规划位置关系图见附图2。</w:t>
      </w:r>
      <w:r>
        <w:rPr>
          <w:rFonts w:ascii="Times New Roman" w:hAnsi="Times New Roman" w:eastAsiaTheme="minorEastAsia"/>
          <w:b/>
          <w:snapToGrid w:val="0"/>
          <w:color w:val="auto"/>
          <w:w w:val="99"/>
          <w:highlight w:val="none"/>
        </w:rPr>
        <w:t xml:space="preserve"> </w:t>
      </w:r>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1.4.2.</w:t>
      </w:r>
      <w:r>
        <w:rPr>
          <w:rFonts w:hint="eastAsia" w:ascii="Times New Roman" w:hAnsi="Times New Roman" w:eastAsia="黑体"/>
          <w:b/>
          <w:color w:val="auto"/>
          <w:w w:val="99"/>
          <w:highlight w:val="none"/>
          <w:lang w:val="en-US" w:eastAsia="zh-CN"/>
        </w:rPr>
        <w:t>6</w:t>
      </w:r>
      <w:r>
        <w:rPr>
          <w:rFonts w:ascii="Times New Roman" w:hAnsi="Times New Roman" w:eastAsia="黑体"/>
          <w:b/>
          <w:color w:val="auto"/>
          <w:w w:val="99"/>
          <w:highlight w:val="none"/>
        </w:rPr>
        <w:t>与《大庆市水土保持规划》（2015～2030年）符合性分析</w:t>
      </w:r>
    </w:p>
    <w:p>
      <w:pPr>
        <w:pStyle w:val="109"/>
        <w:widowControl w:val="0"/>
        <w:ind w:firstLine="473"/>
        <w:jc w:val="both"/>
        <w:rPr>
          <w:rFonts w:ascii="Times New Roman" w:hAnsi="Times New Roman"/>
          <w:color w:val="auto"/>
          <w:w w:val="99"/>
          <w:highlight w:val="none"/>
          <w:lang w:val="en"/>
        </w:rPr>
      </w:pPr>
      <w:r>
        <w:rPr>
          <w:rFonts w:ascii="Times New Roman" w:hAnsi="Times New Roman" w:eastAsiaTheme="minorEastAsia"/>
          <w:color w:val="auto"/>
          <w:w w:val="99"/>
          <w:highlight w:val="none"/>
        </w:rPr>
        <w:t>根据《大庆市水土保持规划》（2015～2030年），</w:t>
      </w:r>
      <w:r>
        <w:rPr>
          <w:rFonts w:ascii="Times New Roman" w:hAnsi="Times New Roman"/>
          <w:color w:val="auto"/>
          <w:w w:val="99"/>
          <w:highlight w:val="none"/>
          <w:lang w:val="en"/>
        </w:rPr>
        <w:t>大庆市划定了市级水土流失重点预防区和重点治理区，本项目拟钻井场位于</w:t>
      </w:r>
      <w:r>
        <w:rPr>
          <w:rFonts w:hint="eastAsia" w:ascii="Times New Roman" w:hAnsi="Times New Roman"/>
          <w:color w:val="auto"/>
          <w:w w:val="99"/>
          <w:highlight w:val="none"/>
          <w:lang w:val="en"/>
        </w:rPr>
        <w:t>大庆市</w:t>
      </w:r>
      <w:r>
        <w:rPr>
          <w:rFonts w:hint="eastAsia" w:ascii="Times New Roman" w:hAnsi="Times New Roman"/>
          <w:color w:val="auto"/>
          <w:w w:val="99"/>
          <w:highlight w:val="none"/>
          <w:lang w:val="en" w:eastAsia="zh-CN"/>
        </w:rPr>
        <w:t>肇源县古恰镇</w:t>
      </w:r>
      <w:r>
        <w:rPr>
          <w:rFonts w:ascii="Times New Roman" w:hAnsi="Times New Roman"/>
          <w:color w:val="auto"/>
          <w:w w:val="99"/>
          <w:highlight w:val="none"/>
          <w:lang w:val="en"/>
        </w:rPr>
        <w:t>，</w:t>
      </w:r>
      <w:r>
        <w:rPr>
          <w:rFonts w:hint="eastAsia" w:ascii="Times New Roman" w:hAnsi="Times New Roman"/>
          <w:color w:val="auto"/>
          <w:w w:val="99"/>
          <w:highlight w:val="none"/>
          <w:lang w:val="en" w:eastAsia="zh-CN"/>
        </w:rPr>
        <w:t>不</w:t>
      </w:r>
      <w:r>
        <w:rPr>
          <w:rFonts w:ascii="Times New Roman" w:hAnsi="Times New Roman"/>
          <w:color w:val="auto"/>
          <w:w w:val="99"/>
          <w:highlight w:val="none"/>
          <w:lang w:val="en"/>
        </w:rPr>
        <w:t>属于市级水土流失重点预防区和重点治理区。本项目拟钻井场所处水土保持重点治理区示意图见附图3。</w:t>
      </w:r>
      <w:r>
        <w:rPr>
          <w:rFonts w:ascii="Times New Roman" w:hAnsi="Times New Roman" w:eastAsiaTheme="minorEastAsia"/>
          <w:bCs/>
          <w:color w:val="auto"/>
          <w:w w:val="99"/>
          <w:highlight w:val="none"/>
        </w:rPr>
        <w:t>本工程的开发建设与该规划的符合性分析见表1.4-1。</w:t>
      </w:r>
    </w:p>
    <w:p>
      <w:pPr>
        <w:pStyle w:val="109"/>
        <w:widowControl w:val="0"/>
        <w:ind w:firstLine="473"/>
        <w:jc w:val="both"/>
        <w:rPr>
          <w:rFonts w:ascii="Times New Roman" w:hAnsi="Times New Roman" w:eastAsiaTheme="minorEastAsia"/>
          <w:b/>
          <w:bCs/>
          <w:color w:val="auto"/>
          <w:w w:val="99"/>
          <w:highlight w:val="none"/>
        </w:rPr>
      </w:pPr>
      <w:r>
        <w:rPr>
          <w:rFonts w:ascii="Times New Roman" w:hAnsi="Times New Roman" w:eastAsiaTheme="minorEastAsia"/>
          <w:b/>
          <w:bCs/>
          <w:color w:val="auto"/>
          <w:w w:val="99"/>
          <w:highlight w:val="none"/>
        </w:rPr>
        <w:t>表1.4-1         与《大庆市水保规划》符合性一览表</w:t>
      </w:r>
    </w:p>
    <w:tbl>
      <w:tblPr>
        <w:tblStyle w:val="8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3265"/>
        <w:gridCol w:w="4491"/>
        <w:gridCol w:w="8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69" w:type="pct"/>
            <w:vAlign w:val="center"/>
          </w:tcPr>
          <w:p>
            <w:pPr>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序号</w:t>
            </w:r>
          </w:p>
        </w:tc>
        <w:tc>
          <w:tcPr>
            <w:tcW w:w="1758" w:type="pct"/>
            <w:vAlign w:val="center"/>
          </w:tcPr>
          <w:p>
            <w:pPr>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文件要求</w:t>
            </w:r>
          </w:p>
        </w:tc>
        <w:tc>
          <w:tcPr>
            <w:tcW w:w="2418" w:type="pct"/>
            <w:vAlign w:val="center"/>
          </w:tcPr>
          <w:p>
            <w:pPr>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符合性分析</w:t>
            </w:r>
          </w:p>
        </w:tc>
        <w:tc>
          <w:tcPr>
            <w:tcW w:w="455" w:type="pct"/>
            <w:vAlign w:val="center"/>
          </w:tcPr>
          <w:p>
            <w:pPr>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vAlign w:val="center"/>
          </w:tcPr>
          <w:p>
            <w:pPr>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w:t>
            </w:r>
          </w:p>
        </w:tc>
        <w:tc>
          <w:tcPr>
            <w:tcW w:w="1758" w:type="pct"/>
            <w:vAlign w:val="center"/>
          </w:tcPr>
          <w:p>
            <w:pPr>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3.3.1.4工矿区治理中要求“治理措施以植被恢复为主，采用种草、种树绿化方法，治理油田开采和砖厂取土生产等造成的地表植被破坏”。</w:t>
            </w:r>
          </w:p>
        </w:tc>
        <w:tc>
          <w:tcPr>
            <w:tcW w:w="2418" w:type="pct"/>
            <w:vAlign w:val="center"/>
          </w:tcPr>
          <w:p>
            <w:pPr>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本项目在施工过程中尽量保护土地资源，不打乱土层，以便植被恢复，临时占用的耕地等质等量复耕。通过上述措施，可以尽快将临时占地的植被恢复至原有水平。</w:t>
            </w:r>
          </w:p>
        </w:tc>
        <w:tc>
          <w:tcPr>
            <w:tcW w:w="455" w:type="pct"/>
            <w:vAlign w:val="center"/>
          </w:tcPr>
          <w:p>
            <w:pPr>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vAlign w:val="center"/>
          </w:tcPr>
          <w:p>
            <w:pPr>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w:t>
            </w:r>
          </w:p>
        </w:tc>
        <w:tc>
          <w:tcPr>
            <w:tcW w:w="1758" w:type="pct"/>
            <w:vAlign w:val="center"/>
          </w:tcPr>
          <w:p>
            <w:pPr>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3.3.3.3次生盐渍化防治中要求“建立完善水利排水工程，避免工业污水浸泡农田；生产建设用地破坏植被应及时采取恢复植被措施，避免造成次生盐渍化”。</w:t>
            </w:r>
          </w:p>
        </w:tc>
        <w:tc>
          <w:tcPr>
            <w:tcW w:w="2418" w:type="pct"/>
            <w:vAlign w:val="center"/>
          </w:tcPr>
          <w:p>
            <w:pPr>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本项目产生的生活污水</w:t>
            </w:r>
            <w:r>
              <w:rPr>
                <w:rFonts w:hint="eastAsia" w:ascii="Times New Roman" w:hAnsi="Times New Roman" w:cs="Times New Roman" w:eastAsiaTheme="minorEastAsia"/>
                <w:color w:val="auto"/>
                <w:w w:val="99"/>
                <w:kern w:val="2"/>
                <w:sz w:val="21"/>
                <w:szCs w:val="21"/>
                <w:highlight w:val="none"/>
              </w:rPr>
              <w:t>排入施工井场内临时设置的防渗旱厕，定期清掏外运堆肥处理，施工结束后进行卫生处理，场地进行平整</w:t>
            </w:r>
            <w:r>
              <w:rPr>
                <w:rFonts w:ascii="Times New Roman" w:hAnsi="Times New Roman" w:cs="Times New Roman" w:eastAsiaTheme="minorEastAsia"/>
                <w:color w:val="auto"/>
                <w:w w:val="99"/>
                <w:kern w:val="2"/>
                <w:sz w:val="21"/>
                <w:szCs w:val="21"/>
                <w:highlight w:val="none"/>
              </w:rPr>
              <w:t>；钻井废水</w:t>
            </w:r>
            <w:r>
              <w:rPr>
                <w:rFonts w:ascii="Times New Roman" w:hAnsi="Times New Roman" w:cs="Times New Roman" w:eastAsiaTheme="minorEastAsia"/>
                <w:bCs/>
                <w:color w:val="auto"/>
                <w:w w:val="99"/>
                <w:kern w:val="2"/>
                <w:sz w:val="21"/>
                <w:szCs w:val="21"/>
                <w:highlight w:val="none"/>
              </w:rPr>
              <w:t>排入井场钢制泥浆槽，</w:t>
            </w:r>
            <w:r>
              <w:rPr>
                <w:rFonts w:hint="eastAsia" w:ascii="Times New Roman" w:hAnsi="Times New Roman" w:cs="Times New Roman" w:eastAsiaTheme="minorEastAsia"/>
                <w:bCs/>
                <w:color w:val="auto"/>
                <w:w w:val="99"/>
                <w:kern w:val="2"/>
                <w:sz w:val="21"/>
                <w:szCs w:val="21"/>
                <w:highlight w:val="none"/>
              </w:rPr>
              <w:t>及时拉运至</w:t>
            </w:r>
            <w:r>
              <w:rPr>
                <w:rFonts w:ascii="Times New Roman" w:hAnsi="Times New Roman" w:cs="Times New Roman" w:eastAsiaTheme="minorEastAsia"/>
                <w:color w:val="auto"/>
                <w:w w:val="99"/>
                <w:kern w:val="2"/>
                <w:sz w:val="21"/>
                <w:highlight w:val="none"/>
              </w:rPr>
              <w:t>大庆油田昆仑集团有限公司环保分公司</w:t>
            </w:r>
            <w:r>
              <w:rPr>
                <w:rFonts w:hint="eastAsia" w:ascii="Times New Roman" w:hAnsi="Times New Roman" w:cs="Times New Roman" w:eastAsiaTheme="minorEastAsia"/>
                <w:bCs/>
                <w:color w:val="auto"/>
                <w:w w:val="99"/>
                <w:kern w:val="2"/>
                <w:sz w:val="21"/>
                <w:szCs w:val="21"/>
                <w:highlight w:val="none"/>
              </w:rPr>
              <w:t>处理</w:t>
            </w:r>
            <w:r>
              <w:rPr>
                <w:rFonts w:ascii="Times New Roman" w:hAnsi="Times New Roman" w:cs="Times New Roman" w:eastAsiaTheme="minorEastAsia"/>
                <w:bCs/>
                <w:color w:val="auto"/>
                <w:w w:val="99"/>
                <w:kern w:val="2"/>
                <w:sz w:val="21"/>
                <w:szCs w:val="21"/>
                <w:highlight w:val="none"/>
              </w:rPr>
              <w:t>，本项目产生的废水均不外排</w:t>
            </w:r>
            <w:r>
              <w:rPr>
                <w:rFonts w:hint="eastAsia" w:ascii="Times New Roman" w:hAnsi="Times New Roman" w:cs="Times New Roman" w:eastAsiaTheme="minorEastAsia"/>
                <w:bCs/>
                <w:color w:val="auto"/>
                <w:w w:val="99"/>
                <w:kern w:val="2"/>
                <w:sz w:val="21"/>
                <w:szCs w:val="21"/>
                <w:highlight w:val="none"/>
              </w:rPr>
              <w:t>，且钻井</w:t>
            </w:r>
            <w:r>
              <w:rPr>
                <w:rFonts w:ascii="Times New Roman" w:hAnsi="Times New Roman" w:cs="Times New Roman" w:eastAsiaTheme="minorEastAsia"/>
                <w:bCs/>
                <w:color w:val="auto"/>
                <w:w w:val="99"/>
                <w:kern w:val="2"/>
                <w:sz w:val="21"/>
                <w:szCs w:val="21"/>
                <w:highlight w:val="none"/>
              </w:rPr>
              <w:t>施工阶段</w:t>
            </w:r>
            <w:r>
              <w:rPr>
                <w:rFonts w:hint="eastAsia" w:ascii="Times New Roman" w:hAnsi="Times New Roman" w:cs="Times New Roman" w:eastAsiaTheme="minorEastAsia"/>
                <w:bCs/>
                <w:color w:val="auto"/>
                <w:w w:val="99"/>
                <w:kern w:val="2"/>
                <w:sz w:val="21"/>
                <w:szCs w:val="21"/>
                <w:highlight w:val="none"/>
              </w:rPr>
              <w:t>井场</w:t>
            </w:r>
            <w:r>
              <w:rPr>
                <w:rFonts w:ascii="Times New Roman" w:hAnsi="Times New Roman" w:cs="Times New Roman" w:eastAsiaTheme="minorEastAsia"/>
                <w:bCs/>
                <w:color w:val="auto"/>
                <w:w w:val="99"/>
                <w:kern w:val="2"/>
                <w:sz w:val="21"/>
                <w:szCs w:val="21"/>
                <w:highlight w:val="none"/>
              </w:rPr>
              <w:t>采取分区防渗措施，不会对周边耕地产生影响</w:t>
            </w:r>
            <w:r>
              <w:rPr>
                <w:rFonts w:ascii="Times New Roman" w:hAnsi="Times New Roman" w:cs="Times New Roman" w:eastAsiaTheme="minorEastAsia"/>
                <w:color w:val="auto"/>
                <w:w w:val="99"/>
                <w:kern w:val="2"/>
                <w:sz w:val="21"/>
                <w:szCs w:val="21"/>
                <w:highlight w:val="none"/>
              </w:rPr>
              <w:t>；工程施工结束后对临时占地进行植被恢复，对永久占地进行适当的人工绿化，降低人为因素导致当地土壤盐碱化的趋势。</w:t>
            </w:r>
          </w:p>
        </w:tc>
        <w:tc>
          <w:tcPr>
            <w:tcW w:w="455" w:type="pct"/>
            <w:vAlign w:val="center"/>
          </w:tcPr>
          <w:p>
            <w:pPr>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vAlign w:val="center"/>
          </w:tcPr>
          <w:p>
            <w:pPr>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w:t>
            </w:r>
          </w:p>
        </w:tc>
        <w:tc>
          <w:tcPr>
            <w:tcW w:w="1758" w:type="pct"/>
            <w:vAlign w:val="center"/>
          </w:tcPr>
          <w:p>
            <w:pPr>
              <w:pStyle w:val="107"/>
              <w:spacing w:line="340" w:lineRule="exact"/>
              <w:ind w:firstLine="0"/>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5.2.2综合治理措施配置中要求“城市水土保持治理措施，结合生产建设项目类型具体设置措施”。</w:t>
            </w:r>
          </w:p>
        </w:tc>
        <w:tc>
          <w:tcPr>
            <w:tcW w:w="2418" w:type="pct"/>
            <w:vAlign w:val="center"/>
          </w:tcPr>
          <w:p>
            <w:pPr>
              <w:pStyle w:val="107"/>
              <w:spacing w:line="340" w:lineRule="exact"/>
              <w:ind w:firstLine="0"/>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工程为陆地石油开采类项目，</w:t>
            </w:r>
            <w:r>
              <w:rPr>
                <w:rFonts w:hint="eastAsia" w:ascii="Times New Roman" w:hAnsi="Times New Roman" w:cs="Times New Roman" w:eastAsiaTheme="minorEastAsia"/>
                <w:color w:val="auto"/>
                <w:w w:val="99"/>
                <w:kern w:val="2"/>
                <w:sz w:val="21"/>
                <w:szCs w:val="21"/>
                <w:highlight w:val="none"/>
                <w:lang w:val="en"/>
              </w:rPr>
              <w:t>结合本项目工程内容，给出水土保持措施，包括</w:t>
            </w:r>
            <w:r>
              <w:rPr>
                <w:rFonts w:ascii="Times New Roman" w:hAnsi="Times New Roman" w:cs="Times New Roman" w:eastAsiaTheme="minorEastAsia"/>
                <w:bCs/>
                <w:color w:val="auto"/>
                <w:w w:val="99"/>
                <w:kern w:val="2"/>
                <w:sz w:val="21"/>
                <w:szCs w:val="21"/>
                <w:highlight w:val="none"/>
              </w:rPr>
              <w:t>井场予以平整、压实，以免发生水土流失</w:t>
            </w:r>
            <w:r>
              <w:rPr>
                <w:rFonts w:hint="eastAsia" w:ascii="Times New Roman" w:hAnsi="Times New Roman" w:cs="Times New Roman" w:eastAsiaTheme="minorEastAsia"/>
                <w:bCs/>
                <w:color w:val="auto"/>
                <w:w w:val="99"/>
                <w:kern w:val="2"/>
                <w:sz w:val="21"/>
                <w:szCs w:val="21"/>
                <w:highlight w:val="none"/>
              </w:rPr>
              <w:t>；</w:t>
            </w:r>
            <w:r>
              <w:rPr>
                <w:rFonts w:ascii="Times New Roman" w:hAnsi="Times New Roman" w:cs="Times New Roman" w:eastAsiaTheme="minorEastAsia"/>
                <w:bCs/>
                <w:color w:val="auto"/>
                <w:w w:val="99"/>
                <w:kern w:val="2"/>
                <w:sz w:val="21"/>
                <w:szCs w:val="21"/>
                <w:highlight w:val="none"/>
              </w:rPr>
              <w:t>利用现有公路和已有便道行车，减少新建道路，避免造成新的裸露地表</w:t>
            </w:r>
            <w:r>
              <w:rPr>
                <w:rFonts w:hint="eastAsia" w:ascii="Times New Roman" w:hAnsi="Times New Roman" w:cs="Times New Roman" w:eastAsiaTheme="minorEastAsia"/>
                <w:bCs/>
                <w:color w:val="auto"/>
                <w:w w:val="99"/>
                <w:kern w:val="2"/>
                <w:sz w:val="21"/>
                <w:szCs w:val="21"/>
                <w:highlight w:val="none"/>
              </w:rPr>
              <w:t>，</w:t>
            </w:r>
            <w:r>
              <w:rPr>
                <w:rFonts w:ascii="Times New Roman" w:hAnsi="Times New Roman" w:cs="Times New Roman" w:eastAsiaTheme="minorEastAsia"/>
                <w:bCs/>
                <w:color w:val="auto"/>
                <w:w w:val="99"/>
                <w:kern w:val="2"/>
                <w:sz w:val="21"/>
                <w:szCs w:val="21"/>
                <w:highlight w:val="none"/>
              </w:rPr>
              <w:t>施工便道应在推平后加以机械碾压</w:t>
            </w:r>
            <w:r>
              <w:rPr>
                <w:rFonts w:hint="eastAsia" w:ascii="Times New Roman" w:hAnsi="Times New Roman" w:cs="Times New Roman" w:eastAsiaTheme="minorEastAsia"/>
                <w:bCs/>
                <w:color w:val="auto"/>
                <w:w w:val="99"/>
                <w:kern w:val="2"/>
                <w:sz w:val="21"/>
                <w:szCs w:val="21"/>
                <w:highlight w:val="none"/>
              </w:rPr>
              <w:t>；</w:t>
            </w:r>
            <w:r>
              <w:rPr>
                <w:rFonts w:ascii="Times New Roman" w:hAnsi="Times New Roman" w:cs="Times New Roman" w:eastAsiaTheme="minorEastAsia"/>
                <w:bCs/>
                <w:color w:val="auto"/>
                <w:w w:val="99"/>
                <w:kern w:val="2"/>
                <w:sz w:val="21"/>
                <w:szCs w:val="21"/>
                <w:highlight w:val="none"/>
              </w:rPr>
              <w:t>做好原有植被恢复工作，最大程度的降低因本项目施工建设和生产运行而新增的水土流失量</w:t>
            </w:r>
            <w:r>
              <w:rPr>
                <w:rFonts w:ascii="Times New Roman" w:hAnsi="Times New Roman" w:cs="Times New Roman" w:eastAsiaTheme="minorEastAsia"/>
                <w:color w:val="auto"/>
                <w:w w:val="99"/>
                <w:kern w:val="2"/>
                <w:sz w:val="21"/>
                <w:szCs w:val="21"/>
                <w:highlight w:val="none"/>
              </w:rPr>
              <w:t>。</w:t>
            </w:r>
          </w:p>
        </w:tc>
        <w:tc>
          <w:tcPr>
            <w:tcW w:w="455" w:type="pct"/>
            <w:vAlign w:val="center"/>
          </w:tcPr>
          <w:p>
            <w:pPr>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符合</w:t>
            </w:r>
          </w:p>
        </w:tc>
      </w:tr>
    </w:tbl>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根据上表分析，</w:t>
      </w:r>
      <w:r>
        <w:rPr>
          <w:rFonts w:ascii="Times New Roman" w:hAnsi="Times New Roman" w:eastAsiaTheme="minorEastAsia"/>
          <w:color w:val="auto"/>
          <w:w w:val="99"/>
          <w:highlight w:val="none"/>
          <w:lang w:val="en"/>
        </w:rPr>
        <w:t>本项目满足《大庆市水土保持规划》（2015～2030年）要求</w:t>
      </w:r>
      <w:r>
        <w:rPr>
          <w:rFonts w:ascii="Times New Roman" w:hAnsi="Times New Roman" w:eastAsiaTheme="minorEastAsia"/>
          <w:color w:val="auto"/>
          <w:w w:val="99"/>
          <w:highlight w:val="none"/>
        </w:rPr>
        <w:t>。</w:t>
      </w:r>
    </w:p>
    <w:p>
      <w:pPr>
        <w:pStyle w:val="109"/>
        <w:widowControl w:val="0"/>
        <w:ind w:firstLine="0" w:firstLineChars="0"/>
        <w:jc w:val="both"/>
        <w:outlineLvl w:val="3"/>
        <w:rPr>
          <w:rFonts w:ascii="Times New Roman" w:hAnsi="Times New Roman" w:eastAsia="黑体"/>
          <w:b/>
          <w:color w:val="auto"/>
          <w:w w:val="99"/>
          <w:highlight w:val="none"/>
        </w:rPr>
      </w:pPr>
      <w:bookmarkStart w:id="56" w:name="_Toc57976631"/>
      <w:bookmarkStart w:id="57" w:name="_Toc57203206"/>
      <w:bookmarkStart w:id="58" w:name="_Toc57707876"/>
      <w:bookmarkStart w:id="59" w:name="_Toc17898122"/>
      <w:bookmarkStart w:id="60" w:name="_Toc527882715"/>
      <w:bookmarkStart w:id="61" w:name="_Toc502736436"/>
      <w:bookmarkStart w:id="62" w:name="_Toc527121316"/>
      <w:bookmarkStart w:id="63" w:name="_Toc11277"/>
      <w:r>
        <w:rPr>
          <w:rFonts w:ascii="Times New Roman" w:hAnsi="Times New Roman" w:eastAsia="黑体"/>
          <w:b/>
          <w:color w:val="auto"/>
          <w:w w:val="99"/>
          <w:highlight w:val="none"/>
        </w:rPr>
        <w:t>1.4.2.</w:t>
      </w:r>
      <w:r>
        <w:rPr>
          <w:rFonts w:hint="eastAsia" w:ascii="Times New Roman" w:hAnsi="Times New Roman" w:eastAsia="黑体"/>
          <w:b/>
          <w:color w:val="auto"/>
          <w:w w:val="99"/>
          <w:highlight w:val="none"/>
          <w:lang w:val="en-US" w:eastAsia="zh-CN"/>
        </w:rPr>
        <w:t>7</w:t>
      </w:r>
      <w:r>
        <w:rPr>
          <w:rFonts w:hint="eastAsia" w:ascii="Times New Roman" w:hAnsi="Times New Roman" w:eastAsia="黑体"/>
          <w:b/>
          <w:color w:val="auto"/>
          <w:w w:val="99"/>
          <w:highlight w:val="none"/>
        </w:rPr>
        <w:t>与《</w:t>
      </w:r>
      <w:r>
        <w:rPr>
          <w:rFonts w:ascii="Times New Roman" w:hAnsi="Times New Roman" w:eastAsia="黑体"/>
          <w:b/>
          <w:color w:val="auto"/>
          <w:w w:val="99"/>
          <w:highlight w:val="none"/>
        </w:rPr>
        <w:t>2021年大庆油田生产建设规划》符合性分析</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根据</w:t>
      </w:r>
      <w:r>
        <w:rPr>
          <w:rFonts w:hint="eastAsia" w:ascii="Times New Roman" w:hAnsi="Times New Roman" w:eastAsiaTheme="minorEastAsia"/>
          <w:color w:val="auto"/>
          <w:w w:val="99"/>
          <w:highlight w:val="none"/>
        </w:rPr>
        <w:t>《</w:t>
      </w:r>
      <w:r>
        <w:rPr>
          <w:rFonts w:ascii="Times New Roman" w:hAnsi="Times New Roman" w:eastAsiaTheme="minorEastAsia"/>
          <w:color w:val="auto"/>
          <w:w w:val="99"/>
          <w:highlight w:val="none"/>
        </w:rPr>
        <w:t>2021 年大庆油田生产建设规划》（庆油发〔2020〕152号），各单位、各部门要按照规划的总体安排部署，落实好油气产量等各项规划目标。油气勘探开发部门要进一步明确任务，突出高效勘探，推进精准开发，加大难采储量有效动用，加快天然气上产，积极做好2021年油气生产指标的分解落实工作，确保完成2021年各项生产任务目标。</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2021年油气生产指标已分解落实到大庆油田有限责任公司</w:t>
      </w:r>
      <w:r>
        <w:rPr>
          <w:rFonts w:hint="eastAsia" w:ascii="Times New Roman" w:hAnsi="Times New Roman" w:eastAsiaTheme="minorEastAsia"/>
          <w:color w:val="auto"/>
          <w:w w:val="99"/>
          <w:highlight w:val="none"/>
        </w:rPr>
        <w:t>第十采油厂</w:t>
      </w:r>
      <w:r>
        <w:rPr>
          <w:rFonts w:ascii="Times New Roman" w:hAnsi="Times New Roman" w:eastAsiaTheme="minorEastAsia"/>
          <w:color w:val="auto"/>
          <w:w w:val="99"/>
          <w:highlight w:val="none"/>
        </w:rPr>
        <w:t>，本项目属于2021年大庆油田生产建设规划的一部分，该项目的开发建设对稳定大庆原油产量具有重要的现实意义，</w:t>
      </w:r>
      <w:r>
        <w:rPr>
          <w:rFonts w:hint="eastAsia" w:ascii="Times New Roman" w:hAnsi="Times New Roman" w:eastAsiaTheme="minorEastAsia"/>
          <w:color w:val="auto"/>
          <w:w w:val="99"/>
          <w:highlight w:val="none"/>
        </w:rPr>
        <w:t>属于《</w:t>
      </w:r>
      <w:r>
        <w:rPr>
          <w:rFonts w:ascii="Times New Roman" w:hAnsi="Times New Roman" w:eastAsiaTheme="minorEastAsia"/>
          <w:color w:val="auto"/>
          <w:w w:val="99"/>
          <w:highlight w:val="none"/>
        </w:rPr>
        <w:t>2021年大庆油田生产建设规划》中的一部分，故本项目符合油田年度开发</w:t>
      </w:r>
      <w:r>
        <w:rPr>
          <w:rFonts w:hint="eastAsia" w:ascii="Times New Roman" w:hAnsi="Times New Roman" w:eastAsiaTheme="minorEastAsia"/>
          <w:color w:val="auto"/>
          <w:w w:val="99"/>
          <w:highlight w:val="none"/>
        </w:rPr>
        <w:t>规划要求。</w:t>
      </w:r>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1.4.2.</w:t>
      </w:r>
      <w:r>
        <w:rPr>
          <w:rFonts w:hint="eastAsia" w:ascii="Times New Roman" w:hAnsi="Times New Roman" w:eastAsia="黑体"/>
          <w:b/>
          <w:color w:val="auto"/>
          <w:w w:val="99"/>
          <w:highlight w:val="none"/>
          <w:lang w:val="en-US" w:eastAsia="zh-CN"/>
        </w:rPr>
        <w:t>8</w:t>
      </w:r>
      <w:r>
        <w:rPr>
          <w:rFonts w:hint="eastAsia" w:ascii="Times New Roman" w:hAnsi="Times New Roman" w:eastAsia="黑体"/>
          <w:b/>
          <w:color w:val="auto"/>
          <w:w w:val="99"/>
          <w:highlight w:val="none"/>
        </w:rPr>
        <w:t>大庆油气田地面工程“十四五”规划符合性分析</w:t>
      </w:r>
    </w:p>
    <w:p>
      <w:pPr>
        <w:pStyle w:val="109"/>
        <w:widowControl w:val="0"/>
        <w:ind w:firstLine="473"/>
        <w:jc w:val="both"/>
        <w:rPr>
          <w:rFonts w:ascii="Times New Roman" w:hAnsi="Times New Roman" w:eastAsiaTheme="minorEastAsia"/>
          <w:color w:val="auto"/>
          <w:w w:val="99"/>
          <w:highlight w:val="none"/>
        </w:rPr>
      </w:pPr>
      <w:r>
        <w:rPr>
          <w:rFonts w:hint="eastAsia" w:ascii="Times New Roman" w:hAnsi="Times New Roman" w:eastAsiaTheme="minorEastAsia"/>
          <w:color w:val="auto"/>
          <w:w w:val="99"/>
          <w:highlight w:val="none"/>
        </w:rPr>
        <w:t>根据《大庆油气田地面工程“十四五”规划》开发规划安排，“十四五”期间。</w:t>
      </w:r>
      <w:r>
        <w:rPr>
          <w:rFonts w:ascii="Times New Roman" w:hAnsi="Times New Roman" w:eastAsiaTheme="minorEastAsia"/>
          <w:color w:val="auto"/>
          <w:w w:val="99"/>
          <w:highlight w:val="none"/>
        </w:rPr>
        <w:t>2025年，基本探明页岩油储量30亿吨，累计增加石油探明储量8</w:t>
      </w:r>
      <w:r>
        <w:rPr>
          <w:rFonts w:hint="eastAsia" w:ascii="Times New Roman" w:hAnsi="Times New Roman" w:eastAsiaTheme="minorEastAsia"/>
          <w:color w:val="auto"/>
          <w:w w:val="99"/>
          <w:highlight w:val="none"/>
        </w:rPr>
        <w:t>亿吨，天然气探时储量</w:t>
      </w:r>
      <w:r>
        <w:rPr>
          <w:rFonts w:ascii="Times New Roman" w:hAnsi="Times New Roman" w:eastAsiaTheme="minorEastAsia"/>
          <w:color w:val="auto"/>
          <w:w w:val="99"/>
          <w:highlight w:val="none"/>
        </w:rPr>
        <w:t>3500亿立方米；本土原油产量实现3000万吨规模，天然气产量</w:t>
      </w:r>
      <w:r>
        <w:rPr>
          <w:rFonts w:hint="eastAsia" w:ascii="Times New Roman" w:hAnsi="Times New Roman" w:eastAsiaTheme="minorEastAsia"/>
          <w:color w:val="auto"/>
          <w:w w:val="99"/>
          <w:highlight w:val="none"/>
        </w:rPr>
        <w:t>达到</w:t>
      </w:r>
      <w:r>
        <w:rPr>
          <w:rFonts w:ascii="Times New Roman" w:hAnsi="Times New Roman" w:eastAsiaTheme="minorEastAsia"/>
          <w:color w:val="auto"/>
          <w:w w:val="99"/>
          <w:highlight w:val="none"/>
        </w:rPr>
        <w:t>70亿立方米以上。力争天然气产量达到70×10</w:t>
      </w:r>
      <w:r>
        <w:rPr>
          <w:rFonts w:ascii="Times New Roman" w:hAnsi="Times New Roman" w:eastAsiaTheme="minorEastAsia"/>
          <w:color w:val="auto"/>
          <w:w w:val="99"/>
          <w:highlight w:val="none"/>
          <w:vertAlign w:val="superscript"/>
        </w:rPr>
        <w:t>8</w:t>
      </w:r>
      <w:r>
        <w:rPr>
          <w:rFonts w:ascii="Times New Roman" w:hAnsi="Times New Roman" w:eastAsiaTheme="minorEastAsia"/>
          <w:color w:val="auto"/>
          <w:w w:val="99"/>
          <w:highlight w:val="none"/>
        </w:rPr>
        <w:t>m</w:t>
      </w:r>
      <w:r>
        <w:rPr>
          <w:rFonts w:ascii="Times New Roman" w:hAnsi="Times New Roman" w:eastAsiaTheme="minorEastAsia"/>
          <w:color w:val="auto"/>
          <w:w w:val="99"/>
          <w:highlight w:val="none"/>
          <w:vertAlign w:val="superscript"/>
        </w:rPr>
        <w:t>3</w:t>
      </w:r>
      <w:r>
        <w:rPr>
          <w:rFonts w:ascii="Times New Roman" w:hAnsi="Times New Roman" w:eastAsiaTheme="minorEastAsia"/>
          <w:color w:val="auto"/>
          <w:w w:val="99"/>
          <w:highlight w:val="none"/>
        </w:rPr>
        <w:t>，其中溶解气16×10</w:t>
      </w:r>
      <w:r>
        <w:rPr>
          <w:rFonts w:ascii="Times New Roman" w:hAnsi="Times New Roman" w:eastAsiaTheme="minorEastAsia"/>
          <w:color w:val="auto"/>
          <w:w w:val="99"/>
          <w:highlight w:val="none"/>
          <w:vertAlign w:val="superscript"/>
        </w:rPr>
        <w:t>8</w:t>
      </w:r>
      <w:r>
        <w:rPr>
          <w:rFonts w:ascii="Times New Roman" w:hAnsi="Times New Roman" w:eastAsiaTheme="minorEastAsia"/>
          <w:color w:val="auto"/>
          <w:w w:val="99"/>
          <w:highlight w:val="none"/>
        </w:rPr>
        <w:t>m</w:t>
      </w:r>
      <w:r>
        <w:rPr>
          <w:rFonts w:ascii="Times New Roman" w:hAnsi="Times New Roman" w:eastAsiaTheme="minorEastAsia"/>
          <w:color w:val="auto"/>
          <w:w w:val="99"/>
          <w:highlight w:val="none"/>
          <w:vertAlign w:val="superscript"/>
        </w:rPr>
        <w:t>3</w:t>
      </w:r>
      <w:r>
        <w:rPr>
          <w:rFonts w:ascii="Times New Roman" w:hAnsi="Times New Roman" w:eastAsiaTheme="minorEastAsia"/>
          <w:color w:val="auto"/>
          <w:w w:val="99"/>
          <w:highlight w:val="none"/>
        </w:rPr>
        <w:t>，气层</w:t>
      </w:r>
      <w:r>
        <w:rPr>
          <w:rFonts w:hint="eastAsia" w:ascii="Times New Roman" w:hAnsi="Times New Roman" w:eastAsiaTheme="minorEastAsia"/>
          <w:color w:val="auto"/>
          <w:w w:val="99"/>
          <w:highlight w:val="none"/>
        </w:rPr>
        <w:t>气产量达到</w:t>
      </w:r>
      <w:r>
        <w:rPr>
          <w:rFonts w:ascii="Times New Roman" w:hAnsi="Times New Roman" w:eastAsiaTheme="minorEastAsia"/>
          <w:color w:val="auto"/>
          <w:w w:val="99"/>
          <w:highlight w:val="none"/>
        </w:rPr>
        <w:t xml:space="preserve"> 54×10</w:t>
      </w:r>
      <w:r>
        <w:rPr>
          <w:rFonts w:ascii="Times New Roman" w:hAnsi="Times New Roman" w:eastAsiaTheme="minorEastAsia"/>
          <w:color w:val="auto"/>
          <w:w w:val="99"/>
          <w:highlight w:val="none"/>
          <w:vertAlign w:val="superscript"/>
        </w:rPr>
        <w:t>8</w:t>
      </w:r>
      <w:r>
        <w:rPr>
          <w:rFonts w:ascii="Times New Roman" w:hAnsi="Times New Roman" w:eastAsiaTheme="minorEastAsia"/>
          <w:color w:val="auto"/>
          <w:w w:val="99"/>
          <w:highlight w:val="none"/>
        </w:rPr>
        <w:t>m</w:t>
      </w:r>
      <w:r>
        <w:rPr>
          <w:rFonts w:ascii="Times New Roman" w:hAnsi="Times New Roman" w:eastAsiaTheme="minorEastAsia"/>
          <w:color w:val="auto"/>
          <w:w w:val="99"/>
          <w:highlight w:val="none"/>
          <w:vertAlign w:val="superscript"/>
        </w:rPr>
        <w:t>3</w:t>
      </w:r>
      <w:r>
        <w:rPr>
          <w:rFonts w:ascii="Times New Roman" w:hAnsi="Times New Roman" w:eastAsiaTheme="minorEastAsia"/>
          <w:color w:val="auto"/>
          <w:w w:val="99"/>
          <w:highlight w:val="none"/>
        </w:rPr>
        <w:t>。松辽地区老井递减控制在7%左右，新增产能3.3亿方。松辽地</w:t>
      </w:r>
      <w:r>
        <w:rPr>
          <w:rFonts w:hint="eastAsia" w:ascii="Times New Roman" w:hAnsi="Times New Roman" w:eastAsiaTheme="minorEastAsia"/>
          <w:color w:val="auto"/>
          <w:w w:val="99"/>
          <w:highlight w:val="none"/>
        </w:rPr>
        <w:t>区“十四五”期间新增产能</w:t>
      </w:r>
      <w:r>
        <w:rPr>
          <w:rFonts w:ascii="Times New Roman" w:hAnsi="Times New Roman" w:eastAsiaTheme="minorEastAsia"/>
          <w:color w:val="auto"/>
          <w:w w:val="99"/>
          <w:highlight w:val="none"/>
        </w:rPr>
        <w:t>8.014 亿方。本项目地处松嫩平原中部，属嫩江冲积平原，</w:t>
      </w:r>
      <w:r>
        <w:rPr>
          <w:rFonts w:hint="eastAsia" w:ascii="Times New Roman" w:hAnsi="Times New Roman" w:eastAsiaTheme="minorEastAsia"/>
          <w:color w:val="auto"/>
          <w:w w:val="99"/>
          <w:highlight w:val="none"/>
        </w:rPr>
        <w:t>在地质构造上属于松辽盆地中央坳陷区。在《大庆油气田地面工程“十四五”规划》总体部署下</w:t>
      </w:r>
      <w:r>
        <w:rPr>
          <w:rFonts w:ascii="Times New Roman" w:hAnsi="Times New Roman" w:eastAsiaTheme="minorEastAsia"/>
          <w:color w:val="auto"/>
          <w:w w:val="99"/>
          <w:highlight w:val="none"/>
        </w:rPr>
        <w:t>，将本项目列为2021年大庆油田产能计划中项</w:t>
      </w:r>
      <w:r>
        <w:rPr>
          <w:rFonts w:hint="eastAsia" w:ascii="Times New Roman" w:hAnsi="Times New Roman" w:eastAsiaTheme="minorEastAsia"/>
          <w:color w:val="auto"/>
          <w:w w:val="99"/>
          <w:highlight w:val="none"/>
        </w:rPr>
        <w:t>目，本项目建设符合大庆油田油气开发规划。</w:t>
      </w:r>
    </w:p>
    <w:p>
      <w:pPr>
        <w:pStyle w:val="7"/>
        <w:widowControl w:val="0"/>
        <w:spacing w:before="60" w:after="60"/>
        <w:jc w:val="both"/>
        <w:rPr>
          <w:b/>
          <w:color w:val="auto"/>
          <w:w w:val="99"/>
          <w:kern w:val="2"/>
          <w:sz w:val="24"/>
          <w:szCs w:val="24"/>
          <w:highlight w:val="none"/>
        </w:rPr>
      </w:pPr>
      <w:r>
        <w:rPr>
          <w:b/>
          <w:color w:val="auto"/>
          <w:w w:val="99"/>
          <w:kern w:val="2"/>
          <w:sz w:val="24"/>
          <w:szCs w:val="24"/>
          <w:highlight w:val="none"/>
        </w:rPr>
        <w:t>1.4.3相关政策符合性分析</w:t>
      </w:r>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1.4.3.1与《关于进一步加强石油天然气行业环境影响评价管理的通知》符合性分析</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本项目与《关于进一步加强石油天然气行业环境影响评价管理的通知》</w:t>
      </w:r>
      <w:r>
        <w:rPr>
          <w:rFonts w:hint="eastAsia" w:ascii="Times New Roman" w:hAnsi="Times New Roman" w:eastAsiaTheme="minorEastAsia"/>
          <w:color w:val="auto"/>
          <w:w w:val="99"/>
          <w:highlight w:val="none"/>
        </w:rPr>
        <w:t>（环办环评函〔2019〕910 号）</w:t>
      </w:r>
      <w:r>
        <w:rPr>
          <w:rFonts w:ascii="Times New Roman" w:hAnsi="Times New Roman" w:eastAsiaTheme="minorEastAsia"/>
          <w:color w:val="auto"/>
          <w:w w:val="99"/>
          <w:highlight w:val="none"/>
        </w:rPr>
        <w:t>符合性分析见表1.4-2。</w:t>
      </w:r>
    </w:p>
    <w:p>
      <w:pPr>
        <w:widowControl w:val="0"/>
        <w:spacing w:line="500" w:lineRule="exact"/>
        <w:ind w:firstLine="476" w:firstLineChars="200"/>
        <w:jc w:val="both"/>
        <w:rPr>
          <w:rFonts w:ascii="Times New Roman" w:hAnsi="Times New Roman" w:cs="Times New Roman" w:eastAsiaTheme="minorEastAsia"/>
          <w:b/>
          <w:bCs w:val="0"/>
          <w:color w:val="auto"/>
          <w:w w:val="99"/>
          <w:szCs w:val="20"/>
          <w:highlight w:val="none"/>
        </w:rPr>
      </w:pPr>
      <w:r>
        <w:rPr>
          <w:rFonts w:ascii="Times New Roman" w:hAnsi="Times New Roman" w:cs="Times New Roman" w:eastAsiaTheme="minorEastAsia"/>
          <w:b/>
          <w:bCs w:val="0"/>
          <w:color w:val="auto"/>
          <w:w w:val="99"/>
          <w:kern w:val="21"/>
          <w:szCs w:val="20"/>
          <w:highlight w:val="none"/>
        </w:rPr>
        <w:t xml:space="preserve">表1.4-2             </w:t>
      </w:r>
      <w:r>
        <w:rPr>
          <w:rFonts w:ascii="Times New Roman" w:hAnsi="Times New Roman" w:cs="Times New Roman" w:eastAsiaTheme="minorEastAsia"/>
          <w:b/>
          <w:bCs w:val="0"/>
          <w:color w:val="auto"/>
          <w:w w:val="99"/>
          <w:highlight w:val="none"/>
        </w:rPr>
        <w:t>建设项目与“通知”符合性分析</w:t>
      </w:r>
    </w:p>
    <w:tbl>
      <w:tblPr>
        <w:tblStyle w:val="8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3755"/>
        <w:gridCol w:w="3805"/>
        <w:gridCol w:w="9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序号</w:t>
            </w:r>
          </w:p>
        </w:tc>
        <w:tc>
          <w:tcPr>
            <w:tcW w:w="202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文件要求</w:t>
            </w:r>
          </w:p>
        </w:tc>
        <w:tc>
          <w:tcPr>
            <w:tcW w:w="2048"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符合性分析</w:t>
            </w:r>
          </w:p>
        </w:tc>
        <w:tc>
          <w:tcPr>
            <w:tcW w:w="528"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1</w:t>
            </w:r>
          </w:p>
        </w:tc>
        <w:tc>
          <w:tcPr>
            <w:tcW w:w="202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确定产能建设规模后，原则上不得以勘探名义继续开展单井环评。勘探井转为生产井的，可以纳入区块环评。自2021年1月1日起，原则上不以单井形式开展环评。</w:t>
            </w:r>
          </w:p>
        </w:tc>
        <w:tc>
          <w:tcPr>
            <w:tcW w:w="2048" w:type="pct"/>
            <w:vAlign w:val="center"/>
          </w:tcPr>
          <w:p>
            <w:pPr>
              <w:widowControl w:val="0"/>
              <w:spacing w:line="320" w:lineRule="exact"/>
              <w:jc w:val="both"/>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本项目为油田产能建设钻井工程，不为勘探项目，本项目新钻油井</w:t>
            </w:r>
            <w:r>
              <w:rPr>
                <w:rFonts w:hint="eastAsia" w:ascii="Times New Roman" w:hAnsi="Times New Roman" w:cs="Times New Roman" w:eastAsiaTheme="minorEastAsia"/>
                <w:color w:val="auto"/>
                <w:w w:val="99"/>
                <w:kern w:val="2"/>
                <w:sz w:val="21"/>
                <w:highlight w:val="none"/>
              </w:rPr>
              <w:t>4</w:t>
            </w:r>
            <w:r>
              <w:rPr>
                <w:rFonts w:hint="eastAsia" w:ascii="Times New Roman" w:hAnsi="Times New Roman" w:cs="Times New Roman" w:eastAsiaTheme="minorEastAsia"/>
                <w:color w:val="auto"/>
                <w:w w:val="99"/>
                <w:kern w:val="2"/>
                <w:sz w:val="21"/>
                <w:highlight w:val="none"/>
                <w:lang w:val="en-US" w:eastAsia="zh-CN"/>
              </w:rPr>
              <w:t>4</w:t>
            </w:r>
            <w:r>
              <w:rPr>
                <w:rFonts w:hint="eastAsia" w:ascii="Times New Roman" w:hAnsi="Times New Roman" w:cs="Times New Roman" w:eastAsiaTheme="minorEastAsia"/>
                <w:color w:val="auto"/>
                <w:w w:val="99"/>
                <w:kern w:val="2"/>
                <w:sz w:val="21"/>
                <w:highlight w:val="none"/>
              </w:rPr>
              <w:t>口</w:t>
            </w:r>
            <w:r>
              <w:rPr>
                <w:rFonts w:ascii="Times New Roman" w:hAnsi="Times New Roman" w:cs="Times New Roman" w:eastAsiaTheme="minorEastAsia"/>
                <w:color w:val="auto"/>
                <w:w w:val="99"/>
                <w:kern w:val="2"/>
                <w:sz w:val="21"/>
                <w:highlight w:val="none"/>
              </w:rPr>
              <w:t>，不以单井形式开展环评。</w:t>
            </w:r>
          </w:p>
        </w:tc>
        <w:tc>
          <w:tcPr>
            <w:tcW w:w="528"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2</w:t>
            </w:r>
          </w:p>
        </w:tc>
        <w:tc>
          <w:tcPr>
            <w:tcW w:w="202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涉及向地表水体排放污染物的陆地油气开采项目，应当符合国家和地方污染物排放标准，满足重点污染物排放总量控制要求。</w:t>
            </w:r>
          </w:p>
        </w:tc>
        <w:tc>
          <w:tcPr>
            <w:tcW w:w="2048" w:type="pct"/>
            <w:vAlign w:val="center"/>
          </w:tcPr>
          <w:p>
            <w:pPr>
              <w:widowControl w:val="0"/>
              <w:spacing w:line="320" w:lineRule="exact"/>
              <w:jc w:val="both"/>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bCs/>
                <w:color w:val="auto"/>
                <w:w w:val="99"/>
                <w:kern w:val="2"/>
                <w:sz w:val="21"/>
                <w:szCs w:val="21"/>
                <w:highlight w:val="none"/>
              </w:rPr>
              <w:t>本项目产生的废水均不外排，施工期生活污水排入防渗旱厕；钻井废水依托大庆油田昆仑集团有限公司环保分公司处理，不涉及向地表水体排放污染物。</w:t>
            </w:r>
          </w:p>
        </w:tc>
        <w:tc>
          <w:tcPr>
            <w:tcW w:w="528"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3</w:t>
            </w:r>
          </w:p>
        </w:tc>
        <w:tc>
          <w:tcPr>
            <w:tcW w:w="202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涉及废水回注的，应当论证回注的环境可行性，采取切实可行的地下水污染防治和监控措施，不得回注与油气开采无关的废水，严禁造成地下水污染。在相关行业污染控制标准发布前，回注的开采废水应当经处理并符合《碎屑岩油藏注水水质推荐指标及分析方法》（SY/T5329）等相关标准要求后回注，同步采取切实可行措施防治污染。回注目的层应当为地质构造封闭地层，一般应当回注到现役油气藏或枯竭废弃油气藏。</w:t>
            </w:r>
          </w:p>
        </w:tc>
        <w:tc>
          <w:tcPr>
            <w:tcW w:w="2048" w:type="pct"/>
            <w:vAlign w:val="center"/>
          </w:tcPr>
          <w:p>
            <w:pPr>
              <w:widowControl w:val="0"/>
              <w:spacing w:line="320" w:lineRule="exact"/>
              <w:jc w:val="both"/>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bCs/>
                <w:color w:val="auto"/>
                <w:w w:val="99"/>
                <w:kern w:val="2"/>
                <w:sz w:val="21"/>
                <w:szCs w:val="21"/>
                <w:highlight w:val="none"/>
              </w:rPr>
              <w:t>本项目为钻井工程，仅涉及施工期，施工期生活污水排入</w:t>
            </w:r>
            <w:r>
              <w:rPr>
                <w:rFonts w:hint="eastAsia" w:ascii="Times New Roman" w:hAnsi="Times New Roman" w:cs="Times New Roman" w:eastAsiaTheme="minorEastAsia"/>
                <w:bCs/>
                <w:color w:val="auto"/>
                <w:w w:val="99"/>
                <w:kern w:val="2"/>
                <w:sz w:val="21"/>
                <w:szCs w:val="21"/>
                <w:highlight w:val="none"/>
              </w:rPr>
              <w:t>防渗旱厕</w:t>
            </w:r>
            <w:r>
              <w:rPr>
                <w:rFonts w:ascii="Times New Roman" w:hAnsi="Times New Roman" w:cs="Times New Roman" w:eastAsiaTheme="minorEastAsia"/>
                <w:bCs/>
                <w:color w:val="auto"/>
                <w:w w:val="99"/>
                <w:kern w:val="2"/>
                <w:sz w:val="21"/>
                <w:szCs w:val="21"/>
                <w:highlight w:val="none"/>
              </w:rPr>
              <w:t>；钻井废水依托</w:t>
            </w:r>
            <w:r>
              <w:rPr>
                <w:rFonts w:ascii="Times New Roman" w:hAnsi="Times New Roman" w:cs="Times New Roman" w:eastAsiaTheme="minorEastAsia"/>
                <w:color w:val="auto"/>
                <w:w w:val="99"/>
                <w:kern w:val="2"/>
                <w:sz w:val="21"/>
                <w:highlight w:val="none"/>
              </w:rPr>
              <w:t>大庆油田昆仑集团有限公司环保分公司</w:t>
            </w:r>
            <w:r>
              <w:rPr>
                <w:rFonts w:ascii="Times New Roman" w:hAnsi="Times New Roman" w:cs="Times New Roman" w:eastAsiaTheme="minorEastAsia"/>
                <w:bCs/>
                <w:color w:val="auto"/>
                <w:w w:val="99"/>
                <w:kern w:val="2"/>
                <w:sz w:val="21"/>
                <w:szCs w:val="21"/>
                <w:highlight w:val="none"/>
              </w:rPr>
              <w:t>处理，处理后的水进入</w:t>
            </w:r>
            <w:r>
              <w:rPr>
                <w:rFonts w:hint="eastAsia" w:ascii="Times New Roman" w:hAnsi="Times New Roman" w:cs="Times New Roman" w:eastAsiaTheme="minorEastAsia"/>
                <w:bCs/>
                <w:color w:val="auto"/>
                <w:w w:val="99"/>
                <w:kern w:val="2"/>
                <w:sz w:val="21"/>
                <w:szCs w:val="21"/>
                <w:highlight w:val="none"/>
              </w:rPr>
              <w:t>朝一联合站</w:t>
            </w:r>
            <w:r>
              <w:rPr>
                <w:rFonts w:ascii="Times New Roman" w:hAnsi="Times New Roman" w:cs="Times New Roman" w:eastAsiaTheme="minorEastAsia"/>
                <w:bCs/>
                <w:color w:val="auto"/>
                <w:w w:val="99"/>
                <w:kern w:val="2"/>
                <w:sz w:val="21"/>
                <w:szCs w:val="21"/>
                <w:highlight w:val="none"/>
              </w:rPr>
              <w:t>处理，满足《大庆油田地面工程建设设计规定》（Q/SYDQ0639-2015）中“</w:t>
            </w:r>
            <w:r>
              <w:rPr>
                <w:rFonts w:hint="eastAsia" w:ascii="Times New Roman" w:hAnsi="Times New Roman" w:cs="Times New Roman" w:eastAsiaTheme="minorEastAsia"/>
                <w:bCs/>
                <w:color w:val="auto"/>
                <w:w w:val="99"/>
                <w:kern w:val="2"/>
                <w:sz w:val="21"/>
                <w:szCs w:val="21"/>
                <w:highlight w:val="none"/>
              </w:rPr>
              <w:t>含油量≤5mg/L，悬浮固体≤1mg/L</w:t>
            </w:r>
            <w:r>
              <w:rPr>
                <w:rFonts w:ascii="Times New Roman" w:hAnsi="Times New Roman" w:cs="Times New Roman" w:eastAsiaTheme="minorEastAsia"/>
                <w:bCs/>
                <w:color w:val="auto"/>
                <w:w w:val="99"/>
                <w:kern w:val="2"/>
                <w:sz w:val="21"/>
                <w:szCs w:val="21"/>
                <w:highlight w:val="none"/>
              </w:rPr>
              <w:t>规定后回注目的油层，不外排。</w:t>
            </w:r>
          </w:p>
        </w:tc>
        <w:tc>
          <w:tcPr>
            <w:tcW w:w="528"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4</w:t>
            </w:r>
          </w:p>
        </w:tc>
        <w:tc>
          <w:tcPr>
            <w:tcW w:w="202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通过采取设备密闭、废气有效收集及配套高效末端处理设施等措施，有效控制挥发性有机物和恶臭气体无组织排放。</w:t>
            </w:r>
          </w:p>
        </w:tc>
        <w:tc>
          <w:tcPr>
            <w:tcW w:w="2048" w:type="pct"/>
            <w:vAlign w:val="center"/>
          </w:tcPr>
          <w:p>
            <w:pPr>
              <w:widowControl w:val="0"/>
              <w:spacing w:line="320" w:lineRule="exact"/>
              <w:jc w:val="both"/>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bCs/>
                <w:color w:val="auto"/>
                <w:w w:val="99"/>
                <w:kern w:val="2"/>
                <w:sz w:val="21"/>
                <w:szCs w:val="21"/>
                <w:highlight w:val="none"/>
              </w:rPr>
              <w:t>本项目为钻井工程，不涉及产能地面建设，钻井过程不会产生挥发性有机物和恶臭气体。</w:t>
            </w:r>
          </w:p>
        </w:tc>
        <w:tc>
          <w:tcPr>
            <w:tcW w:w="528"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5</w:t>
            </w:r>
          </w:p>
        </w:tc>
        <w:tc>
          <w:tcPr>
            <w:tcW w:w="202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油气开采产生的废弃油基泥浆、含油钻屑及其他固体废物，应当遵循减量化、资源化、无害化原则，按照国家和地方有关固体废物的管理规定进行处置。鼓励企业自建含油污泥集中式处理和综合利用设施，提高废弃油基泥浆和含油钻屑及其处理产物的综合利用率。油气开采项目产生的危险废物，应当按照《建设项目危险废物环境影响评价指南》要求评价。</w:t>
            </w:r>
          </w:p>
        </w:tc>
        <w:tc>
          <w:tcPr>
            <w:tcW w:w="2048" w:type="pct"/>
            <w:vAlign w:val="center"/>
          </w:tcPr>
          <w:p>
            <w:pPr>
              <w:widowControl w:val="0"/>
              <w:spacing w:line="320" w:lineRule="exact"/>
              <w:jc w:val="both"/>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bCs/>
                <w:color w:val="auto"/>
                <w:w w:val="99"/>
                <w:kern w:val="2"/>
                <w:sz w:val="21"/>
                <w:szCs w:val="21"/>
                <w:highlight w:val="none"/>
              </w:rPr>
              <w:t>本项目钻井施工采用水基泥浆，项目施工期产生的废钻井液、钻井岩屑、废射孔液由罐车拉运至</w:t>
            </w:r>
            <w:r>
              <w:rPr>
                <w:rFonts w:hint="eastAsia" w:ascii="Times New Roman" w:hAnsi="Times New Roman" w:cs="Times New Roman" w:eastAsiaTheme="minorEastAsia"/>
                <w:bCs/>
                <w:color w:val="auto"/>
                <w:w w:val="99"/>
                <w:kern w:val="2"/>
                <w:sz w:val="21"/>
                <w:szCs w:val="21"/>
                <w:highlight w:val="none"/>
              </w:rPr>
              <w:t>大庆油田昆仑集团有限公司环保分公司</w:t>
            </w:r>
            <w:r>
              <w:rPr>
                <w:rFonts w:ascii="Times New Roman" w:hAnsi="Times New Roman" w:cs="Times New Roman" w:eastAsiaTheme="minorEastAsia"/>
                <w:bCs/>
                <w:color w:val="auto"/>
                <w:w w:val="99"/>
                <w:kern w:val="2"/>
                <w:sz w:val="21"/>
                <w:szCs w:val="21"/>
                <w:highlight w:val="none"/>
              </w:rPr>
              <w:t>处理；项目施工产生的危险废物为KOH废包装袋，经收集后直接由施工单位委托资质单位处理，不在井场暂存。</w:t>
            </w:r>
          </w:p>
        </w:tc>
        <w:tc>
          <w:tcPr>
            <w:tcW w:w="528"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1" w:type="pct"/>
            <w:vAlign w:val="center"/>
          </w:tcPr>
          <w:p>
            <w:pPr>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6</w:t>
            </w:r>
          </w:p>
        </w:tc>
        <w:tc>
          <w:tcPr>
            <w:tcW w:w="2021" w:type="pct"/>
            <w:vAlign w:val="center"/>
          </w:tcPr>
          <w:p>
            <w:pPr>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施工期应当尽量减少施工占地、缩短施工时间、选择合理施工方式、落实环境敏感区管控要求以及其他生态环境保护措施，降低生态环境影响。钻井和压裂设备应当优先使用网电、高标准清洁燃油，减少废气排放。</w:t>
            </w:r>
          </w:p>
        </w:tc>
        <w:tc>
          <w:tcPr>
            <w:tcW w:w="2048" w:type="pct"/>
            <w:vAlign w:val="center"/>
          </w:tcPr>
          <w:p>
            <w:pPr>
              <w:widowControl w:val="0"/>
              <w:autoSpaceDE w:val="0"/>
              <w:autoSpaceDN w:val="0"/>
              <w:spacing w:line="320" w:lineRule="exact"/>
              <w:jc w:val="both"/>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本项目施工期间加强施工管理，减少临时占地，提出可行的生态环境保护措施，项目施工环节均在临时用地内进行，钻井施工柴油机使用低标号柴油，废气产生量较少。</w:t>
            </w:r>
          </w:p>
        </w:tc>
        <w:tc>
          <w:tcPr>
            <w:tcW w:w="528" w:type="pct"/>
            <w:vAlign w:val="center"/>
          </w:tcPr>
          <w:p>
            <w:pPr>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1" w:type="pct"/>
            <w:vAlign w:val="center"/>
          </w:tcPr>
          <w:p>
            <w:pPr>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7</w:t>
            </w:r>
          </w:p>
        </w:tc>
        <w:tc>
          <w:tcPr>
            <w:tcW w:w="2021" w:type="pct"/>
            <w:vAlign w:val="center"/>
          </w:tcPr>
          <w:p>
            <w:pPr>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油气企业应当加强风险防控，按规定编制突发环境事件应急预案，报所在地生态环境主管部门备案。</w:t>
            </w:r>
          </w:p>
        </w:tc>
        <w:tc>
          <w:tcPr>
            <w:tcW w:w="2048" w:type="pct"/>
            <w:vAlign w:val="center"/>
          </w:tcPr>
          <w:p>
            <w:pPr>
              <w:widowControl w:val="0"/>
              <w:autoSpaceDE w:val="0"/>
              <w:autoSpaceDN w:val="0"/>
              <w:spacing w:line="320" w:lineRule="exact"/>
              <w:jc w:val="both"/>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第十采油厂</w:t>
            </w:r>
            <w:r>
              <w:rPr>
                <w:rFonts w:ascii="Times New Roman" w:hAnsi="Times New Roman" w:cs="Times New Roman" w:eastAsiaTheme="minorEastAsia"/>
                <w:color w:val="auto"/>
                <w:w w:val="99"/>
                <w:kern w:val="2"/>
                <w:sz w:val="21"/>
                <w:highlight w:val="none"/>
              </w:rPr>
              <w:t>现有《</w:t>
            </w:r>
            <w:r>
              <w:rPr>
                <w:rFonts w:hint="eastAsia" w:ascii="Times New Roman" w:hAnsi="Times New Roman" w:cs="Times New Roman" w:eastAsiaTheme="minorEastAsia"/>
                <w:color w:val="auto"/>
                <w:w w:val="99"/>
                <w:kern w:val="2"/>
                <w:sz w:val="21"/>
                <w:highlight w:val="none"/>
              </w:rPr>
              <w:t>突发环境事件专项应急预案</w:t>
            </w:r>
            <w:r>
              <w:rPr>
                <w:rFonts w:ascii="Times New Roman" w:hAnsi="Times New Roman" w:cs="Times New Roman" w:eastAsiaTheme="minorEastAsia"/>
                <w:color w:val="auto"/>
                <w:w w:val="99"/>
                <w:kern w:val="2"/>
                <w:sz w:val="21"/>
                <w:highlight w:val="none"/>
              </w:rPr>
              <w:t>》主要包括应急组织机构及职责明确、监测与预警、应急处置与应急响应、恢复与重建、应急保障与培训、督查与奖惩等内容，该应急预案已进行备案。大庆油田有限责任公司突发环境事件专项应急预案已</w:t>
            </w:r>
            <w:r>
              <w:rPr>
                <w:rFonts w:hint="eastAsia" w:ascii="Times New Roman" w:hAnsi="Times New Roman" w:cs="Times New Roman" w:eastAsiaTheme="minorEastAsia"/>
                <w:color w:val="auto"/>
                <w:w w:val="99"/>
                <w:kern w:val="2"/>
                <w:sz w:val="21"/>
                <w:highlight w:val="none"/>
                <w:lang w:eastAsia="zh-CN"/>
              </w:rPr>
              <w:t>完成</w:t>
            </w:r>
            <w:r>
              <w:rPr>
                <w:rFonts w:ascii="Times New Roman" w:hAnsi="Times New Roman" w:cs="Times New Roman" w:eastAsiaTheme="minorEastAsia"/>
                <w:color w:val="auto"/>
                <w:w w:val="99"/>
                <w:kern w:val="2"/>
                <w:sz w:val="21"/>
                <w:highlight w:val="none"/>
              </w:rPr>
              <w:t>备案。</w:t>
            </w:r>
          </w:p>
        </w:tc>
        <w:tc>
          <w:tcPr>
            <w:tcW w:w="528" w:type="pct"/>
            <w:vAlign w:val="center"/>
          </w:tcPr>
          <w:p>
            <w:pPr>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符合</w:t>
            </w:r>
          </w:p>
        </w:tc>
      </w:tr>
    </w:tbl>
    <w:p>
      <w:pPr>
        <w:widowControl w:val="0"/>
        <w:spacing w:line="500" w:lineRule="exact"/>
        <w:ind w:firstLine="474" w:firstLineChars="200"/>
        <w:jc w:val="both"/>
        <w:rPr>
          <w:rFonts w:ascii="Times New Roman" w:hAnsi="Times New Roman" w:cs="Times New Roman" w:eastAsiaTheme="minorEastAsia"/>
          <w:bCs/>
          <w:snapToGrid w:val="0"/>
          <w:color w:val="auto"/>
          <w:w w:val="99"/>
          <w:highlight w:val="none"/>
        </w:rPr>
      </w:pPr>
      <w:r>
        <w:rPr>
          <w:rFonts w:ascii="Times New Roman" w:hAnsi="Times New Roman" w:cs="Times New Roman" w:eastAsiaTheme="minorEastAsia"/>
          <w:bCs/>
          <w:color w:val="auto"/>
          <w:w w:val="99"/>
          <w:kern w:val="2"/>
          <w:highlight w:val="none"/>
        </w:rPr>
        <w:t>由上表可知，本项目符合</w:t>
      </w:r>
      <w:r>
        <w:rPr>
          <w:rFonts w:ascii="Times New Roman" w:hAnsi="Times New Roman" w:cs="Times New Roman" w:eastAsiaTheme="minorEastAsia"/>
          <w:bCs/>
          <w:snapToGrid w:val="0"/>
          <w:color w:val="auto"/>
          <w:w w:val="99"/>
          <w:highlight w:val="none"/>
        </w:rPr>
        <w:t>《关于进一步加强石油天然气行业环境影响评价管理的通知》中要求。</w:t>
      </w:r>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1.4.3.2与《2020年挥发性有机物治理攻坚方案》符合性分析</w:t>
      </w:r>
    </w:p>
    <w:p>
      <w:pPr>
        <w:pStyle w:val="109"/>
        <w:widowControl w:val="0"/>
        <w:ind w:firstLine="473"/>
        <w:jc w:val="both"/>
        <w:rPr>
          <w:rFonts w:ascii="Times New Roman" w:hAnsi="Times New Roman" w:eastAsiaTheme="minorEastAsia"/>
          <w:color w:val="auto"/>
          <w:w w:val="99"/>
          <w:highlight w:val="none"/>
          <w:lang w:val="en"/>
        </w:rPr>
      </w:pPr>
      <w:r>
        <w:rPr>
          <w:rFonts w:ascii="Times New Roman" w:hAnsi="Times New Roman" w:eastAsiaTheme="minorEastAsia"/>
          <w:color w:val="auto"/>
          <w:w w:val="99"/>
          <w:highlight w:val="none"/>
        </w:rPr>
        <w:t>根据《2020年挥发性有机物治理攻坚方案》要求，</w:t>
      </w:r>
      <w:r>
        <w:rPr>
          <w:rFonts w:ascii="Times New Roman" w:hAnsi="Times New Roman" w:eastAsiaTheme="minorEastAsia"/>
          <w:color w:val="auto"/>
          <w:w w:val="99"/>
          <w:highlight w:val="none"/>
          <w:lang w:val="en"/>
        </w:rPr>
        <w:t>2020年7月1日起，全面执行《挥发性有机物无组织排放控制标准》，重点区域应落实无组织排放特别控制要求。各地要加大标准生效时间、涉及行业及控制要求等宣贯力度，通过现场指导、组织培训、新媒体信息推送、发放明白纸等多种方式，督促指导企业对照标准要求开展含VOCs物料（包括含VOCs原辅材料、含VOCs产品、含VOCs废料以及有机聚合物材料等）储存、转移和输送、设备与管线组件泄漏、敞开液面逸散以及工艺过程等无组织排放环节排查整治，对达不到要求的加快整改。指导企业制定VOCs无组织排放控制规程，细化到具体工序和生产环节，以及启停机、检维修作业等，落实到具体责任人；健全内部考核制度，严格按照操作规程生产。</w:t>
      </w:r>
    </w:p>
    <w:p>
      <w:pPr>
        <w:pStyle w:val="109"/>
        <w:widowControl w:val="0"/>
        <w:ind w:firstLine="473"/>
        <w:jc w:val="both"/>
        <w:rPr>
          <w:rFonts w:ascii="Times New Roman" w:hAnsi="Times New Roman" w:eastAsiaTheme="minorEastAsia"/>
          <w:color w:val="auto"/>
          <w:w w:val="99"/>
          <w:highlight w:val="none"/>
          <w:lang w:val="en"/>
        </w:rPr>
      </w:pPr>
      <w:r>
        <w:rPr>
          <w:rFonts w:ascii="Times New Roman" w:hAnsi="Times New Roman" w:eastAsiaTheme="minorEastAsia"/>
          <w:color w:val="auto"/>
          <w:w w:val="99"/>
          <w:highlight w:val="none"/>
          <w:lang w:val="en"/>
        </w:rPr>
        <w:t>企业在无组织排放排查整治过程中，在保证安全的前提下，加强含VOCs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VOCs物料的包装容器、含VOCs废料（渣、液）、废吸附剂等通过加盖、封装等方式密闭，妥善存放，不得随意丢弃，7月15日前集中清运一次，交有资质的单位处置；处置单位在贮存、清洗、破碎等环节应按要求对VOCs无组织排放废气进行收集、处理。高VOCs含量废水的集输、储存和处理环节，应加盖密闭。企业中载有气态、液态VOCs物料的设备与管线组件密封点大于等于2000个的，应全面梳理建立台账，6-9月完成一轮泄漏检测与修复（LDAR）工作，及时修复泄漏源；石油炼制、石油化工、合成树脂企业严格按照排放标准要求开展LDAR工作，加强备用泵、在用泵、调节阀、搅拌器、开口管线等检测工作，强化质量控制；要将VOCs治理设施和储罐的密封点纳入检测计划中。</w:t>
      </w:r>
    </w:p>
    <w:p>
      <w:pPr>
        <w:pStyle w:val="109"/>
        <w:widowControl w:val="0"/>
        <w:ind w:firstLine="473"/>
        <w:jc w:val="both"/>
        <w:rPr>
          <w:rFonts w:ascii="Times New Roman" w:hAnsi="Times New Roman" w:eastAsiaTheme="minorEastAsia"/>
          <w:color w:val="auto"/>
          <w:w w:val="99"/>
          <w:highlight w:val="none"/>
          <w:lang w:val="en"/>
        </w:rPr>
      </w:pPr>
      <w:r>
        <w:rPr>
          <w:rFonts w:ascii="Times New Roman" w:hAnsi="Times New Roman" w:eastAsiaTheme="minorEastAsia"/>
          <w:color w:val="auto"/>
          <w:w w:val="99"/>
          <w:highlight w:val="none"/>
          <w:lang w:val="en"/>
        </w:rPr>
        <w:t>油田产能建设</w:t>
      </w:r>
      <w:r>
        <w:rPr>
          <w:rFonts w:ascii="Times New Roman" w:hAnsi="Times New Roman" w:eastAsiaTheme="minorEastAsia"/>
          <w:bCs/>
          <w:color w:val="auto"/>
          <w:w w:val="99"/>
          <w:highlight w:val="none"/>
        </w:rPr>
        <w:t>烃类气体挥发主要表现在油气集输过程中，主要来自采油井场、集油间、转油站、联合站、集输系统等。</w:t>
      </w:r>
      <w:r>
        <w:rPr>
          <w:rFonts w:ascii="Times New Roman" w:hAnsi="Times New Roman" w:eastAsiaTheme="minorEastAsia"/>
          <w:color w:val="auto"/>
          <w:w w:val="99"/>
          <w:highlight w:val="none"/>
        </w:rPr>
        <w:t>本项目为产能建设钻井工程，不涉及油气集输，在钻井阶段会产生</w:t>
      </w:r>
      <w:r>
        <w:rPr>
          <w:rFonts w:ascii="Times New Roman" w:hAnsi="Times New Roman" w:eastAsiaTheme="minorEastAsia"/>
          <w:bCs/>
          <w:color w:val="auto"/>
          <w:w w:val="99"/>
          <w:highlight w:val="none"/>
        </w:rPr>
        <w:t>极少量的非甲烷总烃</w:t>
      </w:r>
      <w:r>
        <w:rPr>
          <w:rFonts w:ascii="Times New Roman" w:hAnsi="Times New Roman" w:eastAsiaTheme="minorEastAsia"/>
          <w:color w:val="auto"/>
          <w:w w:val="99"/>
          <w:highlight w:val="none"/>
        </w:rPr>
        <w:t>，且钻井及辅助设备、容器在</w:t>
      </w:r>
      <w:r>
        <w:rPr>
          <w:rFonts w:ascii="Times New Roman" w:hAnsi="Times New Roman" w:eastAsiaTheme="minorEastAsia"/>
          <w:color w:val="auto"/>
          <w:w w:val="99"/>
          <w:highlight w:val="none"/>
          <w:lang w:val="en"/>
        </w:rPr>
        <w:t>装卸、转移阶段均采用密闭形式</w:t>
      </w:r>
      <w:r>
        <w:rPr>
          <w:rFonts w:ascii="Times New Roman" w:hAnsi="Times New Roman" w:eastAsiaTheme="minorEastAsia"/>
          <w:color w:val="auto"/>
          <w:w w:val="99"/>
          <w:highlight w:val="none"/>
        </w:rPr>
        <w:t>，可有效控制挥发性有机物无组织排放，满足《2020年挥发性有机物治理攻坚方案》相关要求。</w:t>
      </w:r>
    </w:p>
    <w:p>
      <w:pPr>
        <w:adjustRightInd w:val="0"/>
        <w:snapToGrid w:val="0"/>
        <w:spacing w:line="500" w:lineRule="exact"/>
        <w:jc w:val="both"/>
        <w:outlineLvl w:val="3"/>
        <w:rPr>
          <w:rFonts w:ascii="Times New Roman" w:hAnsi="Times New Roman" w:eastAsia="黑体" w:cs="Times New Roman"/>
          <w:b/>
          <w:bCs/>
          <w:color w:val="auto"/>
          <w:w w:val="99"/>
          <w:highlight w:val="none"/>
        </w:rPr>
      </w:pPr>
      <w:r>
        <w:rPr>
          <w:rFonts w:ascii="Times New Roman" w:hAnsi="Times New Roman" w:eastAsia="黑体" w:cs="Times New Roman"/>
          <w:b/>
          <w:bCs/>
          <w:color w:val="auto"/>
          <w:w w:val="99"/>
          <w:highlight w:val="none"/>
        </w:rPr>
        <w:t>1.4.3.3 与《石油天然气开采业污染防治技术政策》（环保部公告2012年第18号）符合性判定</w:t>
      </w:r>
    </w:p>
    <w:p>
      <w:pPr>
        <w:spacing w:line="500" w:lineRule="exact"/>
        <w:ind w:firstLine="474" w:firstLineChars="200"/>
        <w:rPr>
          <w:rFonts w:ascii="Times New Roman" w:hAnsi="Times New Roman" w:cs="Times New Roman" w:eastAsiaTheme="majorEastAsia"/>
          <w:color w:val="auto"/>
          <w:w w:val="99"/>
          <w:szCs w:val="32"/>
          <w:highlight w:val="none"/>
        </w:rPr>
      </w:pPr>
      <w:r>
        <w:rPr>
          <w:rFonts w:ascii="Times New Roman" w:hAnsi="Times New Roman" w:cs="Times New Roman" w:eastAsiaTheme="majorEastAsia"/>
          <w:color w:val="auto"/>
          <w:w w:val="99"/>
          <w:szCs w:val="32"/>
          <w:highlight w:val="none"/>
          <w:lang w:bidi="zh-CN"/>
        </w:rPr>
        <w:t>根据《挥发性有机物（VOCs）污染防治技术政策》要求，石油和天然气开采业的VOCs污染防治可参照相应的污染防治技术政策。</w:t>
      </w:r>
    </w:p>
    <w:p>
      <w:pPr>
        <w:adjustRightInd w:val="0"/>
        <w:snapToGrid w:val="0"/>
        <w:spacing w:line="500" w:lineRule="exact"/>
        <w:ind w:firstLine="476" w:firstLineChars="200"/>
        <w:rPr>
          <w:rFonts w:ascii="Times New Roman" w:hAnsi="Times New Roman" w:cs="Times New Roman" w:eastAsiaTheme="majorEastAsia"/>
          <w:b/>
          <w:bCs/>
          <w:color w:val="auto"/>
          <w:w w:val="99"/>
          <w:szCs w:val="32"/>
          <w:highlight w:val="none"/>
        </w:rPr>
      </w:pPr>
      <w:r>
        <w:rPr>
          <w:rFonts w:ascii="Times New Roman" w:hAnsi="Times New Roman" w:cs="Times New Roman" w:eastAsiaTheme="majorEastAsia"/>
          <w:b/>
          <w:bCs/>
          <w:color w:val="auto"/>
          <w:w w:val="99"/>
          <w:szCs w:val="32"/>
          <w:highlight w:val="none"/>
          <w:lang w:bidi="zh-CN"/>
        </w:rPr>
        <w:t>表1.4-3  本工程与《石油天然气开采业污染防治技术政策》相关要求符合性</w:t>
      </w:r>
    </w:p>
    <w:tbl>
      <w:tblPr>
        <w:tblStyle w:val="82"/>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0"/>
        <w:gridCol w:w="3482"/>
        <w:gridCol w:w="3793"/>
        <w:gridCol w:w="14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序号</w:t>
            </w:r>
          </w:p>
        </w:tc>
        <w:tc>
          <w:tcPr>
            <w:tcW w:w="1875"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相关要求</w:t>
            </w:r>
          </w:p>
        </w:tc>
        <w:tc>
          <w:tcPr>
            <w:tcW w:w="2043"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本工程符合性</w:t>
            </w:r>
          </w:p>
        </w:tc>
        <w:tc>
          <w:tcPr>
            <w:tcW w:w="7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1</w:t>
            </w:r>
          </w:p>
        </w:tc>
        <w:tc>
          <w:tcPr>
            <w:tcW w:w="1875"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到2015年末，行业新、改、扩建项目均采用清洁生产工艺和技术，工业废水回用率达到90%以上，工业固体废物资源化及无害化处理处置率达到100%。</w:t>
            </w:r>
          </w:p>
        </w:tc>
        <w:tc>
          <w:tcPr>
            <w:tcW w:w="2043"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本项目施工期钻井废水回用率100%，工业固废（废弃钻井液、钻井岩屑、废射孔液、一般固废废包装袋、废防渗布、KOH废包装袋、生活垃圾）均得到妥善处置。</w:t>
            </w:r>
          </w:p>
        </w:tc>
        <w:tc>
          <w:tcPr>
            <w:tcW w:w="762" w:type="pct"/>
            <w:vAlign w:val="center"/>
          </w:tcPr>
          <w:p>
            <w:pPr>
              <w:adjustRightInd w:val="0"/>
              <w:snapToGrid w:val="0"/>
              <w:spacing w:line="360" w:lineRule="exact"/>
              <w:jc w:val="center"/>
              <w:rPr>
                <w:rFonts w:hint="eastAsia" w:ascii="Times New Roman" w:hAnsi="Times New Roman" w:eastAsia="宋体" w:cs="Times New Roman"/>
                <w:color w:val="auto"/>
                <w:w w:val="99"/>
                <w:sz w:val="21"/>
                <w:szCs w:val="21"/>
                <w:highlight w:val="none"/>
                <w:lang w:eastAsia="zh-CN"/>
              </w:rPr>
            </w:pPr>
            <w:r>
              <w:rPr>
                <w:rFonts w:hint="eastAsia" w:ascii="Times New Roman" w:hAnsi="Times New Roman" w:cs="Times New Roman"/>
                <w:color w:val="auto"/>
                <w:w w:val="99"/>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2</w:t>
            </w:r>
          </w:p>
        </w:tc>
        <w:tc>
          <w:tcPr>
            <w:tcW w:w="1875"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油气田建设应总体规划，优化布局，整体开发，减少占地和油气损失，实现油气和废物的集中收集、处理处置。</w:t>
            </w:r>
          </w:p>
        </w:tc>
        <w:tc>
          <w:tcPr>
            <w:tcW w:w="2043"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本项目为现有区块的改扩建项目，废物处置均依托现有集中处置站场。</w:t>
            </w:r>
          </w:p>
        </w:tc>
        <w:tc>
          <w:tcPr>
            <w:tcW w:w="7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3</w:t>
            </w:r>
          </w:p>
        </w:tc>
        <w:tc>
          <w:tcPr>
            <w:tcW w:w="1875"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井下作业过程中应配备泄油器、刮油器等。落地原油应及时回收，落地原油回收率应达到100%。</w:t>
            </w:r>
          </w:p>
        </w:tc>
        <w:tc>
          <w:tcPr>
            <w:tcW w:w="2043"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本项目为钻井工程，不涉及井下作业。</w:t>
            </w:r>
          </w:p>
        </w:tc>
        <w:tc>
          <w:tcPr>
            <w:tcW w:w="7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4</w:t>
            </w:r>
          </w:p>
        </w:tc>
        <w:tc>
          <w:tcPr>
            <w:tcW w:w="1875"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在井下作业过程中，酸化液和压裂液宜集中配制，酸化残液、压裂残液和返排液应回收利用或进行无害化处置，压裂放喷返排入罐率应达到100%。酸化、压裂作业和试油（气）过程应采取防喷、地面管线防刺、防漏、防溢等措施。</w:t>
            </w:r>
          </w:p>
        </w:tc>
        <w:tc>
          <w:tcPr>
            <w:tcW w:w="2043"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本项目不涉及压裂及酸化工艺。</w:t>
            </w:r>
          </w:p>
        </w:tc>
        <w:tc>
          <w:tcPr>
            <w:tcW w:w="7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5</w:t>
            </w:r>
          </w:p>
        </w:tc>
        <w:tc>
          <w:tcPr>
            <w:tcW w:w="1875"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在开发过程中，适宜注水开采的油气田，应将采出水处理满足标准后回注。</w:t>
            </w:r>
          </w:p>
        </w:tc>
        <w:tc>
          <w:tcPr>
            <w:tcW w:w="2043"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本项目为钻井工程，不涉及采出水。</w:t>
            </w:r>
          </w:p>
        </w:tc>
        <w:tc>
          <w:tcPr>
            <w:tcW w:w="7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6</w:t>
            </w:r>
          </w:p>
        </w:tc>
        <w:tc>
          <w:tcPr>
            <w:tcW w:w="1875"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在油气集输过程中，应采用密闭流程，减少烃类气体排放。新、改、扩建油气田油气集输损耗率不高于0.5%</w:t>
            </w:r>
          </w:p>
        </w:tc>
        <w:tc>
          <w:tcPr>
            <w:tcW w:w="2043"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本项目为钻井工程，本项目不涉及油气集输。</w:t>
            </w:r>
          </w:p>
        </w:tc>
        <w:tc>
          <w:tcPr>
            <w:tcW w:w="7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7</w:t>
            </w:r>
          </w:p>
        </w:tc>
        <w:tc>
          <w:tcPr>
            <w:tcW w:w="1875"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油气田建设宜布置丛式井组，采用多分支井、水平井、小孔钻井、空气钻井等钻井技术，以减少废物产生和占地。</w:t>
            </w:r>
          </w:p>
        </w:tc>
        <w:tc>
          <w:tcPr>
            <w:tcW w:w="2043"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本项目共新钻</w:t>
            </w:r>
            <w:r>
              <w:rPr>
                <w:rFonts w:hint="eastAsia" w:ascii="Times New Roman" w:hAnsi="Times New Roman" w:cs="Times New Roman"/>
                <w:color w:val="auto"/>
                <w:w w:val="99"/>
                <w:sz w:val="21"/>
                <w:szCs w:val="21"/>
                <w:highlight w:val="none"/>
              </w:rPr>
              <w:t>4</w:t>
            </w:r>
            <w:r>
              <w:rPr>
                <w:rFonts w:hint="eastAsia" w:ascii="Times New Roman" w:hAnsi="Times New Roman" w:cs="Times New Roman"/>
                <w:color w:val="auto"/>
                <w:w w:val="99"/>
                <w:sz w:val="21"/>
                <w:szCs w:val="21"/>
                <w:highlight w:val="none"/>
                <w:lang w:val="en-US" w:eastAsia="zh-CN"/>
              </w:rPr>
              <w:t>4</w:t>
            </w:r>
            <w:r>
              <w:rPr>
                <w:rFonts w:hint="eastAsia" w:ascii="Times New Roman" w:hAnsi="Times New Roman" w:cs="Times New Roman"/>
                <w:color w:val="auto"/>
                <w:w w:val="99"/>
                <w:sz w:val="21"/>
                <w:szCs w:val="21"/>
                <w:highlight w:val="none"/>
              </w:rPr>
              <w:t>口</w:t>
            </w:r>
            <w:r>
              <w:rPr>
                <w:rFonts w:ascii="Times New Roman" w:hAnsi="Times New Roman" w:cs="Times New Roman"/>
                <w:color w:val="auto"/>
                <w:w w:val="99"/>
                <w:sz w:val="21"/>
                <w:szCs w:val="21"/>
                <w:highlight w:val="none"/>
              </w:rPr>
              <w:t>油井，施工期采用小孔钻井技术。</w:t>
            </w:r>
          </w:p>
        </w:tc>
        <w:tc>
          <w:tcPr>
            <w:tcW w:w="7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8</w:t>
            </w:r>
          </w:p>
        </w:tc>
        <w:tc>
          <w:tcPr>
            <w:tcW w:w="1875"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在开发过程中，伴生气应回收利用，减少温室气体排放，不具备回收利用条件的，应充分燃烧，伴生气回收利用率应达到80%以上；站场放空天然气应充分燃烧。燃烧放空设施应避开鸟类迁徙通道。</w:t>
            </w:r>
          </w:p>
        </w:tc>
        <w:tc>
          <w:tcPr>
            <w:tcW w:w="2043"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本项目为钻井工程，不涉及伴生气的产生及回收。</w:t>
            </w:r>
          </w:p>
        </w:tc>
        <w:tc>
          <w:tcPr>
            <w:tcW w:w="7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9</w:t>
            </w:r>
          </w:p>
        </w:tc>
        <w:tc>
          <w:tcPr>
            <w:tcW w:w="1875"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应设立地下水水质监测井，加强对油气田地下水水质的监控，防止回注过程对地下水造成污染。</w:t>
            </w:r>
          </w:p>
        </w:tc>
        <w:tc>
          <w:tcPr>
            <w:tcW w:w="2043"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本项目设置了</w:t>
            </w:r>
            <w:r>
              <w:rPr>
                <w:rFonts w:hint="eastAsia" w:ascii="Times New Roman" w:hAnsi="Times New Roman" w:cs="Times New Roman"/>
                <w:color w:val="auto"/>
                <w:w w:val="99"/>
                <w:sz w:val="21"/>
                <w:szCs w:val="21"/>
                <w:highlight w:val="none"/>
                <w:lang w:val="en-US" w:eastAsia="zh-CN"/>
              </w:rPr>
              <w:t>3</w:t>
            </w:r>
            <w:r>
              <w:rPr>
                <w:rFonts w:ascii="Times New Roman" w:hAnsi="Times New Roman" w:cs="Times New Roman"/>
                <w:color w:val="auto"/>
                <w:w w:val="99"/>
                <w:sz w:val="21"/>
                <w:szCs w:val="21"/>
                <w:highlight w:val="none"/>
              </w:rPr>
              <w:t>口地下水监测井，定期对地下水进行跟踪监测</w:t>
            </w:r>
          </w:p>
        </w:tc>
        <w:tc>
          <w:tcPr>
            <w:tcW w:w="7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10</w:t>
            </w:r>
          </w:p>
        </w:tc>
        <w:tc>
          <w:tcPr>
            <w:tcW w:w="1875"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在钻井和井下作业过程中，鼓励污油、污水进入生产流程循环利用，未进入生产流程的污油、污水应采用固液分离、废水处理一体化装置等处理后达标外排。</w:t>
            </w:r>
          </w:p>
        </w:tc>
        <w:tc>
          <w:tcPr>
            <w:tcW w:w="2043"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eastAsiaTheme="minorEastAsia"/>
                <w:bCs/>
                <w:color w:val="auto"/>
                <w:w w:val="99"/>
                <w:kern w:val="2"/>
                <w:sz w:val="21"/>
                <w:szCs w:val="21"/>
                <w:highlight w:val="none"/>
                <w:lang w:val="zh-CN"/>
              </w:rPr>
              <w:t>本项目钻井废水</w:t>
            </w:r>
            <w:r>
              <w:rPr>
                <w:rFonts w:ascii="Times New Roman" w:hAnsi="Times New Roman" w:cs="Times New Roman" w:eastAsiaTheme="minorEastAsia"/>
                <w:bCs/>
                <w:color w:val="auto"/>
                <w:w w:val="99"/>
                <w:kern w:val="2"/>
                <w:sz w:val="21"/>
                <w:szCs w:val="21"/>
                <w:highlight w:val="none"/>
              </w:rPr>
              <w:t>进入井场泥浆槽中，拉运至</w:t>
            </w:r>
            <w:r>
              <w:rPr>
                <w:rFonts w:ascii="Times New Roman" w:hAnsi="Times New Roman" w:cs="Times New Roman" w:eastAsiaTheme="minorEastAsia"/>
                <w:color w:val="auto"/>
                <w:w w:val="99"/>
                <w:kern w:val="2"/>
                <w:sz w:val="21"/>
                <w:highlight w:val="none"/>
              </w:rPr>
              <w:t>大庆油田昆仑集团有限公司环保分公司</w:t>
            </w:r>
            <w:r>
              <w:rPr>
                <w:rFonts w:ascii="Times New Roman" w:hAnsi="Times New Roman" w:cs="Times New Roman" w:eastAsiaTheme="minorEastAsia"/>
                <w:bCs/>
                <w:color w:val="auto"/>
                <w:w w:val="99"/>
                <w:kern w:val="2"/>
                <w:sz w:val="21"/>
                <w:szCs w:val="21"/>
                <w:highlight w:val="none"/>
              </w:rPr>
              <w:t>处理后废水输送至污水站最终回注油层</w:t>
            </w:r>
            <w:r>
              <w:rPr>
                <w:rFonts w:ascii="Times New Roman" w:hAnsi="Times New Roman" w:cs="Times New Roman" w:eastAsiaTheme="minorEastAsia"/>
                <w:bCs/>
                <w:color w:val="auto"/>
                <w:w w:val="99"/>
                <w:kern w:val="2"/>
                <w:sz w:val="21"/>
                <w:szCs w:val="21"/>
                <w:highlight w:val="none"/>
                <w:lang w:val="zh-CN"/>
              </w:rPr>
              <w:t>，不外排</w:t>
            </w:r>
            <w:r>
              <w:rPr>
                <w:rFonts w:hint="eastAsia" w:ascii="Times New Roman" w:hAnsi="Times New Roman" w:cs="Times New Roman" w:eastAsiaTheme="minorEastAsia"/>
                <w:bCs/>
                <w:color w:val="auto"/>
                <w:w w:val="99"/>
                <w:kern w:val="2"/>
                <w:sz w:val="21"/>
                <w:szCs w:val="21"/>
                <w:highlight w:val="none"/>
                <w:lang w:val="zh-CN"/>
              </w:rPr>
              <w:t>。</w:t>
            </w:r>
          </w:p>
        </w:tc>
        <w:tc>
          <w:tcPr>
            <w:tcW w:w="762" w:type="pct"/>
            <w:vAlign w:val="center"/>
          </w:tcPr>
          <w:p>
            <w:pPr>
              <w:adjustRightInd w:val="0"/>
              <w:snapToGrid w:val="0"/>
              <w:spacing w:line="360" w:lineRule="exact"/>
              <w:jc w:val="center"/>
              <w:rPr>
                <w:rFonts w:ascii="Times New Roman" w:hAnsi="Times New Roman" w:cs="Times New Roman" w:eastAsiaTheme="minorEastAsia"/>
                <w:bCs/>
                <w:color w:val="auto"/>
                <w:w w:val="99"/>
                <w:kern w:val="2"/>
                <w:sz w:val="21"/>
                <w:szCs w:val="21"/>
                <w:highlight w:val="none"/>
                <w:lang w:val="zh-CN"/>
              </w:rPr>
            </w:pPr>
            <w:r>
              <w:rPr>
                <w:rFonts w:hint="eastAsia" w:ascii="Times New Roman" w:hAnsi="Times New Roman" w:cs="Times New Roman"/>
                <w:color w:val="auto"/>
                <w:w w:val="99"/>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11</w:t>
            </w:r>
          </w:p>
        </w:tc>
        <w:tc>
          <w:tcPr>
            <w:tcW w:w="1875"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应回收落地原油，以及原油处理、废水处理产生的油泥（砂）等中的油类物质，含油污泥资源化利用率应达到90%以上，残余固体废物应按照《国家危险废物名录》和危险废物鉴别标准识别，根据识别结果资源化利用或无害化处置。</w:t>
            </w:r>
          </w:p>
        </w:tc>
        <w:tc>
          <w:tcPr>
            <w:tcW w:w="2043"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本项目为钻井工程，不涉及原油处理。</w:t>
            </w:r>
          </w:p>
        </w:tc>
        <w:tc>
          <w:tcPr>
            <w:tcW w:w="7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lang w:eastAsia="zh-CN"/>
              </w:rPr>
              <w:t>符合</w:t>
            </w:r>
          </w:p>
        </w:tc>
      </w:tr>
    </w:tbl>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1.4.3.4与《黑龙江省石油天然气勘探开发环境保护条例》（2018年修正）符合性分析</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根据《黑龙江省石油天然气勘探开发环境保护条例》（2018 年修正），“油气勘探开发单位应当对本单位排放污染物和污染防治设施运行情况进行定期监测，掌握污染动态”、“油气勘探开发单位应当制订环境污染突发性事件应急预案”、“油气勘探开发生产作业场地内禁止无关人员进入”、“油气勘探开发单位应当采取保护性措施，防止污染”，本项目根据《排污单位自行监测技术指南 总则》（HJ819-2017）相关内容及各环境要素评价导则要求，制定监测计划，根据企业提供资料及现场调查，钻探公司现有突发事件总体应急预案，下设</w:t>
      </w:r>
      <w:r>
        <w:rPr>
          <w:rFonts w:hint="eastAsia" w:ascii="Times New Roman" w:hAnsi="Times New Roman" w:eastAsiaTheme="minorEastAsia"/>
          <w:color w:val="auto"/>
          <w:w w:val="99"/>
          <w:kern w:val="2"/>
          <w:highlight w:val="none"/>
        </w:rPr>
        <w:t>《环境突发事件专项应急预案》、《井控突发事件专项应急预案》、</w:t>
      </w:r>
      <w:r>
        <w:rPr>
          <w:rFonts w:ascii="Times New Roman" w:hAnsi="Times New Roman" w:eastAsiaTheme="minorEastAsia"/>
          <w:color w:val="auto"/>
          <w:w w:val="99"/>
          <w:kern w:val="2"/>
          <w:highlight w:val="none"/>
        </w:rPr>
        <w:t>《</w:t>
      </w:r>
      <w:r>
        <w:rPr>
          <w:rFonts w:hint="eastAsia" w:ascii="Times New Roman" w:hAnsi="Times New Roman" w:eastAsiaTheme="minorEastAsia"/>
          <w:color w:val="auto"/>
          <w:w w:val="99"/>
          <w:kern w:val="2"/>
          <w:highlight w:val="none"/>
        </w:rPr>
        <w:t>爆炸着火突发事件专项应急预案</w:t>
      </w:r>
      <w:r>
        <w:rPr>
          <w:rFonts w:ascii="Times New Roman" w:hAnsi="Times New Roman" w:eastAsiaTheme="minorEastAsia"/>
          <w:color w:val="auto"/>
          <w:w w:val="99"/>
          <w:kern w:val="2"/>
          <w:highlight w:val="none"/>
        </w:rPr>
        <w:t>》等16个应急预案</w:t>
      </w:r>
      <w:r>
        <w:rPr>
          <w:rFonts w:ascii="Times New Roman" w:hAnsi="Times New Roman" w:eastAsiaTheme="minorEastAsia"/>
          <w:color w:val="auto"/>
          <w:w w:val="99"/>
          <w:highlight w:val="none"/>
        </w:rPr>
        <w:t>，</w:t>
      </w:r>
      <w:r>
        <w:rPr>
          <w:rFonts w:hint="eastAsia" w:ascii="Times New Roman" w:hAnsi="Times New Roman" w:eastAsiaTheme="minorEastAsia"/>
          <w:color w:val="auto"/>
          <w:w w:val="99"/>
          <w:highlight w:val="none"/>
        </w:rPr>
        <w:t>大庆油田有限责任公司第十采油厂已</w:t>
      </w:r>
      <w:r>
        <w:rPr>
          <w:rFonts w:ascii="Times New Roman" w:hAnsi="Times New Roman" w:eastAsiaTheme="minorEastAsia"/>
          <w:color w:val="auto"/>
          <w:w w:val="99"/>
          <w:highlight w:val="none"/>
        </w:rPr>
        <w:t>备案登记</w:t>
      </w:r>
      <w:r>
        <w:rPr>
          <w:rFonts w:hint="eastAsia" w:ascii="Times New Roman" w:hAnsi="Times New Roman" w:eastAsiaTheme="minorEastAsia"/>
          <w:color w:val="auto"/>
          <w:w w:val="99"/>
          <w:highlight w:val="none"/>
        </w:rPr>
        <w:t>《突发事件综合（总体）应急预案》、《突发环境事件专项应急预案》、《井喷突发事件专项应急预案》、</w:t>
      </w:r>
      <w:r>
        <w:rPr>
          <w:rFonts w:ascii="Times New Roman" w:hAnsi="Times New Roman" w:eastAsiaTheme="minorEastAsia"/>
          <w:color w:val="auto"/>
          <w:w w:val="99"/>
          <w:highlight w:val="none"/>
        </w:rPr>
        <w:t>《</w:t>
      </w:r>
      <w:r>
        <w:rPr>
          <w:rFonts w:hint="eastAsia" w:ascii="Times New Roman" w:hAnsi="Times New Roman" w:eastAsiaTheme="minorEastAsia"/>
          <w:color w:val="auto"/>
          <w:w w:val="99"/>
          <w:highlight w:val="none"/>
        </w:rPr>
        <w:t>危险化学品、油气泄漏突发事件专项应急预案</w:t>
      </w:r>
      <w:r>
        <w:rPr>
          <w:rFonts w:ascii="Times New Roman" w:hAnsi="Times New Roman" w:eastAsiaTheme="minorEastAsia"/>
          <w:color w:val="auto"/>
          <w:w w:val="99"/>
          <w:highlight w:val="none"/>
        </w:rPr>
        <w:t>》</w:t>
      </w:r>
      <w:r>
        <w:rPr>
          <w:rFonts w:hint="eastAsia" w:ascii="Times New Roman" w:hAnsi="Times New Roman" w:eastAsiaTheme="minorEastAsia"/>
          <w:color w:val="auto"/>
          <w:w w:val="99"/>
          <w:highlight w:val="none"/>
        </w:rPr>
        <w:t>等15</w:t>
      </w:r>
      <w:r>
        <w:rPr>
          <w:rFonts w:ascii="Times New Roman" w:hAnsi="Times New Roman" w:eastAsiaTheme="minorEastAsia"/>
          <w:color w:val="auto"/>
          <w:w w:val="99"/>
          <w:highlight w:val="none"/>
        </w:rPr>
        <w:t>个应急预案</w:t>
      </w:r>
      <w:r>
        <w:rPr>
          <w:rFonts w:hint="eastAsia" w:ascii="Times New Roman" w:hAnsi="Times New Roman" w:eastAsiaTheme="minorEastAsia"/>
          <w:color w:val="auto"/>
          <w:w w:val="99"/>
          <w:highlight w:val="none"/>
        </w:rPr>
        <w:t>，</w:t>
      </w:r>
      <w:r>
        <w:rPr>
          <w:rFonts w:ascii="Times New Roman" w:hAnsi="Times New Roman" w:eastAsiaTheme="minorEastAsia"/>
          <w:color w:val="auto"/>
          <w:w w:val="99"/>
          <w:highlight w:val="none"/>
        </w:rPr>
        <w:t>符合条例相关要求。</w:t>
      </w:r>
    </w:p>
    <w:p>
      <w:pPr>
        <w:pStyle w:val="109"/>
        <w:widowControl w:val="0"/>
        <w:ind w:firstLine="0" w:firstLineChars="0"/>
        <w:jc w:val="both"/>
        <w:outlineLvl w:val="3"/>
        <w:rPr>
          <w:rFonts w:ascii="Times New Roman" w:hAnsi="Times New Roman" w:eastAsia="黑体"/>
          <w:b/>
          <w:color w:val="auto"/>
          <w:w w:val="99"/>
          <w:highlight w:val="none"/>
        </w:rPr>
      </w:pPr>
      <w:bookmarkStart w:id="64" w:name="_Toc67523547"/>
      <w:bookmarkStart w:id="65" w:name="_Toc61597175"/>
      <w:bookmarkStart w:id="66" w:name="_Toc69690765"/>
      <w:r>
        <w:rPr>
          <w:rFonts w:ascii="Times New Roman" w:hAnsi="Times New Roman" w:eastAsia="黑体"/>
          <w:b/>
          <w:color w:val="auto"/>
          <w:w w:val="99"/>
          <w:highlight w:val="none"/>
        </w:rPr>
        <w:t>1.4.3.5与《黑龙江省重点行业挥发性有机物综合治理行动方案》（黑环发〔2019〕153号）符合性判定</w:t>
      </w:r>
    </w:p>
    <w:p>
      <w:pPr>
        <w:adjustRightInd w:val="0"/>
        <w:snapToGrid w:val="0"/>
        <w:spacing w:line="500" w:lineRule="exact"/>
        <w:ind w:firstLine="476" w:firstLineChars="200"/>
        <w:jc w:val="both"/>
        <w:rPr>
          <w:rFonts w:ascii="Times New Roman" w:hAnsi="Times New Roman" w:cs="Times New Roman"/>
          <w:b/>
          <w:bCs/>
          <w:color w:val="auto"/>
          <w:w w:val="99"/>
          <w:highlight w:val="none"/>
        </w:rPr>
      </w:pPr>
      <w:r>
        <w:rPr>
          <w:rFonts w:ascii="Times New Roman" w:hAnsi="Times New Roman" w:cs="Times New Roman"/>
          <w:b/>
          <w:bCs/>
          <w:color w:val="auto"/>
          <w:w w:val="99"/>
          <w:highlight w:val="none"/>
          <w:lang w:bidi="zh-CN"/>
        </w:rPr>
        <w:t>表1.4-4        与黑环发〔2019〕153号相关要求符合性判定</w:t>
      </w:r>
    </w:p>
    <w:tbl>
      <w:tblPr>
        <w:tblStyle w:val="8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6"/>
        <w:gridCol w:w="1167"/>
        <w:gridCol w:w="4152"/>
        <w:gridCol w:w="2614"/>
        <w:gridCol w:w="8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序号</w:t>
            </w:r>
          </w:p>
        </w:tc>
        <w:tc>
          <w:tcPr>
            <w:tcW w:w="62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类别</w:t>
            </w:r>
          </w:p>
        </w:tc>
        <w:tc>
          <w:tcPr>
            <w:tcW w:w="2235"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相关要求</w:t>
            </w:r>
          </w:p>
        </w:tc>
        <w:tc>
          <w:tcPr>
            <w:tcW w:w="1407"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rPr>
              <w:t>符合性</w:t>
            </w:r>
            <w:r>
              <w:rPr>
                <w:rFonts w:ascii="Times New Roman" w:hAnsi="Times New Roman" w:cs="Times New Roman"/>
                <w:color w:val="auto"/>
                <w:w w:val="99"/>
                <w:sz w:val="21"/>
                <w:szCs w:val="21"/>
                <w:highlight w:val="none"/>
              </w:rPr>
              <w:t>分析</w:t>
            </w:r>
          </w:p>
        </w:tc>
        <w:tc>
          <w:tcPr>
            <w:tcW w:w="467" w:type="pct"/>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1</w:t>
            </w:r>
          </w:p>
        </w:tc>
        <w:tc>
          <w:tcPr>
            <w:tcW w:w="62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加强政策引导</w:t>
            </w:r>
          </w:p>
        </w:tc>
        <w:tc>
          <w:tcPr>
            <w:tcW w:w="2235"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p>
        </w:tc>
        <w:tc>
          <w:tcPr>
            <w:tcW w:w="1407"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本工程为石油开采钻井工程，项目施工</w:t>
            </w:r>
            <w:r>
              <w:rPr>
                <w:rFonts w:hint="eastAsia" w:ascii="Times New Roman" w:hAnsi="Times New Roman" w:cs="Times New Roman"/>
                <w:color w:val="auto"/>
                <w:w w:val="99"/>
                <w:sz w:val="21"/>
                <w:szCs w:val="21"/>
                <w:highlight w:val="none"/>
              </w:rPr>
              <w:t>不</w:t>
            </w:r>
            <w:r>
              <w:rPr>
                <w:rFonts w:ascii="Times New Roman" w:hAnsi="Times New Roman" w:cs="Times New Roman"/>
                <w:color w:val="auto"/>
                <w:w w:val="99"/>
                <w:sz w:val="21"/>
                <w:szCs w:val="21"/>
                <w:highlight w:val="none"/>
              </w:rPr>
              <w:t>涉及</w:t>
            </w:r>
            <w:r>
              <w:rPr>
                <w:rFonts w:hint="eastAsia" w:ascii="Times New Roman" w:hAnsi="Times New Roman" w:cs="Times New Roman"/>
                <w:color w:val="auto"/>
                <w:w w:val="99"/>
                <w:sz w:val="21"/>
                <w:szCs w:val="21"/>
                <w:highlight w:val="none"/>
              </w:rPr>
              <w:t>含</w:t>
            </w:r>
            <w:r>
              <w:rPr>
                <w:rFonts w:ascii="Times New Roman" w:hAnsi="Times New Roman" w:cs="Times New Roman"/>
                <w:color w:val="auto"/>
                <w:w w:val="99"/>
                <w:sz w:val="21"/>
                <w:szCs w:val="21"/>
                <w:highlight w:val="none"/>
              </w:rPr>
              <w:t>VOCs的涂料、油墨、胶粘剂等</w:t>
            </w:r>
            <w:r>
              <w:rPr>
                <w:rFonts w:hint="eastAsia" w:ascii="Times New Roman" w:hAnsi="Times New Roman" w:cs="Times New Roman"/>
                <w:color w:val="auto"/>
                <w:w w:val="99"/>
                <w:sz w:val="21"/>
                <w:szCs w:val="21"/>
                <w:highlight w:val="none"/>
              </w:rPr>
              <w:t>原料</w:t>
            </w:r>
            <w:r>
              <w:rPr>
                <w:rFonts w:ascii="Times New Roman" w:hAnsi="Times New Roman" w:cs="Times New Roman"/>
                <w:color w:val="auto"/>
                <w:w w:val="99"/>
                <w:sz w:val="21"/>
                <w:szCs w:val="21"/>
                <w:highlight w:val="none"/>
              </w:rPr>
              <w:t>。</w:t>
            </w:r>
          </w:p>
        </w:tc>
        <w:tc>
          <w:tcPr>
            <w:tcW w:w="467" w:type="pct"/>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2</w:t>
            </w:r>
          </w:p>
        </w:tc>
        <w:tc>
          <w:tcPr>
            <w:tcW w:w="62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加强设备与场所密闭管理</w:t>
            </w:r>
          </w:p>
        </w:tc>
        <w:tc>
          <w:tcPr>
            <w:tcW w:w="2235"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含 VOCs 物料应储存于密闭容器、包装袋，高效密封储罐，封闭式储库、料仓等。含VOCs 物料转移和输送，应采用密闭管道或密闭容器、罐车等。</w:t>
            </w:r>
          </w:p>
        </w:tc>
        <w:tc>
          <w:tcPr>
            <w:tcW w:w="1407"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rPr>
              <w:t>本项目</w:t>
            </w:r>
            <w:r>
              <w:rPr>
                <w:rFonts w:ascii="Times New Roman" w:hAnsi="Times New Roman" w:cs="Times New Roman"/>
                <w:color w:val="auto"/>
                <w:w w:val="99"/>
                <w:sz w:val="21"/>
                <w:szCs w:val="21"/>
                <w:highlight w:val="none"/>
              </w:rPr>
              <w:t>施工期柴油罐</w:t>
            </w:r>
            <w:r>
              <w:rPr>
                <w:rFonts w:hint="eastAsia" w:ascii="Times New Roman" w:hAnsi="Times New Roman" w:cs="Times New Roman"/>
                <w:color w:val="auto"/>
                <w:w w:val="99"/>
                <w:sz w:val="21"/>
                <w:szCs w:val="21"/>
                <w:highlight w:val="none"/>
              </w:rPr>
              <w:t>为</w:t>
            </w:r>
            <w:r>
              <w:rPr>
                <w:rFonts w:ascii="Times New Roman" w:hAnsi="Times New Roman" w:cs="Times New Roman"/>
                <w:color w:val="auto"/>
                <w:w w:val="99"/>
                <w:sz w:val="21"/>
                <w:szCs w:val="21"/>
                <w:highlight w:val="none"/>
              </w:rPr>
              <w:t>密闭容器</w:t>
            </w:r>
            <w:r>
              <w:rPr>
                <w:rFonts w:hint="eastAsia" w:ascii="Times New Roman" w:hAnsi="Times New Roman" w:cs="Times New Roman"/>
                <w:color w:val="auto"/>
                <w:w w:val="99"/>
                <w:sz w:val="21"/>
                <w:szCs w:val="21"/>
                <w:highlight w:val="none"/>
              </w:rPr>
              <w:t>，</w:t>
            </w:r>
            <w:r>
              <w:rPr>
                <w:rFonts w:ascii="Times New Roman" w:hAnsi="Times New Roman" w:cs="Times New Roman"/>
                <w:color w:val="auto"/>
                <w:w w:val="99"/>
                <w:sz w:val="21"/>
                <w:szCs w:val="21"/>
                <w:highlight w:val="none"/>
              </w:rPr>
              <w:t>柴油转移和输送均采用罐车拉运。</w:t>
            </w:r>
          </w:p>
        </w:tc>
        <w:tc>
          <w:tcPr>
            <w:tcW w:w="467" w:type="pct"/>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3</w:t>
            </w:r>
          </w:p>
        </w:tc>
        <w:tc>
          <w:tcPr>
            <w:tcW w:w="62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推进使用先进生产工艺</w:t>
            </w:r>
          </w:p>
        </w:tc>
        <w:tc>
          <w:tcPr>
            <w:tcW w:w="2235"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通过采用全密闭、连续化、自动化等生产技术，以及高效工艺与设备等，减少工艺过程无组织排放。挥发性有机液体装载优先采用底部装载方式。</w:t>
            </w:r>
          </w:p>
        </w:tc>
        <w:tc>
          <w:tcPr>
            <w:tcW w:w="1407"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rPr>
              <w:t>本项目</w:t>
            </w:r>
            <w:r>
              <w:rPr>
                <w:rFonts w:ascii="Times New Roman" w:hAnsi="Times New Roman" w:cs="Times New Roman"/>
                <w:color w:val="auto"/>
                <w:w w:val="99"/>
                <w:sz w:val="21"/>
                <w:szCs w:val="21"/>
                <w:highlight w:val="none"/>
              </w:rPr>
              <w:t>施工期柴油罐</w:t>
            </w:r>
            <w:r>
              <w:rPr>
                <w:rFonts w:hint="eastAsia" w:ascii="Times New Roman" w:hAnsi="Times New Roman" w:cs="Times New Roman"/>
                <w:color w:val="auto"/>
                <w:w w:val="99"/>
                <w:sz w:val="21"/>
                <w:szCs w:val="21"/>
                <w:highlight w:val="none"/>
              </w:rPr>
              <w:t>为</w:t>
            </w:r>
            <w:r>
              <w:rPr>
                <w:rFonts w:ascii="Times New Roman" w:hAnsi="Times New Roman" w:cs="Times New Roman"/>
                <w:color w:val="auto"/>
                <w:w w:val="99"/>
                <w:sz w:val="21"/>
                <w:szCs w:val="21"/>
                <w:highlight w:val="none"/>
              </w:rPr>
              <w:t>密闭容器</w:t>
            </w:r>
            <w:r>
              <w:rPr>
                <w:rFonts w:hint="eastAsia" w:ascii="Times New Roman" w:hAnsi="Times New Roman" w:cs="Times New Roman"/>
                <w:color w:val="auto"/>
                <w:w w:val="99"/>
                <w:sz w:val="21"/>
                <w:szCs w:val="21"/>
                <w:highlight w:val="none"/>
              </w:rPr>
              <w:t>，</w:t>
            </w:r>
            <w:r>
              <w:rPr>
                <w:rFonts w:ascii="Times New Roman" w:hAnsi="Times New Roman" w:cs="Times New Roman"/>
                <w:color w:val="auto"/>
                <w:w w:val="99"/>
                <w:sz w:val="21"/>
                <w:szCs w:val="21"/>
                <w:highlight w:val="none"/>
              </w:rPr>
              <w:t>可</w:t>
            </w:r>
            <w:r>
              <w:rPr>
                <w:rFonts w:hint="eastAsia" w:ascii="Times New Roman" w:hAnsi="Times New Roman" w:cs="Times New Roman"/>
                <w:color w:val="auto"/>
                <w:w w:val="99"/>
                <w:sz w:val="21"/>
                <w:szCs w:val="21"/>
                <w:highlight w:val="none"/>
              </w:rPr>
              <w:t>有效减少非甲烷总烃</w:t>
            </w:r>
            <w:r>
              <w:rPr>
                <w:rFonts w:ascii="Times New Roman" w:hAnsi="Times New Roman" w:cs="Times New Roman"/>
                <w:color w:val="auto"/>
                <w:w w:val="99"/>
                <w:sz w:val="21"/>
                <w:szCs w:val="21"/>
                <w:highlight w:val="none"/>
              </w:rPr>
              <w:t>无组织排放</w:t>
            </w:r>
            <w:r>
              <w:rPr>
                <w:rFonts w:hint="eastAsia" w:ascii="Times New Roman" w:hAnsi="Times New Roman" w:cs="Times New Roman"/>
                <w:color w:val="auto"/>
                <w:w w:val="99"/>
                <w:sz w:val="21"/>
                <w:szCs w:val="21"/>
                <w:highlight w:val="none"/>
              </w:rPr>
              <w:t>，柴油</w:t>
            </w:r>
            <w:r>
              <w:rPr>
                <w:rFonts w:ascii="Times New Roman" w:hAnsi="Times New Roman" w:cs="Times New Roman"/>
                <w:color w:val="auto"/>
                <w:w w:val="99"/>
                <w:sz w:val="21"/>
                <w:szCs w:val="21"/>
                <w:highlight w:val="none"/>
              </w:rPr>
              <w:t>装载采用底部装载方式</w:t>
            </w:r>
            <w:r>
              <w:rPr>
                <w:rFonts w:hint="eastAsia" w:ascii="Times New Roman" w:hAnsi="Times New Roman" w:cs="Times New Roman"/>
                <w:color w:val="auto"/>
                <w:w w:val="99"/>
                <w:sz w:val="21"/>
                <w:szCs w:val="21"/>
                <w:highlight w:val="none"/>
              </w:rPr>
              <w:t>。</w:t>
            </w:r>
          </w:p>
        </w:tc>
        <w:tc>
          <w:tcPr>
            <w:tcW w:w="467" w:type="pct"/>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4</w:t>
            </w:r>
          </w:p>
        </w:tc>
        <w:tc>
          <w:tcPr>
            <w:tcW w:w="62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加大废水集输系统改造力度</w:t>
            </w:r>
          </w:p>
        </w:tc>
        <w:tc>
          <w:tcPr>
            <w:tcW w:w="2235"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哈尔滨市、大庆市现有重点企业通过采取密闭管道等措施逐步替代地漏、沟、渠、井等敞开式集输方式。</w:t>
            </w:r>
          </w:p>
        </w:tc>
        <w:tc>
          <w:tcPr>
            <w:tcW w:w="1407"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本工程为石油开采钻井工程</w:t>
            </w:r>
            <w:r>
              <w:rPr>
                <w:rFonts w:hint="eastAsia" w:ascii="Times New Roman" w:hAnsi="Times New Roman" w:cs="Times New Roman"/>
                <w:color w:val="auto"/>
                <w:w w:val="99"/>
                <w:sz w:val="21"/>
                <w:szCs w:val="21"/>
                <w:highlight w:val="none"/>
              </w:rPr>
              <w:t>，仅</w:t>
            </w:r>
            <w:r>
              <w:rPr>
                <w:rFonts w:ascii="Times New Roman" w:hAnsi="Times New Roman" w:cs="Times New Roman"/>
                <w:color w:val="auto"/>
                <w:w w:val="99"/>
                <w:sz w:val="21"/>
                <w:szCs w:val="21"/>
                <w:highlight w:val="none"/>
              </w:rPr>
              <w:t>涉及施工期，不涉及管道的</w:t>
            </w:r>
            <w:r>
              <w:rPr>
                <w:rFonts w:hint="eastAsia" w:ascii="Times New Roman" w:hAnsi="Times New Roman" w:cs="Times New Roman"/>
                <w:color w:val="auto"/>
                <w:w w:val="99"/>
                <w:sz w:val="21"/>
                <w:szCs w:val="21"/>
                <w:highlight w:val="none"/>
              </w:rPr>
              <w:t>建设及</w:t>
            </w:r>
            <w:r>
              <w:rPr>
                <w:rFonts w:ascii="Times New Roman" w:hAnsi="Times New Roman" w:cs="Times New Roman"/>
                <w:color w:val="auto"/>
                <w:w w:val="99"/>
                <w:sz w:val="21"/>
                <w:szCs w:val="21"/>
                <w:highlight w:val="none"/>
              </w:rPr>
              <w:t>运营。</w:t>
            </w:r>
          </w:p>
        </w:tc>
        <w:tc>
          <w:tcPr>
            <w:tcW w:w="467" w:type="pct"/>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rPr>
              <w:t>符合</w:t>
            </w:r>
          </w:p>
        </w:tc>
      </w:tr>
    </w:tbl>
    <w:p>
      <w:pPr>
        <w:pStyle w:val="109"/>
        <w:widowControl w:val="0"/>
        <w:ind w:firstLine="0" w:firstLineChars="0"/>
        <w:jc w:val="both"/>
        <w:outlineLvl w:val="3"/>
        <w:rPr>
          <w:rFonts w:ascii="Times New Roman" w:hAnsi="Times New Roman" w:eastAsia="黑体"/>
          <w:b/>
          <w:color w:val="auto"/>
          <w:w w:val="99"/>
          <w:highlight w:val="none"/>
        </w:rPr>
      </w:pPr>
      <w:bookmarkStart w:id="67" w:name="_Toc70050126"/>
      <w:r>
        <w:rPr>
          <w:rFonts w:ascii="Times New Roman" w:hAnsi="Times New Roman" w:eastAsia="黑体"/>
          <w:b/>
          <w:color w:val="auto"/>
          <w:w w:val="99"/>
          <w:highlight w:val="none"/>
        </w:rPr>
        <w:t>1.4.3.6与“水十条”符合性判定</w:t>
      </w:r>
      <w:bookmarkEnd w:id="67"/>
    </w:p>
    <w:p>
      <w:pPr>
        <w:spacing w:line="500" w:lineRule="exact"/>
        <w:ind w:firstLine="474" w:firstLineChars="200"/>
        <w:jc w:val="both"/>
        <w:rPr>
          <w:rFonts w:ascii="Times New Roman" w:hAnsi="Times New Roman" w:cs="Times New Roman"/>
          <w:iCs/>
          <w:color w:val="auto"/>
          <w:w w:val="99"/>
          <w:kern w:val="2"/>
          <w:sz w:val="21"/>
          <w:szCs w:val="22"/>
          <w:highlight w:val="none"/>
        </w:rPr>
      </w:pPr>
      <w:r>
        <w:rPr>
          <w:rFonts w:ascii="Times New Roman" w:hAnsi="Times New Roman" w:cs="Times New Roman"/>
          <w:iCs/>
          <w:color w:val="auto"/>
          <w:w w:val="99"/>
          <w:kern w:val="2"/>
          <w:highlight w:val="none"/>
        </w:rPr>
        <w:t>根据《水污染防治行动计划》（国发〔2015〕17 号）、《黑龙江省水污染防治实施方案》（黑政发〔2016〕3 号）及《大庆市加强水污染防治工作实施方案》（庆政办发〔2015〕55号），本项目与“水十条”相关要求符合性见表1.4-5。</w:t>
      </w:r>
    </w:p>
    <w:p>
      <w:pPr>
        <w:widowControl w:val="0"/>
        <w:adjustRightInd w:val="0"/>
        <w:snapToGrid w:val="0"/>
        <w:spacing w:line="500" w:lineRule="exact"/>
        <w:ind w:firstLine="476" w:firstLineChars="200"/>
        <w:jc w:val="both"/>
        <w:rPr>
          <w:rFonts w:ascii="Times New Roman" w:hAnsi="Times New Roman" w:cs="Times New Roman"/>
          <w:b/>
          <w:bCs w:val="0"/>
          <w:iCs/>
          <w:snapToGrid w:val="0"/>
          <w:color w:val="auto"/>
          <w:w w:val="99"/>
          <w:kern w:val="2"/>
          <w:szCs w:val="28"/>
          <w:highlight w:val="none"/>
        </w:rPr>
      </w:pPr>
      <w:r>
        <w:rPr>
          <w:rFonts w:ascii="Times New Roman" w:hAnsi="Times New Roman" w:cs="Times New Roman"/>
          <w:b/>
          <w:bCs w:val="0"/>
          <w:iCs/>
          <w:color w:val="auto"/>
          <w:w w:val="99"/>
          <w:kern w:val="2"/>
          <w:highlight w:val="none"/>
        </w:rPr>
        <w:t>表1.4-5          本项目与“水十条”相关要求符合性一览表</w:t>
      </w:r>
    </w:p>
    <w:tbl>
      <w:tblPr>
        <w:tblStyle w:val="82"/>
        <w:tblW w:w="91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3883"/>
        <w:gridCol w:w="3686"/>
        <w:gridCol w:w="7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级别</w:t>
            </w:r>
          </w:p>
        </w:tc>
        <w:tc>
          <w:tcPr>
            <w:tcW w:w="3883"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highlight w:val="none"/>
              </w:rPr>
            </w:pPr>
            <w:r>
              <w:rPr>
                <w:rFonts w:ascii="Times New Roman" w:hAnsi="Times New Roman" w:eastAsia="TimesNewRomanPSMT" w:cs="Times New Roman"/>
                <w:iCs/>
                <w:color w:val="auto"/>
                <w:w w:val="99"/>
                <w:kern w:val="2"/>
                <w:sz w:val="21"/>
                <w:szCs w:val="21"/>
                <w:highlight w:val="none"/>
              </w:rPr>
              <w:t>“</w:t>
            </w:r>
            <w:r>
              <w:rPr>
                <w:rFonts w:ascii="Times New Roman" w:hAnsi="Times New Roman" w:cs="Times New Roman"/>
                <w:iCs/>
                <w:color w:val="auto"/>
                <w:w w:val="99"/>
                <w:kern w:val="2"/>
                <w:sz w:val="21"/>
                <w:szCs w:val="21"/>
                <w:highlight w:val="none"/>
              </w:rPr>
              <w:t>水十条</w:t>
            </w:r>
            <w:r>
              <w:rPr>
                <w:rFonts w:ascii="Times New Roman" w:hAnsi="Times New Roman" w:eastAsia="TimesNewRomanPSMT" w:cs="Times New Roman"/>
                <w:iCs/>
                <w:color w:val="auto"/>
                <w:w w:val="99"/>
                <w:kern w:val="2"/>
                <w:sz w:val="21"/>
                <w:szCs w:val="21"/>
                <w:highlight w:val="none"/>
              </w:rPr>
              <w:t>”</w:t>
            </w:r>
            <w:r>
              <w:rPr>
                <w:rFonts w:ascii="Times New Roman" w:hAnsi="Times New Roman" w:cs="Times New Roman"/>
                <w:iCs/>
                <w:color w:val="auto"/>
                <w:w w:val="99"/>
                <w:kern w:val="2"/>
                <w:sz w:val="21"/>
                <w:szCs w:val="21"/>
                <w:highlight w:val="none"/>
              </w:rPr>
              <w:t>的要求</w:t>
            </w:r>
          </w:p>
        </w:tc>
        <w:tc>
          <w:tcPr>
            <w:tcW w:w="3686"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highlight w:val="none"/>
              </w:rPr>
            </w:pPr>
            <w:r>
              <w:rPr>
                <w:rFonts w:ascii="Times New Roman" w:hAnsi="Times New Roman" w:cs="Times New Roman"/>
                <w:iCs/>
                <w:color w:val="auto"/>
                <w:w w:val="99"/>
                <w:kern w:val="2"/>
                <w:sz w:val="21"/>
                <w:szCs w:val="21"/>
                <w:highlight w:val="none"/>
              </w:rPr>
              <w:t>本项目分析</w:t>
            </w:r>
          </w:p>
        </w:tc>
        <w:tc>
          <w:tcPr>
            <w:tcW w:w="760"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restart"/>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国家</w:t>
            </w:r>
          </w:p>
        </w:tc>
        <w:tc>
          <w:tcPr>
            <w:tcW w:w="3883"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highlight w:val="none"/>
              </w:rPr>
            </w:pPr>
            <w:r>
              <w:rPr>
                <w:rFonts w:ascii="Times New Roman" w:hAnsi="Times New Roman" w:cs="Times New Roman"/>
                <w:iCs/>
                <w:color w:val="auto"/>
                <w:w w:val="99"/>
                <w:kern w:val="2"/>
                <w:sz w:val="21"/>
                <w:szCs w:val="21"/>
                <w:highlight w:val="none"/>
              </w:rPr>
              <w:t>污水处理设施产生的污泥应进行稳定化、无害化和资源化处理处置，禁止处理处置不达标的污泥进入耕地。非法污泥堆放点一律予以取缔。</w:t>
            </w:r>
          </w:p>
        </w:tc>
        <w:tc>
          <w:tcPr>
            <w:tcW w:w="3686"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color w:val="auto"/>
                <w:w w:val="99"/>
                <w:sz w:val="21"/>
                <w:szCs w:val="21"/>
                <w:highlight w:val="none"/>
              </w:rPr>
              <w:t>本工程所依托废弃钻井泥浆处理站压滤后产生的泥饼满足《一般工业固体废物贮存和填埋污染控制标准》（GB18599-2020）中第Ⅰ类一般工业固体废物标准后用于铺垫采油</w:t>
            </w:r>
            <w:r>
              <w:rPr>
                <w:rFonts w:hint="eastAsia" w:ascii="Times New Roman" w:hAnsi="Times New Roman" w:cs="Times New Roman"/>
                <w:color w:val="auto"/>
                <w:w w:val="99"/>
                <w:sz w:val="21"/>
                <w:szCs w:val="21"/>
                <w:highlight w:val="none"/>
              </w:rPr>
              <w:t>十</w:t>
            </w:r>
            <w:r>
              <w:rPr>
                <w:rFonts w:ascii="Times New Roman" w:hAnsi="Times New Roman" w:cs="Times New Roman"/>
                <w:color w:val="auto"/>
                <w:w w:val="99"/>
                <w:sz w:val="21"/>
                <w:szCs w:val="21"/>
                <w:highlight w:val="none"/>
              </w:rPr>
              <w:t>厂通井路。</w:t>
            </w:r>
          </w:p>
        </w:tc>
        <w:tc>
          <w:tcPr>
            <w:tcW w:w="760"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3883"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七大重点流域干流沿岸，要严格控制石油加工、化学原料和化学制品制造、医药制造、化学纤维制造、有色金属冶炼、纺织印染等项目环境风险，合理布局生产装置及危险化学品仓储等设施。</w:t>
            </w:r>
          </w:p>
        </w:tc>
        <w:tc>
          <w:tcPr>
            <w:tcW w:w="3686"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color w:val="auto"/>
                <w:w w:val="99"/>
                <w:sz w:val="21"/>
                <w:szCs w:val="21"/>
                <w:highlight w:val="none"/>
              </w:rPr>
              <w:t>本工程位于</w:t>
            </w:r>
            <w:r>
              <w:rPr>
                <w:rFonts w:hint="eastAsia" w:ascii="Times New Roman" w:hAnsi="Times New Roman" w:cs="Times New Roman"/>
                <w:color w:val="auto"/>
                <w:w w:val="99"/>
                <w:sz w:val="21"/>
                <w:szCs w:val="21"/>
                <w:highlight w:val="none"/>
              </w:rPr>
              <w:t>大庆市肇州县及肇源县</w:t>
            </w:r>
            <w:r>
              <w:rPr>
                <w:rFonts w:ascii="Times New Roman" w:hAnsi="Times New Roman" w:cs="Times New Roman"/>
                <w:color w:val="auto"/>
                <w:w w:val="99"/>
                <w:sz w:val="21"/>
                <w:szCs w:val="21"/>
                <w:highlight w:val="none"/>
              </w:rPr>
              <w:t>境内，周边主要的地表水体主要为</w:t>
            </w:r>
            <w:r>
              <w:rPr>
                <w:rFonts w:hint="eastAsia" w:ascii="Times New Roman" w:hAnsi="Times New Roman" w:cs="Times New Roman"/>
                <w:color w:val="auto"/>
                <w:w w:val="99"/>
                <w:sz w:val="21"/>
                <w:szCs w:val="21"/>
                <w:highlight w:val="none"/>
              </w:rPr>
              <w:t>安肇新河</w:t>
            </w:r>
            <w:r>
              <w:rPr>
                <w:rFonts w:ascii="Times New Roman" w:hAnsi="Times New Roman" w:cs="Times New Roman"/>
                <w:color w:val="auto"/>
                <w:w w:val="99"/>
                <w:sz w:val="21"/>
                <w:szCs w:val="21"/>
                <w:highlight w:val="none"/>
              </w:rPr>
              <w:t>，不属于七大重点流域干流沿岸，且项目不属于需严格控制的项目</w:t>
            </w:r>
          </w:p>
        </w:tc>
        <w:tc>
          <w:tcPr>
            <w:tcW w:w="760"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3883"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加大执法力度，所有排污单位必须依法实现全面达标排放。逐一排查工业企业排污情况，达标企业应采取措施确保稳定达标</w:t>
            </w:r>
          </w:p>
        </w:tc>
        <w:tc>
          <w:tcPr>
            <w:tcW w:w="3686"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color w:val="auto"/>
                <w:w w:val="99"/>
                <w:sz w:val="21"/>
                <w:szCs w:val="21"/>
                <w:highlight w:val="none"/>
              </w:rPr>
              <w:t>本工程依托废弃泥浆处理站环保手续齐全，能够满足达标排放要求</w:t>
            </w:r>
          </w:p>
        </w:tc>
        <w:tc>
          <w:tcPr>
            <w:tcW w:w="760"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restart"/>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黑龙</w:t>
            </w:r>
          </w:p>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江省</w:t>
            </w:r>
          </w:p>
        </w:tc>
        <w:tc>
          <w:tcPr>
            <w:tcW w:w="3883"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合理确定发展布局、结构和规模。严格控制缺水地区、水污染严重地区和敏感区域高耗水、高污染行业发展。松花江干流及一级支流沿岸，要着重防控石油加工、化学原料和化学品制造、医药制造、化学纤维制造、有色金属冶炼、纺织印染等项目环境风险，合理布局生产装置及危险化学品仓储等设施。</w:t>
            </w:r>
          </w:p>
        </w:tc>
        <w:tc>
          <w:tcPr>
            <w:tcW w:w="3686"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highlight w:val="none"/>
              </w:rPr>
            </w:pPr>
            <w:r>
              <w:rPr>
                <w:rFonts w:ascii="Times New Roman" w:hAnsi="Times New Roman" w:cs="Times New Roman"/>
                <w:iCs/>
                <w:color w:val="auto"/>
                <w:w w:val="99"/>
                <w:kern w:val="2"/>
                <w:sz w:val="21"/>
                <w:szCs w:val="21"/>
                <w:highlight w:val="none"/>
              </w:rPr>
              <w:t>石油天然气开采不属于高耗水、高污染及需严格控制的行业，本项目不位于松花江干流及以及支流沿岸</w:t>
            </w:r>
            <w:r>
              <w:rPr>
                <w:rFonts w:ascii="Times New Roman" w:hAnsi="Times New Roman" w:cs="Times New Roman"/>
                <w:iCs/>
                <w:color w:val="auto"/>
                <w:w w:val="99"/>
                <w:kern w:val="2"/>
                <w:sz w:val="21"/>
                <w:highlight w:val="none"/>
              </w:rPr>
              <w:t xml:space="preserve"> </w:t>
            </w:r>
          </w:p>
        </w:tc>
        <w:tc>
          <w:tcPr>
            <w:tcW w:w="760"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3883"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重点推进阿什河、呼兰河、安肇新河、乌裕尔河、讷谟尔河、穆棱河等流域和大庆市及周边闭流区综合治理。加大化学需氧量、氨氮、总磷及其他影响人体健康的污染物整治力度。</w:t>
            </w:r>
          </w:p>
        </w:tc>
        <w:tc>
          <w:tcPr>
            <w:tcW w:w="3686"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color w:val="auto"/>
                <w:w w:val="99"/>
                <w:sz w:val="21"/>
                <w:szCs w:val="21"/>
                <w:highlight w:val="none"/>
              </w:rPr>
              <w:t>本项目施工期生活污水排入</w:t>
            </w:r>
            <w:r>
              <w:rPr>
                <w:rFonts w:hint="eastAsia" w:ascii="Times New Roman" w:hAnsi="Times New Roman" w:cs="Times New Roman"/>
                <w:color w:val="auto"/>
                <w:w w:val="99"/>
                <w:sz w:val="21"/>
                <w:szCs w:val="21"/>
                <w:highlight w:val="none"/>
              </w:rPr>
              <w:t>防渗旱厕</w:t>
            </w:r>
            <w:r>
              <w:rPr>
                <w:rFonts w:ascii="Times New Roman" w:hAnsi="Times New Roman" w:cs="Times New Roman"/>
                <w:color w:val="auto"/>
                <w:w w:val="99"/>
                <w:sz w:val="21"/>
                <w:szCs w:val="21"/>
                <w:highlight w:val="none"/>
              </w:rPr>
              <w:t>，定期清掏外运堆肥处理。本项目施工期在井场占地边界应修建0.3m高临时围堰。</w:t>
            </w:r>
          </w:p>
        </w:tc>
        <w:tc>
          <w:tcPr>
            <w:tcW w:w="760"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restart"/>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大庆市</w:t>
            </w:r>
          </w:p>
        </w:tc>
        <w:tc>
          <w:tcPr>
            <w:tcW w:w="3883"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污水处理设施产生的污泥应进行稳定化、无害化和资源化处理处置，对污水处理厂产生污泥实行储存、运输、处理处置全过程监管，禁止处理处置不达标的污泥进入耕地，配套完善市污泥处理厂应急储存池建设，非法污泥堆放点一律予以取缔。</w:t>
            </w:r>
          </w:p>
        </w:tc>
        <w:tc>
          <w:tcPr>
            <w:tcW w:w="3686" w:type="dxa"/>
            <w:vAlign w:val="center"/>
          </w:tcPr>
          <w:p>
            <w:pPr>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color w:val="auto"/>
                <w:w w:val="99"/>
                <w:sz w:val="21"/>
                <w:szCs w:val="21"/>
                <w:highlight w:val="none"/>
              </w:rPr>
              <w:t>本工程所依托废弃钻井泥浆处理站压滤后产生的泥饼满足《一般工业固体废物贮存和填埋污染控制标准》（GB18599-2020）中第Ⅰ类一般工业固体废物标准后用于铺垫</w:t>
            </w:r>
            <w:r>
              <w:rPr>
                <w:rFonts w:hint="eastAsia" w:ascii="Times New Roman" w:hAnsi="Times New Roman" w:cs="Times New Roman"/>
                <w:color w:val="auto"/>
                <w:w w:val="99"/>
                <w:sz w:val="21"/>
                <w:szCs w:val="21"/>
                <w:highlight w:val="none"/>
              </w:rPr>
              <w:t>采油十厂</w:t>
            </w:r>
            <w:r>
              <w:rPr>
                <w:rFonts w:ascii="Times New Roman" w:hAnsi="Times New Roman" w:cs="Times New Roman"/>
                <w:color w:val="auto"/>
                <w:w w:val="99"/>
                <w:sz w:val="21"/>
                <w:szCs w:val="21"/>
                <w:highlight w:val="none"/>
              </w:rPr>
              <w:t>通井路。</w:t>
            </w:r>
          </w:p>
        </w:tc>
        <w:tc>
          <w:tcPr>
            <w:tcW w:w="760"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3883"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加强工业水循环利用。进一步加强采油废水管理，确保全部用于油田回注。</w:t>
            </w:r>
          </w:p>
        </w:tc>
        <w:tc>
          <w:tcPr>
            <w:tcW w:w="3686" w:type="dxa"/>
            <w:vAlign w:val="center"/>
          </w:tcPr>
          <w:p>
            <w:pPr>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color w:val="auto"/>
                <w:w w:val="99"/>
                <w:sz w:val="21"/>
                <w:szCs w:val="21"/>
                <w:highlight w:val="none"/>
              </w:rPr>
              <w:t>本工程为前期钻井工程，不涉及采油废水。</w:t>
            </w:r>
          </w:p>
        </w:tc>
        <w:tc>
          <w:tcPr>
            <w:tcW w:w="760"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bl>
    <w:p>
      <w:pPr>
        <w:spacing w:line="500" w:lineRule="exact"/>
        <w:ind w:firstLine="474" w:firstLineChars="200"/>
        <w:jc w:val="both"/>
        <w:rPr>
          <w:rFonts w:ascii="Times New Roman" w:hAnsi="Times New Roman" w:cs="Times New Roman"/>
          <w:iCs/>
          <w:color w:val="auto"/>
          <w:w w:val="99"/>
          <w:kern w:val="2"/>
          <w:highlight w:val="none"/>
        </w:rPr>
      </w:pPr>
      <w:r>
        <w:rPr>
          <w:rFonts w:ascii="Times New Roman" w:hAnsi="Times New Roman" w:cs="Times New Roman"/>
          <w:iCs/>
          <w:color w:val="auto"/>
          <w:w w:val="99"/>
          <w:kern w:val="2"/>
          <w:highlight w:val="none"/>
        </w:rPr>
        <w:t>符合《水污染防治行动计划》（国发〔2015〕17 号）、《黑龙江省水污染防治实施方案》（黑政发〔2016〕3 号）及《大庆市加强水污染防治工作实施方案》（庆政办发〔2015〕55 号）相关要求。</w:t>
      </w:r>
    </w:p>
    <w:p>
      <w:pPr>
        <w:pStyle w:val="109"/>
        <w:widowControl w:val="0"/>
        <w:ind w:firstLine="0" w:firstLineChars="0"/>
        <w:jc w:val="both"/>
        <w:outlineLvl w:val="3"/>
        <w:rPr>
          <w:rFonts w:ascii="Times New Roman" w:hAnsi="Times New Roman" w:eastAsia="黑体"/>
          <w:b/>
          <w:color w:val="auto"/>
          <w:w w:val="99"/>
          <w:highlight w:val="none"/>
        </w:rPr>
      </w:pPr>
      <w:bookmarkStart w:id="68" w:name="_Toc70050127"/>
      <w:r>
        <w:rPr>
          <w:rFonts w:ascii="Times New Roman" w:hAnsi="Times New Roman" w:eastAsia="黑体"/>
          <w:b/>
          <w:color w:val="auto"/>
          <w:w w:val="99"/>
          <w:highlight w:val="none"/>
        </w:rPr>
        <w:t>1.4.3.7与“土十条”符合性判定</w:t>
      </w:r>
      <w:bookmarkEnd w:id="68"/>
    </w:p>
    <w:p>
      <w:pPr>
        <w:spacing w:line="500" w:lineRule="exact"/>
        <w:ind w:firstLine="474" w:firstLineChars="200"/>
        <w:jc w:val="both"/>
        <w:rPr>
          <w:rFonts w:ascii="Times New Roman" w:hAnsi="Times New Roman" w:cs="Times New Roman"/>
          <w:iCs/>
          <w:color w:val="auto"/>
          <w:w w:val="99"/>
          <w:kern w:val="2"/>
          <w:highlight w:val="none"/>
        </w:rPr>
      </w:pPr>
      <w:r>
        <w:rPr>
          <w:rFonts w:ascii="Times New Roman" w:hAnsi="Times New Roman" w:cs="Times New Roman"/>
          <w:iCs/>
          <w:color w:val="auto"/>
          <w:w w:val="99"/>
          <w:kern w:val="2"/>
          <w:highlight w:val="none"/>
        </w:rPr>
        <w:t>根据《土壤污染防治行动计划》（国发〔2016〕31 号）、《黑龙江省土壤污染防治实施方案》（黑政发〔2016〕46 号）及《大庆市土壤污染防治实施方案》（庆政规〔2017〕2号），本项目与“土十条”相关要求符合性详见表1.4-6。</w:t>
      </w:r>
    </w:p>
    <w:p>
      <w:pPr>
        <w:widowControl w:val="0"/>
        <w:adjustRightInd w:val="0"/>
        <w:snapToGrid w:val="0"/>
        <w:spacing w:line="500" w:lineRule="exact"/>
        <w:ind w:firstLine="476" w:firstLineChars="200"/>
        <w:jc w:val="both"/>
        <w:rPr>
          <w:rFonts w:ascii="Times New Roman" w:hAnsi="Times New Roman" w:cs="Times New Roman"/>
          <w:b/>
          <w:bCs w:val="0"/>
          <w:iCs/>
          <w:snapToGrid w:val="0"/>
          <w:color w:val="auto"/>
          <w:w w:val="99"/>
          <w:kern w:val="2"/>
          <w:szCs w:val="28"/>
          <w:highlight w:val="none"/>
        </w:rPr>
      </w:pPr>
      <w:r>
        <w:rPr>
          <w:rFonts w:ascii="Times New Roman" w:hAnsi="Times New Roman" w:cs="Times New Roman"/>
          <w:b/>
          <w:bCs w:val="0"/>
          <w:iCs/>
          <w:color w:val="auto"/>
          <w:w w:val="99"/>
          <w:kern w:val="2"/>
          <w:highlight w:val="none"/>
        </w:rPr>
        <w:t>表1.4-6         本项目与“土十条”相关要求符合性一览表</w:t>
      </w:r>
    </w:p>
    <w:tbl>
      <w:tblPr>
        <w:tblStyle w:val="8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3"/>
        <w:gridCol w:w="4180"/>
        <w:gridCol w:w="4259"/>
        <w:gridCol w:w="4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级别</w:t>
            </w:r>
          </w:p>
        </w:tc>
        <w:tc>
          <w:tcPr>
            <w:tcW w:w="2639"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eastAsia="TimesNewRomanPSMT" w:cs="Times New Roman"/>
                <w:iCs/>
                <w:color w:val="auto"/>
                <w:w w:val="99"/>
                <w:kern w:val="2"/>
                <w:sz w:val="21"/>
                <w:szCs w:val="21"/>
                <w:highlight w:val="none"/>
              </w:rPr>
              <w:t>“</w:t>
            </w:r>
            <w:r>
              <w:rPr>
                <w:rFonts w:ascii="Times New Roman" w:hAnsi="Times New Roman" w:cs="Times New Roman"/>
                <w:iCs/>
                <w:color w:val="auto"/>
                <w:w w:val="99"/>
                <w:kern w:val="2"/>
                <w:sz w:val="21"/>
                <w:szCs w:val="21"/>
                <w:highlight w:val="none"/>
              </w:rPr>
              <w:t>土十条</w:t>
            </w:r>
            <w:r>
              <w:rPr>
                <w:rFonts w:ascii="Times New Roman" w:hAnsi="Times New Roman" w:eastAsia="TimesNewRomanPSMT" w:cs="Times New Roman"/>
                <w:iCs/>
                <w:color w:val="auto"/>
                <w:w w:val="99"/>
                <w:kern w:val="2"/>
                <w:sz w:val="21"/>
                <w:szCs w:val="21"/>
                <w:highlight w:val="none"/>
              </w:rPr>
              <w:t>”</w:t>
            </w:r>
            <w:r>
              <w:rPr>
                <w:rFonts w:ascii="Times New Roman" w:hAnsi="Times New Roman" w:cs="Times New Roman"/>
                <w:iCs/>
                <w:color w:val="auto"/>
                <w:w w:val="99"/>
                <w:kern w:val="2"/>
                <w:sz w:val="21"/>
                <w:szCs w:val="21"/>
                <w:highlight w:val="none"/>
              </w:rPr>
              <w:t>的要求</w:t>
            </w:r>
          </w:p>
        </w:tc>
        <w:tc>
          <w:tcPr>
            <w:tcW w:w="1497"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本项目分析</w:t>
            </w:r>
          </w:p>
        </w:tc>
        <w:tc>
          <w:tcPr>
            <w:tcW w:w="466"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restart"/>
            <w:vAlign w:val="center"/>
          </w:tcPr>
          <w:p>
            <w:pPr>
              <w:widowControl w:val="0"/>
              <w:adjustRightInd w:val="0"/>
              <w:snapToGrid w:val="0"/>
              <w:spacing w:line="360" w:lineRule="exact"/>
              <w:jc w:val="center"/>
              <w:rPr>
                <w:rFonts w:ascii="Times New Roman" w:hAnsi="Times New Roman" w:cs="Times New Roman"/>
                <w:b/>
                <w:bCs/>
                <w:iCs/>
                <w:color w:val="auto"/>
                <w:w w:val="99"/>
                <w:kern w:val="2"/>
                <w:sz w:val="21"/>
                <w:szCs w:val="21"/>
                <w:highlight w:val="none"/>
              </w:rPr>
            </w:pPr>
            <w:r>
              <w:rPr>
                <w:rFonts w:ascii="Times New Roman" w:hAnsi="Times New Roman" w:cs="Times New Roman"/>
                <w:iCs/>
                <w:color w:val="auto"/>
                <w:w w:val="99"/>
                <w:kern w:val="2"/>
                <w:sz w:val="21"/>
                <w:szCs w:val="21"/>
                <w:highlight w:val="none"/>
              </w:rPr>
              <w:t>国家</w:t>
            </w:r>
          </w:p>
        </w:tc>
        <w:tc>
          <w:tcPr>
            <w:tcW w:w="2639" w:type="pct"/>
            <w:vAlign w:val="center"/>
          </w:tcPr>
          <w:p>
            <w:pPr>
              <w:adjustRightInd w:val="0"/>
              <w:snapToGrid w:val="0"/>
              <w:spacing w:line="360" w:lineRule="exact"/>
              <w:jc w:val="center"/>
              <w:textAlignment w:val="baseline"/>
              <w:rPr>
                <w:rFonts w:ascii="Times New Roman" w:hAnsi="Times New Roman" w:eastAsia="TimesNewRomanPSMT" w:cs="Times New Roman"/>
                <w:b/>
                <w:bCs/>
                <w:iCs/>
                <w:color w:val="auto"/>
                <w:w w:val="99"/>
                <w:kern w:val="28"/>
                <w:sz w:val="21"/>
                <w:szCs w:val="21"/>
                <w:highlight w:val="none"/>
              </w:rPr>
            </w:pPr>
            <w:r>
              <w:rPr>
                <w:rFonts w:ascii="Times New Roman" w:hAnsi="Times New Roman" w:cs="Times New Roman"/>
                <w:iCs/>
                <w:color w:val="auto"/>
                <w:w w:val="99"/>
                <w:kern w:val="28"/>
                <w:sz w:val="21"/>
                <w:szCs w:val="21"/>
                <w:highlight w:val="none"/>
              </w:rPr>
              <w:t>深入开展土壤环境质量调查。2020年底前掌握重点行业企业用地中的污染地块分布及其环境风险情况</w:t>
            </w:r>
          </w:p>
        </w:tc>
        <w:tc>
          <w:tcPr>
            <w:tcW w:w="2780" w:type="dxa"/>
            <w:vAlign w:val="center"/>
          </w:tcPr>
          <w:p>
            <w:pPr>
              <w:adjustRightInd w:val="0"/>
              <w:snapToGrid w:val="0"/>
              <w:spacing w:line="360" w:lineRule="exact"/>
              <w:jc w:val="center"/>
              <w:rPr>
                <w:rFonts w:ascii="Times New Roman" w:hAnsi="Times New Roman" w:cs="Times New Roman"/>
                <w:b/>
                <w:bCs/>
                <w:iCs/>
                <w:color w:val="auto"/>
                <w:w w:val="99"/>
                <w:kern w:val="2"/>
                <w:sz w:val="21"/>
                <w:szCs w:val="21"/>
                <w:highlight w:val="none"/>
              </w:rPr>
            </w:pPr>
            <w:r>
              <w:rPr>
                <w:rFonts w:ascii="Times New Roman" w:hAnsi="Times New Roman" w:cs="Times New Roman"/>
                <w:color w:val="auto"/>
                <w:w w:val="99"/>
                <w:sz w:val="21"/>
                <w:szCs w:val="21"/>
                <w:highlight w:val="none"/>
              </w:rPr>
              <w:t>大庆油田有限责任公司</w:t>
            </w:r>
            <w:r>
              <w:rPr>
                <w:rFonts w:hint="eastAsia" w:ascii="Times New Roman" w:hAnsi="Times New Roman" w:cs="Times New Roman"/>
                <w:color w:val="auto"/>
                <w:w w:val="99"/>
                <w:sz w:val="21"/>
                <w:szCs w:val="21"/>
                <w:highlight w:val="none"/>
              </w:rPr>
              <w:t>第十采油厂</w:t>
            </w:r>
            <w:r>
              <w:rPr>
                <w:rFonts w:ascii="Times New Roman" w:hAnsi="Times New Roman" w:cs="Times New Roman"/>
                <w:color w:val="auto"/>
                <w:w w:val="99"/>
                <w:sz w:val="21"/>
                <w:szCs w:val="21"/>
                <w:highlight w:val="none"/>
              </w:rPr>
              <w:t>作为土壤重点企业每年对区域内土壤进行监测，并进行信息公开。（2020年公布信息见</w:t>
            </w:r>
            <w:r>
              <w:rPr>
                <w:rFonts w:hint="eastAsia" w:ascii="Times New Roman" w:hAnsi="Times New Roman" w:cs="Times New Roman"/>
                <w:color w:val="auto"/>
                <w:w w:val="99"/>
                <w:sz w:val="21"/>
                <w:szCs w:val="21"/>
                <w:highlight w:val="none"/>
              </w:rPr>
              <w:t>http://www.dqt.com.cn/turang/255909.html</w:t>
            </w:r>
            <w:r>
              <w:rPr>
                <w:rFonts w:ascii="Times New Roman" w:hAnsi="Times New Roman" w:cs="Times New Roman"/>
                <w:color w:val="auto"/>
                <w:w w:val="99"/>
                <w:sz w:val="21"/>
                <w:szCs w:val="21"/>
                <w:highlight w:val="none"/>
              </w:rPr>
              <w:t>）</w:t>
            </w:r>
          </w:p>
        </w:tc>
        <w:tc>
          <w:tcPr>
            <w:tcW w:w="466"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2639" w:type="pct"/>
            <w:vAlign w:val="center"/>
          </w:tcPr>
          <w:p>
            <w:pPr>
              <w:widowControl w:val="0"/>
              <w:adjustRightInd w:val="0"/>
              <w:snapToGrid w:val="0"/>
              <w:spacing w:line="360" w:lineRule="exact"/>
              <w:jc w:val="center"/>
              <w:textAlignment w:val="baseline"/>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切实加大保护力度。各地要将符合条件的优先保护类耕地划为永久基本农田，实行严格保护，确保其面积不减少、土壤环境质量不下降，除法律规定的重点建设项目选址确实无法避让外，其他任何建设不得占用</w:t>
            </w:r>
          </w:p>
        </w:tc>
        <w:tc>
          <w:tcPr>
            <w:tcW w:w="2780" w:type="dxa"/>
            <w:vAlign w:val="center"/>
          </w:tcPr>
          <w:p>
            <w:pPr>
              <w:adjustRightInd w:val="0"/>
              <w:snapToGrid w:val="0"/>
              <w:spacing w:line="360" w:lineRule="exact"/>
              <w:jc w:val="center"/>
              <w:rPr>
                <w:rFonts w:ascii="Times New Roman" w:hAnsi="Times New Roman" w:cs="Times New Roman"/>
                <w:iCs/>
                <w:color w:val="auto"/>
                <w:w w:val="99"/>
                <w:kern w:val="2"/>
                <w:sz w:val="21"/>
                <w:szCs w:val="21"/>
                <w:highlight w:val="none"/>
              </w:rPr>
            </w:pPr>
            <w:r>
              <w:rPr>
                <w:rFonts w:hint="eastAsia" w:ascii="Times New Roman" w:hAnsi="Times New Roman" w:cs="Times New Roman"/>
                <w:iCs/>
                <w:color w:val="auto"/>
                <w:w w:val="99"/>
                <w:kern w:val="2"/>
                <w:sz w:val="21"/>
                <w:szCs w:val="21"/>
                <w:highlight w:val="none"/>
              </w:rPr>
              <w:t>本工程作为油田开发工程，为“十四五”钻井环评工作一部分，项目无法避让基本农田，本项目尽可能减少对占用面积和时间，进一步降低对土壤的影响。</w:t>
            </w:r>
          </w:p>
        </w:tc>
        <w:tc>
          <w:tcPr>
            <w:tcW w:w="466"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2639" w:type="pct"/>
            <w:vAlign w:val="center"/>
          </w:tcPr>
          <w:p>
            <w:pPr>
              <w:widowControl w:val="0"/>
              <w:adjustRightInd w:val="0"/>
              <w:snapToGrid w:val="0"/>
              <w:spacing w:line="360" w:lineRule="exact"/>
              <w:jc w:val="center"/>
              <w:textAlignment w:val="baseline"/>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2780" w:type="dxa"/>
            <w:vAlign w:val="center"/>
          </w:tcPr>
          <w:p>
            <w:pPr>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color w:val="auto"/>
                <w:w w:val="99"/>
                <w:sz w:val="21"/>
                <w:szCs w:val="21"/>
                <w:highlight w:val="none"/>
              </w:rPr>
              <w:t>本工程环评阶段开展了评价范围内土壤的环境质量现状调查、土壤环境影响分析及土壤污染防治措施及其可行性论证，提出土壤跟踪监测计划，并提出三同时验收的出落实要求。</w:t>
            </w:r>
          </w:p>
        </w:tc>
        <w:tc>
          <w:tcPr>
            <w:tcW w:w="466"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2639" w:type="pct"/>
            <w:vAlign w:val="center"/>
          </w:tcPr>
          <w:p>
            <w:pPr>
              <w:widowControl w:val="0"/>
              <w:adjustRightInd w:val="0"/>
              <w:snapToGrid w:val="0"/>
              <w:spacing w:line="360" w:lineRule="exact"/>
              <w:jc w:val="center"/>
              <w:textAlignment w:val="baseline"/>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全面强化监管执法。明确监管重点。重点监测土壤中镉、汞、砷、铅、铬等重金属和多环芳烃、石油烃等有机污染物，重点监管有色金属矿采选、有色金属冶炼、石油开采、石油加工、化工、焦化、电镀、制革等行业，以及产粮（油）大县、地级以上城市建成区等区域</w:t>
            </w:r>
          </w:p>
        </w:tc>
        <w:tc>
          <w:tcPr>
            <w:tcW w:w="2780" w:type="dxa"/>
            <w:vMerge w:val="restar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本工程为陆地石油天然气开采项目，其建设单位大庆油田有限责任公司</w:t>
            </w:r>
            <w:r>
              <w:rPr>
                <w:rFonts w:hint="eastAsia" w:ascii="Times New Roman" w:hAnsi="Times New Roman" w:cs="Times New Roman"/>
                <w:color w:val="auto"/>
                <w:w w:val="99"/>
                <w:sz w:val="21"/>
                <w:szCs w:val="21"/>
                <w:highlight w:val="none"/>
              </w:rPr>
              <w:t>第十采油厂</w:t>
            </w:r>
            <w:r>
              <w:rPr>
                <w:rFonts w:ascii="Times New Roman" w:hAnsi="Times New Roman" w:cs="Times New Roman"/>
                <w:color w:val="auto"/>
                <w:w w:val="99"/>
                <w:sz w:val="21"/>
                <w:szCs w:val="21"/>
                <w:highlight w:val="none"/>
              </w:rPr>
              <w:t>作为土壤重点监管重点企业每年对区域内土壤环境质量进行监测，并进行信息公开。（</w:t>
            </w:r>
            <w:r>
              <w:rPr>
                <w:rFonts w:hint="eastAsia" w:ascii="Times New Roman" w:hAnsi="Times New Roman" w:cs="Times New Roman"/>
                <w:color w:val="auto"/>
                <w:w w:val="99"/>
                <w:sz w:val="21"/>
                <w:szCs w:val="21"/>
                <w:highlight w:val="none"/>
              </w:rPr>
              <w:t>2020年公布信息见http://www.dqt.com.cn/turang/255909.html</w:t>
            </w:r>
            <w:r>
              <w:rPr>
                <w:rFonts w:ascii="Times New Roman" w:hAnsi="Times New Roman" w:cs="Times New Roman"/>
                <w:color w:val="auto"/>
                <w:w w:val="99"/>
                <w:sz w:val="21"/>
                <w:szCs w:val="21"/>
                <w:highlight w:val="none"/>
              </w:rPr>
              <w:t>）。</w:t>
            </w:r>
          </w:p>
          <w:p>
            <w:pPr>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466" w:type="pct"/>
            <w:vMerge w:val="restart"/>
            <w:vAlign w:val="center"/>
          </w:tcPr>
          <w:p>
            <w:pPr>
              <w:widowControl w:val="0"/>
              <w:adjustRightInd w:val="0"/>
              <w:snapToGrid w:val="0"/>
              <w:spacing w:line="360" w:lineRule="exact"/>
              <w:jc w:val="center"/>
              <w:rPr>
                <w:rFonts w:ascii="Times New Roman" w:hAnsi="Times New Roman" w:cs="Times New Roman"/>
                <w:b/>
                <w:bCs/>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2639" w:type="pct"/>
            <w:vAlign w:val="center"/>
          </w:tcPr>
          <w:p>
            <w:pPr>
              <w:adjustRightInd w:val="0"/>
              <w:snapToGrid w:val="0"/>
              <w:spacing w:line="360" w:lineRule="exact"/>
              <w:jc w:val="center"/>
              <w:textAlignment w:val="baseline"/>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严控工矿污染。加强日常环境监管。各地要根据工矿企业分布和污染排放情况，确定土壤环境重点监管企业名单，实行动态更新，并向社会公布。列入名单的企业每年要自行对其用地进行土壤环境监测，结果向社会公开</w:t>
            </w:r>
          </w:p>
        </w:tc>
        <w:tc>
          <w:tcPr>
            <w:tcW w:w="1497"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466"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restart"/>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黑龙江省</w:t>
            </w:r>
          </w:p>
        </w:tc>
        <w:tc>
          <w:tcPr>
            <w:tcW w:w="2639"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明确监管重点。重点监测土壤中镉、汞、砷、铅、铬等重金属和多环芳烂、石油经等有机污染物。重点监管有色金属矿采选、有色金属冶炼、石油开采、石油加工、化工、焦化、电镀、制革等行业，以及产粮（油）大县、市级以上城市建成区等区</w:t>
            </w:r>
          </w:p>
        </w:tc>
        <w:tc>
          <w:tcPr>
            <w:tcW w:w="1497"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466"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2639"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切实加大保护力度。各地要将符合条件的优先保护类耕地划为永久基本农田，实行严格保护，确保其面积不减少、土壤环境质量不下降，除法律规定的重点建设项目选址确实无法避让外，其他任何建设不得占用</w:t>
            </w:r>
          </w:p>
        </w:tc>
        <w:tc>
          <w:tcPr>
            <w:tcW w:w="1497"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本工程作为油田开发工程，施工阶段占用耕地（</w:t>
            </w:r>
            <w:r>
              <w:rPr>
                <w:rFonts w:hint="eastAsia" w:ascii="Times New Roman" w:hAnsi="Times New Roman" w:cs="Times New Roman"/>
                <w:iCs/>
                <w:color w:val="auto"/>
                <w:w w:val="99"/>
                <w:kern w:val="2"/>
                <w:sz w:val="21"/>
                <w:szCs w:val="21"/>
                <w:highlight w:val="none"/>
                <w:lang w:eastAsia="zh-CN"/>
              </w:rPr>
              <w:t>非</w:t>
            </w:r>
            <w:r>
              <w:rPr>
                <w:rFonts w:ascii="Times New Roman" w:hAnsi="Times New Roman" w:cs="Times New Roman"/>
                <w:iCs/>
                <w:color w:val="auto"/>
                <w:w w:val="99"/>
                <w:kern w:val="2"/>
                <w:sz w:val="21"/>
                <w:szCs w:val="21"/>
                <w:highlight w:val="none"/>
              </w:rPr>
              <w:t>基本农田</w:t>
            </w:r>
            <w:r>
              <w:rPr>
                <w:rFonts w:hint="eastAsia" w:ascii="Times New Roman" w:hAnsi="Times New Roman" w:cs="Times New Roman"/>
                <w:iCs/>
                <w:color w:val="auto"/>
                <w:w w:val="99"/>
                <w:kern w:val="2"/>
                <w:sz w:val="21"/>
                <w:szCs w:val="21"/>
                <w:highlight w:val="none"/>
                <w:lang w:eastAsia="zh-CN"/>
              </w:rPr>
              <w:t>、少量永久基本农田</w:t>
            </w:r>
            <w:r>
              <w:rPr>
                <w:rFonts w:ascii="Times New Roman" w:hAnsi="Times New Roman" w:cs="Times New Roman"/>
                <w:iCs/>
                <w:color w:val="auto"/>
                <w:w w:val="99"/>
                <w:kern w:val="2"/>
                <w:sz w:val="21"/>
                <w:szCs w:val="21"/>
                <w:highlight w:val="none"/>
              </w:rPr>
              <w:t>），采取对耕地配套专门的补偿措施、植被恢复措施等，并在选址和布局上采用环境影响最小的布局方案，尽可能减少对占用面积和时间，进一步降低对土壤的影响</w:t>
            </w:r>
          </w:p>
        </w:tc>
        <w:tc>
          <w:tcPr>
            <w:tcW w:w="466"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2639" w:type="pct"/>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1497" w:type="pct"/>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本工程环评阶段开展了评价范围内土壤的环境质量现状调查、土壤环境影响分析及土壤污染防治措施及其可行性论证，提出土壤跟踪监测计划，并提出三同时验收的出落实要求</w:t>
            </w:r>
          </w:p>
        </w:tc>
        <w:tc>
          <w:tcPr>
            <w:tcW w:w="466"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restar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大庆市</w:t>
            </w:r>
          </w:p>
        </w:tc>
        <w:tc>
          <w:tcPr>
            <w:tcW w:w="2639" w:type="pct"/>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重点监测土壤中镉、汞、砷、铅、铬等重金属和多环芳烃、石油烃等有机污染物。重点监管有色金属冶炼、石油开采、石油加工、化工、焦化、电镀、制革等行业，以及产粮大县、市级城市建成区等区域</w:t>
            </w:r>
          </w:p>
        </w:tc>
        <w:tc>
          <w:tcPr>
            <w:tcW w:w="1497" w:type="pct"/>
            <w:vMerge w:val="restar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本工程为陆地石油天然气开采项目，其建设单位大庆油田有限责任公司</w:t>
            </w:r>
            <w:r>
              <w:rPr>
                <w:rFonts w:hint="eastAsia" w:ascii="Times New Roman" w:hAnsi="Times New Roman" w:cs="Times New Roman"/>
                <w:color w:val="auto"/>
                <w:w w:val="99"/>
                <w:sz w:val="21"/>
                <w:szCs w:val="21"/>
                <w:highlight w:val="none"/>
              </w:rPr>
              <w:t>第十采油厂</w:t>
            </w:r>
            <w:r>
              <w:rPr>
                <w:rFonts w:ascii="Times New Roman" w:hAnsi="Times New Roman" w:cs="Times New Roman"/>
                <w:color w:val="auto"/>
                <w:w w:val="99"/>
                <w:sz w:val="21"/>
                <w:szCs w:val="21"/>
                <w:highlight w:val="none"/>
              </w:rPr>
              <w:t>作为土壤重点监管重点企业每年对区域内土壤环境质量进行监测，并进行信息公开。（</w:t>
            </w:r>
            <w:r>
              <w:rPr>
                <w:rFonts w:hint="eastAsia" w:ascii="Times New Roman" w:hAnsi="Times New Roman" w:cs="Times New Roman"/>
                <w:color w:val="auto"/>
                <w:w w:val="99"/>
                <w:sz w:val="21"/>
                <w:szCs w:val="21"/>
                <w:highlight w:val="none"/>
              </w:rPr>
              <w:t>2020年公布信息见http://www.dqt.com.cn/turang/255909.html</w:t>
            </w:r>
            <w:r>
              <w:rPr>
                <w:rFonts w:ascii="Times New Roman" w:hAnsi="Times New Roman" w:cs="Times New Roman"/>
                <w:color w:val="auto"/>
                <w:w w:val="99"/>
                <w:sz w:val="21"/>
                <w:szCs w:val="21"/>
                <w:highlight w:val="none"/>
              </w:rPr>
              <w:t>）。</w:t>
            </w:r>
          </w:p>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466" w:type="pct"/>
            <w:vMerge w:val="restar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2639" w:type="pct"/>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加强日常环境监管。依据国家有关规定，2017年底前，各县（区）、高新区、经开区根据工矿企业分布和污染排放情况，确定土壤环境重点监管企业名单，实行动态更新，并向社会公布。督促列入名单的企业自2018年起，每年要自行对其用地进行土壤环境监测，结果向社会公开</w:t>
            </w:r>
          </w:p>
        </w:tc>
        <w:tc>
          <w:tcPr>
            <w:tcW w:w="1497"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466"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2639" w:type="pct"/>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各县（区）要将符合条件的优先保护类耕地划为永久基本农田，实行严格保护，确保其面积不减少、土壤环境质量不下降，除法律规定的重点建设项目选址确实无法避让外，其他任何建设不得占用。对优先保护类耕地面积减少或土壤环境质量下降的县（区），市政府将对其进行预警提醒并依法采取环评限批等限制性措施</w:t>
            </w:r>
          </w:p>
        </w:tc>
        <w:tc>
          <w:tcPr>
            <w:tcW w:w="1497" w:type="pct"/>
            <w:vAlign w:val="center"/>
          </w:tcPr>
          <w:p>
            <w:pPr>
              <w:widowControl w:val="0"/>
              <w:autoSpaceDE w:val="0"/>
              <w:autoSpaceDN w:val="0"/>
              <w:adjustRightInd w:val="0"/>
              <w:snapToGrid w:val="0"/>
              <w:spacing w:line="360" w:lineRule="exact"/>
              <w:ind w:firstLine="360"/>
              <w:jc w:val="center"/>
              <w:rPr>
                <w:rFonts w:ascii="Times New Roman" w:hAnsi="Times New Roman" w:cs="Times New Roman"/>
                <w:iCs/>
                <w:snapToGrid w:val="0"/>
                <w:color w:val="auto"/>
                <w:w w:val="99"/>
                <w:kern w:val="2"/>
                <w:sz w:val="21"/>
                <w:szCs w:val="21"/>
                <w:highlight w:val="none"/>
              </w:rPr>
            </w:pPr>
            <w:r>
              <w:rPr>
                <w:rFonts w:ascii="Times New Roman" w:hAnsi="Times New Roman" w:cs="Times New Roman"/>
                <w:iCs/>
                <w:color w:val="auto"/>
                <w:w w:val="99"/>
                <w:kern w:val="2"/>
                <w:sz w:val="21"/>
                <w:szCs w:val="21"/>
                <w:highlight w:val="none"/>
              </w:rPr>
              <w:t>本工程作为油田开发工程，施工阶段占用耕地（</w:t>
            </w:r>
            <w:r>
              <w:rPr>
                <w:rFonts w:hint="eastAsia" w:ascii="Times New Roman" w:hAnsi="Times New Roman" w:cs="Times New Roman"/>
                <w:iCs/>
                <w:color w:val="auto"/>
                <w:w w:val="99"/>
                <w:kern w:val="2"/>
                <w:sz w:val="21"/>
                <w:szCs w:val="21"/>
                <w:highlight w:val="none"/>
                <w:lang w:eastAsia="zh-CN"/>
              </w:rPr>
              <w:t>非</w:t>
            </w:r>
            <w:r>
              <w:rPr>
                <w:rFonts w:ascii="Times New Roman" w:hAnsi="Times New Roman" w:cs="Times New Roman"/>
                <w:iCs/>
                <w:color w:val="auto"/>
                <w:w w:val="99"/>
                <w:kern w:val="2"/>
                <w:sz w:val="21"/>
                <w:szCs w:val="21"/>
                <w:highlight w:val="none"/>
              </w:rPr>
              <w:t>基本农田</w:t>
            </w:r>
            <w:r>
              <w:rPr>
                <w:rFonts w:hint="eastAsia" w:ascii="Times New Roman" w:hAnsi="Times New Roman" w:cs="Times New Roman"/>
                <w:iCs/>
                <w:color w:val="auto"/>
                <w:w w:val="99"/>
                <w:kern w:val="2"/>
                <w:sz w:val="21"/>
                <w:szCs w:val="21"/>
                <w:highlight w:val="none"/>
                <w:lang w:eastAsia="zh-CN"/>
              </w:rPr>
              <w:t>、少量永久基本农田</w:t>
            </w:r>
            <w:r>
              <w:rPr>
                <w:rFonts w:ascii="Times New Roman" w:hAnsi="Times New Roman" w:cs="Times New Roman"/>
                <w:iCs/>
                <w:color w:val="auto"/>
                <w:w w:val="99"/>
                <w:kern w:val="2"/>
                <w:sz w:val="21"/>
                <w:szCs w:val="21"/>
                <w:highlight w:val="none"/>
              </w:rPr>
              <w:t>），采取对耕地配套专门的补偿措施、植被恢复措施等，并在选址和布局上采用环境影响最小的布局方案，尽可能减少对占用面积和时间，进一步降低对土壤的影响。</w:t>
            </w:r>
            <w:r>
              <w:rPr>
                <w:rFonts w:ascii="Times New Roman" w:hAnsi="Times New Roman" w:cs="Times New Roman"/>
                <w:iCs/>
                <w:snapToGrid w:val="0"/>
                <w:color w:val="auto"/>
                <w:w w:val="99"/>
                <w:kern w:val="2"/>
                <w:sz w:val="21"/>
                <w:szCs w:val="21"/>
                <w:highlight w:val="none"/>
              </w:rPr>
              <w:t>本工程所在</w:t>
            </w:r>
            <w:r>
              <w:rPr>
                <w:rFonts w:hint="eastAsia" w:ascii="Times New Roman" w:hAnsi="Times New Roman" w:cs="Times New Roman"/>
                <w:iCs/>
                <w:snapToGrid w:val="0"/>
                <w:color w:val="auto"/>
                <w:w w:val="99"/>
                <w:kern w:val="2"/>
                <w:sz w:val="21"/>
                <w:szCs w:val="21"/>
                <w:highlight w:val="none"/>
                <w:lang w:eastAsia="zh-CN"/>
              </w:rPr>
              <w:t>肇源县</w:t>
            </w:r>
            <w:r>
              <w:rPr>
                <w:rFonts w:ascii="Times New Roman" w:hAnsi="Times New Roman" w:cs="Times New Roman"/>
                <w:iCs/>
                <w:snapToGrid w:val="0"/>
                <w:color w:val="auto"/>
                <w:w w:val="99"/>
                <w:kern w:val="2"/>
                <w:sz w:val="21"/>
                <w:szCs w:val="21"/>
                <w:highlight w:val="none"/>
              </w:rPr>
              <w:t>不属于优先保护类耕地面积减少或土壤环境质量下降的区域，本工程环评不受限批限制</w:t>
            </w:r>
          </w:p>
        </w:tc>
        <w:tc>
          <w:tcPr>
            <w:tcW w:w="466"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2639" w:type="pct"/>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1497"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8"/>
                <w:sz w:val="21"/>
                <w:szCs w:val="21"/>
                <w:highlight w:val="none"/>
              </w:rPr>
              <w:t>本工程环评阶段开展了评价范围内土壤的环境质量现状调查、土壤环境影响分析及土壤污染防治措施及其可行性论证，提出土壤跟踪监测计划，并提出三同时验收的出落实要求</w:t>
            </w:r>
          </w:p>
        </w:tc>
        <w:tc>
          <w:tcPr>
            <w:tcW w:w="466"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bl>
    <w:p>
      <w:pPr>
        <w:pStyle w:val="109"/>
        <w:widowControl w:val="0"/>
        <w:ind w:firstLine="0" w:firstLineChars="0"/>
        <w:jc w:val="both"/>
        <w:outlineLvl w:val="3"/>
        <w:rPr>
          <w:rFonts w:ascii="Times New Roman" w:hAnsi="Times New Roman" w:eastAsia="黑体"/>
          <w:b/>
          <w:color w:val="auto"/>
          <w:w w:val="99"/>
          <w:highlight w:val="none"/>
        </w:rPr>
      </w:pPr>
      <w:bookmarkStart w:id="69" w:name="_Toc70050128"/>
      <w:r>
        <w:rPr>
          <w:rFonts w:ascii="Times New Roman" w:hAnsi="Times New Roman" w:eastAsia="黑体"/>
          <w:b/>
          <w:color w:val="auto"/>
          <w:w w:val="99"/>
          <w:highlight w:val="none"/>
        </w:rPr>
        <w:t>1.4.3.8与“气十条”、《黑龙江省人民政府关于印发黑龙江省打赢蓝天保卫战三年行动计划的通知》（黑政规〔2018〕19号）符合性分析</w:t>
      </w:r>
      <w:bookmarkEnd w:id="69"/>
    </w:p>
    <w:p>
      <w:pPr>
        <w:spacing w:line="500" w:lineRule="exact"/>
        <w:ind w:firstLine="474" w:firstLineChars="200"/>
        <w:jc w:val="both"/>
        <w:rPr>
          <w:rFonts w:ascii="Times New Roman" w:hAnsi="Times New Roman" w:cs="Times New Roman"/>
          <w:iCs/>
          <w:color w:val="auto"/>
          <w:w w:val="99"/>
          <w:kern w:val="2"/>
          <w:highlight w:val="none"/>
        </w:rPr>
      </w:pPr>
      <w:r>
        <w:rPr>
          <w:rFonts w:ascii="Times New Roman" w:hAnsi="Times New Roman" w:cs="Times New Roman"/>
          <w:iCs/>
          <w:color w:val="auto"/>
          <w:w w:val="99"/>
          <w:kern w:val="2"/>
          <w:highlight w:val="none"/>
        </w:rPr>
        <w:t>根据《打赢蓝天保卫战三年行动计划》（国发〔2018〕22 号）、《黑龙江省打赢蓝天保卫战三年行动计划》（黑政规〔2018〕19 号）及《大庆市人民政府关于印发大庆市打赢蓝天保卫战三年行动计划的通知》（庆政规〔2019〕5 号），本项目与“大气行动计划”相关要求符合性详见表1.4-7。</w:t>
      </w:r>
    </w:p>
    <w:p>
      <w:pPr>
        <w:spacing w:line="500" w:lineRule="exact"/>
        <w:ind w:firstLine="476" w:firstLineChars="200"/>
        <w:jc w:val="both"/>
        <w:rPr>
          <w:rFonts w:ascii="Times New Roman" w:hAnsi="Times New Roman" w:cs="Times New Roman"/>
          <w:b/>
          <w:bCs w:val="0"/>
          <w:iCs/>
          <w:color w:val="auto"/>
          <w:w w:val="99"/>
          <w:kern w:val="2"/>
          <w:highlight w:val="none"/>
        </w:rPr>
      </w:pPr>
      <w:r>
        <w:rPr>
          <w:rFonts w:ascii="Times New Roman" w:hAnsi="Times New Roman" w:cs="Times New Roman"/>
          <w:b/>
          <w:bCs w:val="0"/>
          <w:iCs/>
          <w:color w:val="auto"/>
          <w:w w:val="99"/>
          <w:kern w:val="2"/>
          <w:highlight w:val="none"/>
        </w:rPr>
        <w:t>表1.4-7          本项目与</w:t>
      </w:r>
      <w:r>
        <w:rPr>
          <w:rFonts w:hint="eastAsia" w:ascii="Times New Roman" w:hAnsi="Times New Roman" w:cs="Times New Roman"/>
          <w:b/>
          <w:bCs w:val="0"/>
          <w:iCs/>
          <w:color w:val="auto"/>
          <w:w w:val="99"/>
          <w:kern w:val="2"/>
          <w:highlight w:val="none"/>
        </w:rPr>
        <w:t>大气污染防治动计划</w:t>
      </w:r>
      <w:r>
        <w:rPr>
          <w:rFonts w:hint="eastAsia" w:ascii="Times New Roman" w:hAnsi="Times New Roman" w:cs="Times New Roman"/>
          <w:b/>
          <w:bCs w:val="0"/>
          <w:iCs/>
          <w:color w:val="auto"/>
          <w:w w:val="99"/>
          <w:kern w:val="2"/>
          <w:highlight w:val="none"/>
          <w:lang w:eastAsia="zh-CN"/>
        </w:rPr>
        <w:t>（</w:t>
      </w:r>
      <w:r>
        <w:rPr>
          <w:rFonts w:hint="eastAsia" w:ascii="Times New Roman" w:hAnsi="Times New Roman" w:cs="Times New Roman"/>
          <w:b/>
          <w:bCs w:val="0"/>
          <w:iCs/>
          <w:color w:val="auto"/>
          <w:w w:val="99"/>
          <w:kern w:val="2"/>
          <w:highlight w:val="none"/>
        </w:rPr>
        <w:t>国发〔2013〕37号</w:t>
      </w:r>
      <w:r>
        <w:rPr>
          <w:rFonts w:hint="eastAsia" w:ascii="Times New Roman" w:hAnsi="Times New Roman" w:cs="Times New Roman"/>
          <w:b/>
          <w:bCs w:val="0"/>
          <w:iCs/>
          <w:color w:val="auto"/>
          <w:w w:val="99"/>
          <w:kern w:val="2"/>
          <w:highlight w:val="none"/>
          <w:lang w:eastAsia="zh-CN"/>
        </w:rPr>
        <w:t>）</w:t>
      </w:r>
      <w:r>
        <w:rPr>
          <w:rFonts w:ascii="Times New Roman" w:hAnsi="Times New Roman" w:cs="Times New Roman"/>
          <w:b/>
          <w:bCs w:val="0"/>
          <w:iCs/>
          <w:color w:val="auto"/>
          <w:w w:val="99"/>
          <w:kern w:val="2"/>
          <w:highlight w:val="none"/>
        </w:rPr>
        <w:t>相关要求符合性一览表</w:t>
      </w:r>
    </w:p>
    <w:tbl>
      <w:tblPr>
        <w:tblStyle w:val="82"/>
        <w:tblW w:w="89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3261"/>
        <w:gridCol w:w="3706"/>
        <w:gridCol w:w="9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级别</w:t>
            </w:r>
          </w:p>
        </w:tc>
        <w:tc>
          <w:tcPr>
            <w:tcW w:w="3261"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文件要求</w:t>
            </w:r>
          </w:p>
        </w:tc>
        <w:tc>
          <w:tcPr>
            <w:tcW w:w="3706"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本项目分析</w:t>
            </w:r>
          </w:p>
        </w:tc>
        <w:tc>
          <w:tcPr>
            <w:tcW w:w="904"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restart"/>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国家</w:t>
            </w:r>
          </w:p>
        </w:tc>
        <w:tc>
          <w:tcPr>
            <w:tcW w:w="3261"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建立覆盖所有固定污染源的企业排放许可制度，2020年底前，完成排污许可管理名录规定的行业许可证核发。</w:t>
            </w:r>
          </w:p>
        </w:tc>
        <w:tc>
          <w:tcPr>
            <w:tcW w:w="3706"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大庆油田有限责任公司</w:t>
            </w:r>
            <w:r>
              <w:rPr>
                <w:rFonts w:hint="eastAsia" w:ascii="Times New Roman" w:hAnsi="Times New Roman" w:cs="Times New Roman"/>
                <w:iCs/>
                <w:color w:val="auto"/>
                <w:w w:val="99"/>
                <w:kern w:val="28"/>
                <w:sz w:val="21"/>
                <w:szCs w:val="21"/>
                <w:highlight w:val="none"/>
              </w:rPr>
              <w:t>第十采油厂已</w:t>
            </w:r>
            <w:r>
              <w:rPr>
                <w:rFonts w:ascii="Times New Roman" w:hAnsi="Times New Roman" w:cs="Times New Roman"/>
                <w:iCs/>
                <w:color w:val="auto"/>
                <w:w w:val="99"/>
                <w:kern w:val="28"/>
                <w:sz w:val="21"/>
                <w:szCs w:val="21"/>
                <w:highlight w:val="none"/>
              </w:rPr>
              <w:t>完成固定污染源排污许可登记</w:t>
            </w:r>
            <w:r>
              <w:rPr>
                <w:rFonts w:hint="eastAsia" w:ascii="Times New Roman" w:hAnsi="Times New Roman" w:cs="Times New Roman"/>
                <w:iCs/>
                <w:color w:val="auto"/>
                <w:w w:val="99"/>
                <w:kern w:val="28"/>
                <w:sz w:val="21"/>
                <w:szCs w:val="21"/>
                <w:highlight w:val="none"/>
              </w:rPr>
              <w:t>，</w:t>
            </w:r>
            <w:r>
              <w:rPr>
                <w:rFonts w:ascii="Times New Roman" w:hAnsi="Times New Roman" w:cs="Times New Roman"/>
                <w:iCs/>
                <w:color w:val="auto"/>
                <w:w w:val="99"/>
                <w:kern w:val="28"/>
                <w:sz w:val="21"/>
                <w:szCs w:val="21"/>
                <w:highlight w:val="none"/>
              </w:rPr>
              <w:t>许可证编号为91230607716675409L008X</w:t>
            </w:r>
          </w:p>
        </w:tc>
        <w:tc>
          <w:tcPr>
            <w:tcW w:w="904"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bookmarkStart w:id="70" w:name="_Toc70050129"/>
          </w:p>
        </w:tc>
        <w:tc>
          <w:tcPr>
            <w:tcW w:w="3261" w:type="dxa"/>
            <w:vAlign w:val="center"/>
          </w:tcPr>
          <w:p>
            <w:pPr>
              <w:widowControl w:val="0"/>
              <w:adjustRightInd w:val="0"/>
              <w:snapToGrid w:val="0"/>
              <w:spacing w:line="360" w:lineRule="exact"/>
              <w:jc w:val="center"/>
              <w:rPr>
                <w:rFonts w:ascii="Times New Roman" w:hAnsi="Times New Roman" w:cs="Times New Roman"/>
                <w:b/>
                <w:bCs/>
                <w:iCs/>
                <w:color w:val="auto"/>
                <w:w w:val="99"/>
                <w:kern w:val="28"/>
                <w:sz w:val="21"/>
                <w:szCs w:val="21"/>
                <w:highlight w:val="none"/>
              </w:rPr>
            </w:pPr>
            <w:r>
              <w:rPr>
                <w:rFonts w:hint="eastAsia" w:ascii="Times New Roman" w:hAnsi="Times New Roman" w:cs="Times New Roman"/>
                <w:iCs/>
                <w:color w:val="auto"/>
                <w:w w:val="99"/>
                <w:kern w:val="28"/>
                <w:sz w:val="21"/>
                <w:szCs w:val="21"/>
                <w:highlight w:val="none"/>
              </w:rPr>
              <w:t>加强施工扬尘监管，积极推进绿色施工，建设工程施工现场应全封闭设置围挡墙，严禁敞开式作业，施工现场道路应进行地面硬化。渣土运输车辆应采取密闭措施，并逐步安装卫星定位系统。推行道路机械化清扫等低尘作业方式。大型煤堆、料堆要实现封闭储存或建设防风抑尘设施。</w:t>
            </w:r>
          </w:p>
        </w:tc>
        <w:tc>
          <w:tcPr>
            <w:tcW w:w="3706" w:type="dxa"/>
            <w:vAlign w:val="center"/>
          </w:tcPr>
          <w:p>
            <w:pPr>
              <w:widowControl w:val="0"/>
              <w:adjustRightInd w:val="0"/>
              <w:snapToGrid w:val="0"/>
              <w:spacing w:line="360" w:lineRule="exact"/>
              <w:jc w:val="center"/>
              <w:rPr>
                <w:rFonts w:ascii="Times New Roman" w:hAnsi="Times New Roman" w:cs="Times New Roman"/>
                <w:b/>
                <w:bCs/>
                <w:iCs/>
                <w:color w:val="auto"/>
                <w:w w:val="99"/>
                <w:kern w:val="28"/>
                <w:sz w:val="21"/>
                <w:szCs w:val="21"/>
                <w:highlight w:val="none"/>
              </w:rPr>
            </w:pPr>
            <w:r>
              <w:rPr>
                <w:rFonts w:hint="eastAsia" w:ascii="Times New Roman" w:hAnsi="Times New Roman" w:cs="Times New Roman"/>
                <w:iCs/>
                <w:color w:val="auto"/>
                <w:w w:val="99"/>
                <w:kern w:val="28"/>
                <w:sz w:val="21"/>
                <w:szCs w:val="21"/>
                <w:highlight w:val="none"/>
              </w:rPr>
              <w:t>本项目</w:t>
            </w:r>
            <w:r>
              <w:rPr>
                <w:rFonts w:ascii="Times New Roman" w:hAnsi="Times New Roman" w:cs="Times New Roman"/>
                <w:iCs/>
                <w:color w:val="auto"/>
                <w:w w:val="99"/>
                <w:kern w:val="28"/>
                <w:sz w:val="21"/>
                <w:szCs w:val="21"/>
                <w:highlight w:val="none"/>
              </w:rPr>
              <w:t>施工运输车辆采取密闭措施或加盖防尘布，严禁散落；施工场地干燥时适当洒水抑尘，物料堆放应定点，并采取防尘、抑尘措施，如设置挡风板、上覆遮盖材料等；拉运固井水泥车辆采用罐装。施工占地清理表土及钻井材料上覆盖防尘网等措施，可以防止刮风扬尘弥漫，降低钻井扬对区域空气环境的影响</w:t>
            </w:r>
            <w:r>
              <w:rPr>
                <w:rFonts w:hint="eastAsia" w:ascii="Times New Roman" w:hAnsi="Times New Roman" w:cs="Times New Roman"/>
                <w:iCs/>
                <w:color w:val="auto"/>
                <w:w w:val="99"/>
                <w:kern w:val="28"/>
                <w:sz w:val="21"/>
                <w:szCs w:val="21"/>
                <w:highlight w:val="none"/>
              </w:rPr>
              <w:t>。</w:t>
            </w:r>
          </w:p>
        </w:tc>
        <w:tc>
          <w:tcPr>
            <w:tcW w:w="904" w:type="dxa"/>
            <w:vAlign w:val="center"/>
          </w:tcPr>
          <w:p>
            <w:pPr>
              <w:widowControl w:val="0"/>
              <w:adjustRightInd w:val="0"/>
              <w:snapToGrid w:val="0"/>
              <w:spacing w:line="360" w:lineRule="exact"/>
              <w:jc w:val="center"/>
              <w:rPr>
                <w:rFonts w:ascii="Times New Roman" w:hAnsi="Times New Roman" w:cs="Times New Roman"/>
                <w:b/>
                <w:bCs/>
                <w:iCs/>
                <w:color w:val="auto"/>
                <w:w w:val="99"/>
                <w:kern w:val="28"/>
                <w:sz w:val="21"/>
                <w:szCs w:val="21"/>
                <w:highlight w:val="none"/>
              </w:rPr>
            </w:pPr>
            <w:r>
              <w:rPr>
                <w:rFonts w:hint="default" w:ascii="Times New Roman" w:hAnsi="Times New Roman" w:cs="Times New Roman"/>
                <w:iCs/>
                <w:color w:val="auto"/>
                <w:w w:val="99"/>
                <w:kern w:val="28"/>
                <w:sz w:val="21"/>
                <w:szCs w:val="21"/>
                <w:highlight w:val="none"/>
              </w:rPr>
              <w:t>符合</w:t>
            </w:r>
          </w:p>
        </w:tc>
      </w:tr>
    </w:tbl>
    <w:p>
      <w:pPr>
        <w:spacing w:line="500" w:lineRule="exact"/>
        <w:ind w:firstLine="476" w:firstLineChars="200"/>
        <w:jc w:val="both"/>
        <w:rPr>
          <w:rFonts w:ascii="Times New Roman" w:hAnsi="Times New Roman" w:cs="Times New Roman"/>
          <w:b/>
          <w:bCs w:val="0"/>
          <w:iCs/>
          <w:color w:val="auto"/>
          <w:w w:val="99"/>
          <w:kern w:val="2"/>
          <w:highlight w:val="none"/>
        </w:rPr>
      </w:pPr>
      <w:r>
        <w:rPr>
          <w:rFonts w:ascii="Times New Roman" w:hAnsi="Times New Roman" w:cs="Times New Roman"/>
          <w:b/>
          <w:bCs w:val="0"/>
          <w:iCs/>
          <w:color w:val="auto"/>
          <w:w w:val="99"/>
          <w:kern w:val="2"/>
          <w:highlight w:val="none"/>
        </w:rPr>
        <w:t>表1.4-8           与黑政规〔2018〕19号符合性一览表</w:t>
      </w:r>
      <w:bookmarkEnd w:id="70"/>
    </w:p>
    <w:tbl>
      <w:tblPr>
        <w:tblStyle w:val="82"/>
        <w:tblW w:w="89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3083"/>
        <w:gridCol w:w="4318"/>
        <w:gridCol w:w="9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序号</w:t>
            </w:r>
          </w:p>
        </w:tc>
        <w:tc>
          <w:tcPr>
            <w:tcW w:w="3083"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文件要求</w:t>
            </w:r>
          </w:p>
        </w:tc>
        <w:tc>
          <w:tcPr>
            <w:tcW w:w="4318"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符合性分析</w:t>
            </w:r>
          </w:p>
        </w:tc>
        <w:tc>
          <w:tcPr>
            <w:tcW w:w="911"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1</w:t>
            </w:r>
          </w:p>
        </w:tc>
        <w:tc>
          <w:tcPr>
            <w:tcW w:w="3083"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完成生态保护红线、环境质量底线、资源利用上线、环境准入清单编制工作，明确禁止和限制发展的行业、生产工艺和产业目录。强化节能环保标准约束，严格行业规范、准入管理，环境空气质量未达标地区应制订更严格的产业准入门槛</w:t>
            </w:r>
          </w:p>
        </w:tc>
        <w:tc>
          <w:tcPr>
            <w:tcW w:w="4318"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本工程位于黑龙江省</w:t>
            </w:r>
            <w:r>
              <w:rPr>
                <w:rFonts w:hint="eastAsia" w:ascii="Times New Roman" w:hAnsi="Times New Roman" w:cs="Times New Roman"/>
                <w:iCs/>
                <w:color w:val="auto"/>
                <w:w w:val="99"/>
                <w:kern w:val="28"/>
                <w:sz w:val="21"/>
                <w:szCs w:val="21"/>
                <w:highlight w:val="none"/>
                <w:lang w:eastAsia="zh-CN"/>
              </w:rPr>
              <w:t>肇源县</w:t>
            </w:r>
            <w:r>
              <w:rPr>
                <w:rFonts w:ascii="Times New Roman" w:hAnsi="Times New Roman" w:cs="Times New Roman"/>
                <w:iCs/>
                <w:color w:val="auto"/>
                <w:w w:val="99"/>
                <w:kern w:val="28"/>
                <w:sz w:val="21"/>
                <w:szCs w:val="21"/>
                <w:highlight w:val="none"/>
              </w:rPr>
              <w:t>境内，项目位置不属于大庆市生态红线范围，且区块内无自然保护区和风景名胜区分布，目前本工程选址区域暂无明确的环境准入清单，本工程属于油田开发项目，不属于高污染、高能耗的产业类型，为环境准入允许类别。项目区块的空气、土壤环境背景值均满足国家标准要求，区域环境承载能力良好</w:t>
            </w:r>
          </w:p>
        </w:tc>
        <w:tc>
          <w:tcPr>
            <w:tcW w:w="911"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2</w:t>
            </w:r>
          </w:p>
        </w:tc>
        <w:tc>
          <w:tcPr>
            <w:tcW w:w="3083"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将施工工地扬尘污染防治纳入建筑施工安全生产标准化文明施工管理范畴，建立扬尘控制责任制度，治理费用列入工程造价。工地要做到周边围挡、物料堆放覆盖、土方开挖湿法作业、路面硬化、出入车辆清洗、渣土车辆密闭运输</w:t>
            </w:r>
          </w:p>
        </w:tc>
        <w:tc>
          <w:tcPr>
            <w:tcW w:w="4318"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项目施工期</w:t>
            </w:r>
            <w:r>
              <w:rPr>
                <w:rFonts w:ascii="Times New Roman" w:hAnsi="Times New Roman" w:cs="Times New Roman"/>
                <w:bCs/>
                <w:iCs/>
                <w:color w:val="auto"/>
                <w:w w:val="99"/>
                <w:kern w:val="28"/>
                <w:sz w:val="21"/>
                <w:szCs w:val="21"/>
                <w:highlight w:val="none"/>
              </w:rPr>
              <w:t>施工运输车辆采取密闭措施或加盖防尘布</w:t>
            </w:r>
            <w:r>
              <w:rPr>
                <w:rFonts w:ascii="Times New Roman" w:hAnsi="Times New Roman" w:cs="Times New Roman"/>
                <w:iCs/>
                <w:color w:val="auto"/>
                <w:w w:val="99"/>
                <w:kern w:val="28"/>
                <w:sz w:val="21"/>
                <w:szCs w:val="21"/>
                <w:highlight w:val="none"/>
              </w:rPr>
              <w:t>，严禁散落；</w:t>
            </w:r>
            <w:r>
              <w:rPr>
                <w:rFonts w:ascii="Times New Roman" w:hAnsi="Times New Roman" w:cs="Times New Roman"/>
                <w:bCs/>
                <w:iCs/>
                <w:color w:val="auto"/>
                <w:w w:val="99"/>
                <w:kern w:val="28"/>
                <w:sz w:val="21"/>
                <w:szCs w:val="21"/>
                <w:highlight w:val="none"/>
              </w:rPr>
              <w:t>控制车速；</w:t>
            </w:r>
            <w:r>
              <w:rPr>
                <w:rFonts w:ascii="Times New Roman" w:hAnsi="Times New Roman" w:cs="Times New Roman"/>
                <w:iCs/>
                <w:color w:val="auto"/>
                <w:w w:val="99"/>
                <w:kern w:val="28"/>
                <w:sz w:val="21"/>
                <w:szCs w:val="21"/>
                <w:highlight w:val="none"/>
              </w:rPr>
              <w:t>运输车辆驶出工地前须除泥降尘，严禁泥土尘沙带出工地；施工场地干燥时适当洒水抑尘，物料堆放应定点，并采取防尘、抑尘措施，如设置挡风板、上覆遮盖材料等；拉运固井水泥车辆采用罐装。</w:t>
            </w:r>
            <w:r>
              <w:rPr>
                <w:rFonts w:ascii="Times New Roman" w:hAnsi="Times New Roman" w:cs="Times New Roman"/>
                <w:bCs/>
                <w:iCs/>
                <w:color w:val="auto"/>
                <w:w w:val="99"/>
                <w:kern w:val="28"/>
                <w:sz w:val="21"/>
                <w:szCs w:val="21"/>
                <w:highlight w:val="none"/>
              </w:rPr>
              <w:t>施工场地设置围挡、井场设置</w:t>
            </w:r>
            <w:r>
              <w:rPr>
                <w:rFonts w:hint="eastAsia" w:ascii="Times New Roman" w:hAnsi="Times New Roman" w:cs="Times New Roman"/>
                <w:bCs/>
                <w:iCs/>
                <w:color w:val="auto"/>
                <w:w w:val="99"/>
                <w:kern w:val="28"/>
                <w:sz w:val="21"/>
                <w:szCs w:val="21"/>
                <w:highlight w:val="none"/>
              </w:rPr>
              <w:t>材料房</w:t>
            </w:r>
            <w:r>
              <w:rPr>
                <w:rFonts w:ascii="Times New Roman" w:hAnsi="Times New Roman" w:cs="Times New Roman"/>
                <w:bCs/>
                <w:iCs/>
                <w:color w:val="auto"/>
                <w:w w:val="99"/>
                <w:kern w:val="28"/>
                <w:sz w:val="21"/>
                <w:szCs w:val="21"/>
                <w:highlight w:val="none"/>
              </w:rPr>
              <w:t>、表土上覆盖防尘网等措施，可以防止刮风扬尘弥漫，降低钻井扬对区域空气环境的影响</w:t>
            </w:r>
          </w:p>
        </w:tc>
        <w:tc>
          <w:tcPr>
            <w:tcW w:w="911"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3</w:t>
            </w:r>
          </w:p>
        </w:tc>
        <w:tc>
          <w:tcPr>
            <w:tcW w:w="3083"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开展石化、化工、包装印刷、工业涂装等行业VOCs污染调查，按行业明确整治方案和要求。加强源头控制，提高VOCs含量低（无）的绿色原辅材料替代比例，推广先进工艺、设备，加强VOCs污染治理，提高重点行业有机废气收集率；到2020年VOCs排放总量累计削减960吨以上。加大餐饮油烟治理力度。继续深化油品储运销体系油气回收治理，对加油站、储油库、油罐车的油气回收设施加强运行监管</w:t>
            </w:r>
          </w:p>
        </w:tc>
        <w:tc>
          <w:tcPr>
            <w:tcW w:w="4318"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lang w:val="en"/>
              </w:rPr>
              <w:t>油田产能建设</w:t>
            </w:r>
            <w:r>
              <w:rPr>
                <w:rFonts w:ascii="Times New Roman" w:hAnsi="Times New Roman" w:cs="Times New Roman"/>
                <w:bCs/>
                <w:iCs/>
                <w:color w:val="auto"/>
                <w:w w:val="99"/>
                <w:kern w:val="28"/>
                <w:sz w:val="21"/>
                <w:szCs w:val="21"/>
                <w:highlight w:val="none"/>
              </w:rPr>
              <w:t>烃类气体挥发主要表现在油气集输过程中，主要来自采油井场、集油间、转油站、联合站、集输系统等。</w:t>
            </w:r>
            <w:r>
              <w:rPr>
                <w:rFonts w:ascii="Times New Roman" w:hAnsi="Times New Roman" w:cs="Times New Roman"/>
                <w:iCs/>
                <w:color w:val="auto"/>
                <w:w w:val="99"/>
                <w:kern w:val="28"/>
                <w:sz w:val="21"/>
                <w:szCs w:val="21"/>
                <w:highlight w:val="none"/>
              </w:rPr>
              <w:t>本项目为产能建设钻井工程，不涉及油气集输，在钻井阶段会产生</w:t>
            </w:r>
            <w:r>
              <w:rPr>
                <w:rFonts w:ascii="Times New Roman" w:hAnsi="Times New Roman" w:cs="Times New Roman"/>
                <w:bCs/>
                <w:iCs/>
                <w:color w:val="auto"/>
                <w:w w:val="99"/>
                <w:kern w:val="28"/>
                <w:sz w:val="21"/>
                <w:szCs w:val="21"/>
                <w:highlight w:val="none"/>
              </w:rPr>
              <w:t>极少量的非甲烷总烃</w:t>
            </w:r>
            <w:r>
              <w:rPr>
                <w:rFonts w:ascii="Times New Roman" w:hAnsi="Times New Roman" w:cs="Times New Roman"/>
                <w:iCs/>
                <w:color w:val="auto"/>
                <w:w w:val="99"/>
                <w:kern w:val="28"/>
                <w:sz w:val="21"/>
                <w:szCs w:val="21"/>
                <w:highlight w:val="none"/>
              </w:rPr>
              <w:t>，且钻井及辅助设备、容器在</w:t>
            </w:r>
            <w:r>
              <w:rPr>
                <w:rFonts w:ascii="Times New Roman" w:hAnsi="Times New Roman" w:cs="Times New Roman"/>
                <w:iCs/>
                <w:color w:val="auto"/>
                <w:w w:val="99"/>
                <w:kern w:val="28"/>
                <w:sz w:val="21"/>
                <w:szCs w:val="21"/>
                <w:highlight w:val="none"/>
                <w:lang w:val="en"/>
              </w:rPr>
              <w:t>装卸、转移阶段均采用密闭形式</w:t>
            </w:r>
            <w:r>
              <w:rPr>
                <w:rFonts w:ascii="Times New Roman" w:hAnsi="Times New Roman" w:cs="Times New Roman"/>
                <w:iCs/>
                <w:color w:val="auto"/>
                <w:w w:val="99"/>
                <w:kern w:val="28"/>
                <w:sz w:val="21"/>
                <w:szCs w:val="21"/>
                <w:highlight w:val="none"/>
              </w:rPr>
              <w:t>，可有效控制挥发性有机物无组织排放</w:t>
            </w:r>
          </w:p>
        </w:tc>
        <w:tc>
          <w:tcPr>
            <w:tcW w:w="911"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w:t>
            </w:r>
          </w:p>
        </w:tc>
      </w:tr>
    </w:tbl>
    <w:p>
      <w:pPr>
        <w:pStyle w:val="8"/>
        <w:keepNext w:val="0"/>
        <w:keepLines w:val="0"/>
        <w:widowControl w:val="0"/>
        <w:jc w:val="both"/>
        <w:rPr>
          <w:rFonts w:hint="default" w:ascii="Times New Roman" w:hAnsi="Times New Roman"/>
          <w:b/>
          <w:color w:val="auto"/>
          <w:w w:val="99"/>
          <w:kern w:val="2"/>
          <w:sz w:val="24"/>
          <w:szCs w:val="24"/>
          <w:highlight w:val="none"/>
          <w:lang w:val="en-US" w:eastAsia="zh-CN"/>
        </w:rPr>
      </w:pPr>
      <w:bookmarkStart w:id="71" w:name="_Toc74812269"/>
      <w:bookmarkStart w:id="72" w:name="_Toc77667242"/>
      <w:bookmarkStart w:id="73" w:name="_Toc71371898"/>
      <w:bookmarkStart w:id="74" w:name="_Toc80105098"/>
      <w:r>
        <w:rPr>
          <w:rFonts w:hint="default" w:ascii="Times New Roman" w:hAnsi="Times New Roman"/>
          <w:b/>
          <w:color w:val="auto"/>
          <w:w w:val="99"/>
          <w:kern w:val="2"/>
          <w:sz w:val="24"/>
          <w:szCs w:val="24"/>
          <w:highlight w:val="none"/>
          <w:lang w:val="en-US" w:eastAsia="zh-CN"/>
        </w:rPr>
        <w:t>1.</w:t>
      </w:r>
      <w:r>
        <w:rPr>
          <w:rFonts w:hint="eastAsia" w:ascii="Times New Roman" w:hAnsi="Times New Roman"/>
          <w:b/>
          <w:color w:val="auto"/>
          <w:w w:val="99"/>
          <w:kern w:val="2"/>
          <w:sz w:val="24"/>
          <w:szCs w:val="24"/>
          <w:highlight w:val="none"/>
          <w:lang w:val="en-US" w:eastAsia="zh-CN"/>
        </w:rPr>
        <w:t>4</w:t>
      </w:r>
      <w:r>
        <w:rPr>
          <w:rFonts w:hint="default" w:ascii="Times New Roman" w:hAnsi="Times New Roman"/>
          <w:b/>
          <w:color w:val="auto"/>
          <w:w w:val="99"/>
          <w:kern w:val="2"/>
          <w:sz w:val="24"/>
          <w:szCs w:val="24"/>
          <w:highlight w:val="none"/>
          <w:lang w:val="en-US" w:eastAsia="zh-CN"/>
        </w:rPr>
        <w:t>.</w:t>
      </w:r>
      <w:r>
        <w:rPr>
          <w:rFonts w:hint="eastAsia" w:ascii="Times New Roman" w:hAnsi="Times New Roman"/>
          <w:b/>
          <w:color w:val="auto"/>
          <w:w w:val="99"/>
          <w:kern w:val="2"/>
          <w:sz w:val="24"/>
          <w:szCs w:val="24"/>
          <w:highlight w:val="none"/>
          <w:lang w:val="en-US" w:eastAsia="zh-CN"/>
        </w:rPr>
        <w:t>3</w:t>
      </w:r>
      <w:r>
        <w:rPr>
          <w:rFonts w:hint="default" w:ascii="Times New Roman" w:hAnsi="Times New Roman"/>
          <w:b/>
          <w:color w:val="auto"/>
          <w:w w:val="99"/>
          <w:kern w:val="2"/>
          <w:sz w:val="24"/>
          <w:szCs w:val="24"/>
          <w:highlight w:val="none"/>
          <w:lang w:val="en-US" w:eastAsia="zh-CN"/>
        </w:rPr>
        <w:t>.</w:t>
      </w:r>
      <w:r>
        <w:rPr>
          <w:rFonts w:hint="eastAsia" w:ascii="Times New Roman" w:hAnsi="Times New Roman"/>
          <w:b/>
          <w:color w:val="auto"/>
          <w:w w:val="99"/>
          <w:kern w:val="2"/>
          <w:sz w:val="24"/>
          <w:szCs w:val="24"/>
          <w:highlight w:val="none"/>
          <w:lang w:val="en-US" w:eastAsia="zh-CN"/>
        </w:rPr>
        <w:t>9</w:t>
      </w:r>
      <w:r>
        <w:rPr>
          <w:rFonts w:hint="default" w:ascii="Times New Roman" w:hAnsi="Times New Roman"/>
          <w:b/>
          <w:color w:val="auto"/>
          <w:w w:val="99"/>
          <w:kern w:val="2"/>
          <w:sz w:val="24"/>
          <w:szCs w:val="24"/>
          <w:highlight w:val="none"/>
          <w:lang w:val="en-US" w:eastAsia="zh-CN"/>
        </w:rPr>
        <w:t>与</w:t>
      </w:r>
      <w:r>
        <w:rPr>
          <w:rFonts w:hint="eastAsia" w:ascii="Times New Roman" w:hAnsi="Times New Roman"/>
          <w:b/>
          <w:color w:val="auto"/>
          <w:w w:val="99"/>
          <w:kern w:val="2"/>
          <w:sz w:val="24"/>
          <w:szCs w:val="24"/>
          <w:highlight w:val="none"/>
          <w:lang w:val="en-US" w:eastAsia="zh-CN"/>
        </w:rPr>
        <w:t>《</w:t>
      </w:r>
      <w:r>
        <w:rPr>
          <w:rFonts w:hint="default" w:ascii="Times New Roman" w:hAnsi="Times New Roman"/>
          <w:b/>
          <w:color w:val="auto"/>
          <w:w w:val="99"/>
          <w:kern w:val="2"/>
          <w:sz w:val="24"/>
          <w:szCs w:val="24"/>
          <w:highlight w:val="none"/>
          <w:lang w:val="en-US" w:eastAsia="zh-CN"/>
        </w:rPr>
        <w:t>地下水管理条例》（中华人民共和国国务院令第748号，2021.12.1）符合性分析</w:t>
      </w:r>
    </w:p>
    <w:p>
      <w:pPr>
        <w:spacing w:line="500" w:lineRule="exact"/>
        <w:ind w:firstLine="476" w:firstLineChars="200"/>
        <w:jc w:val="both"/>
        <w:rPr>
          <w:rFonts w:hint="default" w:ascii="Times New Roman" w:hAnsi="Times New Roman" w:cs="Times New Roman"/>
          <w:b/>
          <w:bCs w:val="0"/>
          <w:iCs/>
          <w:color w:val="auto"/>
          <w:w w:val="99"/>
          <w:kern w:val="2"/>
          <w:highlight w:val="none"/>
        </w:rPr>
      </w:pPr>
      <w:r>
        <w:rPr>
          <w:rFonts w:hint="default" w:ascii="Times New Roman" w:hAnsi="Times New Roman" w:cs="Times New Roman"/>
          <w:b/>
          <w:bCs w:val="0"/>
          <w:iCs/>
          <w:color w:val="auto"/>
          <w:w w:val="99"/>
          <w:kern w:val="2"/>
          <w:highlight w:val="none"/>
        </w:rPr>
        <w:t>表1.</w:t>
      </w:r>
      <w:r>
        <w:rPr>
          <w:rFonts w:hint="eastAsia" w:ascii="Times New Roman" w:hAnsi="Times New Roman" w:cs="Times New Roman"/>
          <w:b/>
          <w:bCs w:val="0"/>
          <w:iCs/>
          <w:color w:val="auto"/>
          <w:w w:val="99"/>
          <w:kern w:val="2"/>
          <w:highlight w:val="none"/>
          <w:lang w:val="en-US" w:eastAsia="zh-CN"/>
        </w:rPr>
        <w:t>4</w:t>
      </w:r>
      <w:r>
        <w:rPr>
          <w:rFonts w:hint="default" w:ascii="Times New Roman" w:hAnsi="Times New Roman" w:cs="Times New Roman"/>
          <w:b/>
          <w:bCs w:val="0"/>
          <w:iCs/>
          <w:color w:val="auto"/>
          <w:w w:val="99"/>
          <w:kern w:val="2"/>
          <w:highlight w:val="none"/>
        </w:rPr>
        <w:t>-</w:t>
      </w:r>
      <w:r>
        <w:rPr>
          <w:rFonts w:hint="eastAsia" w:ascii="Times New Roman" w:hAnsi="Times New Roman" w:cs="Times New Roman"/>
          <w:b/>
          <w:bCs w:val="0"/>
          <w:iCs/>
          <w:color w:val="auto"/>
          <w:w w:val="99"/>
          <w:kern w:val="2"/>
          <w:highlight w:val="none"/>
          <w:lang w:val="en-US" w:eastAsia="zh-CN"/>
        </w:rPr>
        <w:t>9</w:t>
      </w:r>
      <w:r>
        <w:rPr>
          <w:rFonts w:hint="default" w:ascii="Times New Roman" w:hAnsi="Times New Roman" w:cs="Times New Roman"/>
          <w:b/>
          <w:bCs w:val="0"/>
          <w:iCs/>
          <w:color w:val="auto"/>
          <w:w w:val="99"/>
          <w:kern w:val="2"/>
          <w:highlight w:val="none"/>
          <w:lang w:val="en-US"/>
        </w:rPr>
        <w:t xml:space="preserve">  </w:t>
      </w:r>
      <w:r>
        <w:rPr>
          <w:rFonts w:hint="default" w:ascii="Times New Roman" w:hAnsi="Times New Roman" w:cs="Times New Roman"/>
          <w:b/>
          <w:bCs w:val="0"/>
          <w:iCs/>
          <w:color w:val="auto"/>
          <w:w w:val="99"/>
          <w:kern w:val="2"/>
          <w:highlight w:val="none"/>
        </w:rPr>
        <w:t>本项目与</w:t>
      </w:r>
      <w:r>
        <w:rPr>
          <w:rFonts w:hint="eastAsia" w:ascii="Times New Roman" w:hAnsi="Times New Roman" w:cs="Times New Roman"/>
          <w:b/>
          <w:bCs w:val="0"/>
          <w:iCs/>
          <w:color w:val="auto"/>
          <w:w w:val="99"/>
          <w:kern w:val="2"/>
          <w:highlight w:val="none"/>
          <w:lang w:val="en-US" w:eastAsia="zh-CN"/>
        </w:rPr>
        <w:t>《</w:t>
      </w:r>
      <w:r>
        <w:rPr>
          <w:rFonts w:hint="default" w:ascii="Times New Roman" w:hAnsi="Times New Roman" w:cs="Times New Roman"/>
          <w:b/>
          <w:bCs w:val="0"/>
          <w:iCs/>
          <w:color w:val="auto"/>
          <w:w w:val="99"/>
          <w:kern w:val="2"/>
          <w:highlight w:val="none"/>
          <w:lang w:val="en-US" w:eastAsia="zh-CN"/>
        </w:rPr>
        <w:t>地下水管理条例》</w:t>
      </w:r>
      <w:r>
        <w:rPr>
          <w:rFonts w:hint="default" w:ascii="Times New Roman" w:hAnsi="Times New Roman" w:cs="Times New Roman"/>
          <w:b/>
          <w:bCs w:val="0"/>
          <w:iCs/>
          <w:color w:val="auto"/>
          <w:w w:val="99"/>
          <w:kern w:val="2"/>
          <w:highlight w:val="none"/>
        </w:rPr>
        <w:t>相关要求符合性一览表</w:t>
      </w:r>
    </w:p>
    <w:tbl>
      <w:tblPr>
        <w:tblStyle w:val="82"/>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3673"/>
        <w:gridCol w:w="3964"/>
        <w:gridCol w:w="94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iCs/>
                <w:caps w:val="0"/>
                <w:smallCaps w:val="0"/>
                <w:color w:val="auto"/>
                <w:spacing w:val="0"/>
                <w:w w:val="100"/>
                <w:kern w:val="28"/>
                <w:position w:val="0"/>
                <w:sz w:val="21"/>
                <w:szCs w:val="21"/>
                <w:highlight w:val="none"/>
              </w:rPr>
            </w:pPr>
            <w:r>
              <w:rPr>
                <w:rFonts w:hint="default" w:ascii="Times New Roman" w:hAnsi="Times New Roman" w:cs="Times New Roman" w:eastAsiaTheme="minorEastAsia"/>
                <w:iCs/>
                <w:caps w:val="0"/>
                <w:smallCaps w:val="0"/>
                <w:color w:val="auto"/>
                <w:spacing w:val="0"/>
                <w:w w:val="100"/>
                <w:kern w:val="28"/>
                <w:position w:val="0"/>
                <w:sz w:val="21"/>
                <w:szCs w:val="21"/>
                <w:highlight w:val="none"/>
              </w:rPr>
              <w:t>序号</w:t>
            </w:r>
          </w:p>
        </w:tc>
        <w:tc>
          <w:tcPr>
            <w:tcW w:w="19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iCs/>
                <w:caps w:val="0"/>
                <w:smallCaps w:val="0"/>
                <w:color w:val="auto"/>
                <w:spacing w:val="0"/>
                <w:w w:val="100"/>
                <w:kern w:val="28"/>
                <w:position w:val="0"/>
                <w:sz w:val="21"/>
                <w:szCs w:val="21"/>
                <w:highlight w:val="none"/>
              </w:rPr>
            </w:pPr>
            <w:r>
              <w:rPr>
                <w:rFonts w:hint="default" w:ascii="Times New Roman" w:hAnsi="Times New Roman" w:cs="Times New Roman" w:eastAsiaTheme="minorEastAsia"/>
                <w:iCs/>
                <w:caps w:val="0"/>
                <w:smallCaps w:val="0"/>
                <w:color w:val="auto"/>
                <w:spacing w:val="0"/>
                <w:w w:val="100"/>
                <w:kern w:val="28"/>
                <w:position w:val="0"/>
                <w:sz w:val="21"/>
                <w:szCs w:val="21"/>
                <w:highlight w:val="none"/>
              </w:rPr>
              <w:t>文件要求</w:t>
            </w:r>
          </w:p>
        </w:tc>
        <w:tc>
          <w:tcPr>
            <w:tcW w:w="21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iCs/>
                <w:caps w:val="0"/>
                <w:smallCaps w:val="0"/>
                <w:color w:val="auto"/>
                <w:spacing w:val="0"/>
                <w:w w:val="100"/>
                <w:kern w:val="28"/>
                <w:position w:val="0"/>
                <w:sz w:val="21"/>
                <w:szCs w:val="21"/>
                <w:highlight w:val="none"/>
              </w:rPr>
            </w:pPr>
            <w:r>
              <w:rPr>
                <w:rFonts w:hint="default" w:ascii="Times New Roman" w:hAnsi="Times New Roman" w:cs="Times New Roman" w:eastAsiaTheme="minorEastAsia"/>
                <w:iCs/>
                <w:caps w:val="0"/>
                <w:smallCaps w:val="0"/>
                <w:color w:val="auto"/>
                <w:spacing w:val="0"/>
                <w:w w:val="100"/>
                <w:kern w:val="28"/>
                <w:position w:val="0"/>
                <w:sz w:val="21"/>
                <w:szCs w:val="21"/>
                <w:highlight w:val="none"/>
              </w:rPr>
              <w:t>符合性分析</w:t>
            </w:r>
          </w:p>
        </w:tc>
        <w:tc>
          <w:tcPr>
            <w:tcW w:w="5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iCs/>
                <w:caps w:val="0"/>
                <w:smallCaps w:val="0"/>
                <w:color w:val="auto"/>
                <w:spacing w:val="0"/>
                <w:w w:val="100"/>
                <w:kern w:val="28"/>
                <w:position w:val="0"/>
                <w:sz w:val="21"/>
                <w:szCs w:val="21"/>
                <w:highlight w:val="none"/>
              </w:rPr>
            </w:pPr>
            <w:r>
              <w:rPr>
                <w:rFonts w:hint="default" w:ascii="Times New Roman" w:hAnsi="Times New Roman" w:cs="Times New Roman" w:eastAsiaTheme="minorEastAsia"/>
                <w:iCs/>
                <w:caps w:val="0"/>
                <w:smallCaps w:val="0"/>
                <w:color w:val="auto"/>
                <w:spacing w:val="0"/>
                <w:w w:val="100"/>
                <w:kern w:val="28"/>
                <w:position w:val="0"/>
                <w:sz w:val="21"/>
                <w:szCs w:val="21"/>
                <w:highlight w:val="none"/>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iCs/>
                <w:caps w:val="0"/>
                <w:smallCaps w:val="0"/>
                <w:color w:val="auto"/>
                <w:spacing w:val="0"/>
                <w:w w:val="100"/>
                <w:kern w:val="28"/>
                <w:position w:val="0"/>
                <w:sz w:val="21"/>
                <w:szCs w:val="21"/>
                <w:highlight w:val="none"/>
              </w:rPr>
            </w:pPr>
            <w:r>
              <w:rPr>
                <w:rFonts w:hint="default" w:ascii="Times New Roman" w:hAnsi="Times New Roman" w:cs="Times New Roman" w:eastAsiaTheme="minorEastAsia"/>
                <w:iCs/>
                <w:caps w:val="0"/>
                <w:smallCaps w:val="0"/>
                <w:color w:val="auto"/>
                <w:spacing w:val="0"/>
                <w:w w:val="100"/>
                <w:kern w:val="28"/>
                <w:position w:val="0"/>
                <w:sz w:val="21"/>
                <w:szCs w:val="21"/>
                <w:highlight w:val="none"/>
              </w:rPr>
              <w:t>1</w:t>
            </w:r>
          </w:p>
        </w:tc>
        <w:tc>
          <w:tcPr>
            <w:tcW w:w="1978" w:type="pct"/>
            <w:tcBorders>
              <w:tl2br w:val="nil"/>
              <w:tr2bl w:val="nil"/>
            </w:tcBorders>
            <w:vAlign w:val="center"/>
          </w:tcPr>
          <w:p>
            <w:pPr>
              <w:widowControl w:val="0"/>
              <w:adjustRightInd w:val="0"/>
              <w:snapToGrid w:val="0"/>
              <w:spacing w:line="360" w:lineRule="exact"/>
              <w:jc w:val="center"/>
              <w:rPr>
                <w:rFonts w:hint="default" w:ascii="Times New Roman" w:hAnsi="Times New Roman" w:cs="Times New Roman"/>
                <w:iCs/>
                <w:color w:val="auto"/>
                <w:w w:val="99"/>
                <w:kern w:val="28"/>
                <w:sz w:val="21"/>
                <w:szCs w:val="21"/>
                <w:highlight w:val="none"/>
                <w:lang w:val="en"/>
              </w:rPr>
            </w:pPr>
            <w:r>
              <w:rPr>
                <w:rFonts w:hint="default" w:ascii="Times New Roman" w:hAnsi="Times New Roman" w:cs="Times New Roman"/>
                <w:iCs/>
                <w:color w:val="auto"/>
                <w:w w:val="99"/>
                <w:kern w:val="28"/>
                <w:sz w:val="21"/>
                <w:szCs w:val="21"/>
                <w:highlight w:val="none"/>
                <w:lang w:val="en"/>
              </w:rPr>
              <w:t>兴建地下工程设施或者进行地下勘探、采矿等活动，依法编制的环境影响评价文件中，应当包括地下水污染防治的内容，并采取防护性措施；</w:t>
            </w:r>
          </w:p>
        </w:tc>
        <w:tc>
          <w:tcPr>
            <w:tcW w:w="21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iCs/>
                <w:caps w:val="0"/>
                <w:smallCaps w:val="0"/>
                <w:color w:val="auto"/>
                <w:spacing w:val="0"/>
                <w:w w:val="100"/>
                <w:kern w:val="28"/>
                <w:position w:val="0"/>
                <w:sz w:val="21"/>
                <w:szCs w:val="21"/>
                <w:highlight w:val="none"/>
              </w:rPr>
            </w:pPr>
            <w:r>
              <w:rPr>
                <w:rFonts w:hint="default" w:ascii="Times New Roman" w:hAnsi="Times New Roman" w:cs="Times New Roman"/>
                <w:iCs/>
                <w:color w:val="auto"/>
                <w:w w:val="99"/>
                <w:kern w:val="28"/>
                <w:sz w:val="21"/>
                <w:szCs w:val="21"/>
                <w:highlight w:val="none"/>
                <w:lang w:val="en"/>
              </w:rPr>
              <w:t>油田钻井对地下水造成污染的可能性较小。但是井场设施泄漏，如处理不及时则可能造成污染。因此根据《环境影响评价技术导则 地下水环境》（HJ 610-2016）表7中的地下水污染防渗分区参照表，钻井工程的井场地下水环境分区防渗提出如下措施：柴油罐区、钻井液罐区、发电机房、钢制泥浆槽、KOH材料房、钻井泵、钻台处属于重点防渗区，采用铺设2mm厚HDPE防渗土工膜进行防渗，渗透系数K≤1×10</w:t>
            </w:r>
            <w:r>
              <w:rPr>
                <w:rFonts w:hint="default" w:ascii="Times New Roman" w:hAnsi="Times New Roman" w:cs="Times New Roman" w:eastAsiaTheme="minorEastAsia"/>
                <w:bCs/>
                <w:caps w:val="0"/>
                <w:smallCaps w:val="0"/>
                <w:color w:val="auto"/>
                <w:spacing w:val="0"/>
                <w:w w:val="100"/>
                <w:kern w:val="2"/>
                <w:position w:val="0"/>
                <w:sz w:val="21"/>
                <w:szCs w:val="21"/>
                <w:highlight w:val="none"/>
                <w:vertAlign w:val="superscript"/>
              </w:rPr>
              <w:t>-</w:t>
            </w:r>
            <w:r>
              <w:rPr>
                <w:rFonts w:hint="default" w:ascii="Times New Roman" w:hAnsi="Times New Roman" w:cs="Times New Roman" w:eastAsiaTheme="minorEastAsia"/>
                <w:bCs/>
                <w:caps w:val="0"/>
                <w:smallCaps w:val="0"/>
                <w:color w:val="auto"/>
                <w:spacing w:val="0"/>
                <w:w w:val="100"/>
                <w:kern w:val="2"/>
                <w:position w:val="0"/>
                <w:sz w:val="21"/>
                <w:szCs w:val="21"/>
                <w:highlight w:val="none"/>
                <w:vertAlign w:val="superscript"/>
                <w:lang w:val="en-US" w:eastAsia="zh-CN"/>
              </w:rPr>
              <w:t>10</w:t>
            </w:r>
            <w:r>
              <w:rPr>
                <w:rFonts w:hint="default" w:ascii="Times New Roman" w:hAnsi="Times New Roman" w:cs="Times New Roman"/>
                <w:iCs/>
                <w:color w:val="auto"/>
                <w:w w:val="99"/>
                <w:kern w:val="28"/>
                <w:sz w:val="21"/>
                <w:szCs w:val="21"/>
                <w:highlight w:val="none"/>
                <w:lang w:val="en"/>
              </w:rPr>
              <w:t>cm/s，能够满足导则中关于重点防渗区等效黏土防渗层Mb≥6.0m，K≤1×10</w:t>
            </w:r>
            <w:r>
              <w:rPr>
                <w:rFonts w:hint="default" w:ascii="Times New Roman" w:hAnsi="Times New Roman" w:cs="Times New Roman" w:eastAsiaTheme="minorEastAsia"/>
                <w:bCs/>
                <w:caps w:val="0"/>
                <w:smallCaps w:val="0"/>
                <w:color w:val="auto"/>
                <w:spacing w:val="0"/>
                <w:w w:val="100"/>
                <w:kern w:val="2"/>
                <w:position w:val="0"/>
                <w:sz w:val="21"/>
                <w:szCs w:val="21"/>
                <w:highlight w:val="none"/>
                <w:vertAlign w:val="superscript"/>
              </w:rPr>
              <w:t>-7</w:t>
            </w:r>
            <w:r>
              <w:rPr>
                <w:rFonts w:hint="default" w:ascii="Times New Roman" w:hAnsi="Times New Roman" w:cs="Times New Roman"/>
                <w:iCs/>
                <w:color w:val="auto"/>
                <w:w w:val="99"/>
                <w:kern w:val="28"/>
                <w:sz w:val="21"/>
                <w:szCs w:val="21"/>
                <w:highlight w:val="none"/>
                <w:lang w:val="en"/>
              </w:rPr>
              <w:t>cm/s防渗技术要求；钻井液材料房、其他材料房做一般防渗处理，采用1.5m厚黏土防渗层，渗透系数K≤1.0×10</w:t>
            </w:r>
            <w:r>
              <w:rPr>
                <w:rFonts w:hint="default" w:ascii="Times New Roman" w:hAnsi="Times New Roman" w:cs="Times New Roman" w:eastAsiaTheme="minorEastAsia"/>
                <w:bCs/>
                <w:caps w:val="0"/>
                <w:smallCaps w:val="0"/>
                <w:color w:val="auto"/>
                <w:spacing w:val="0"/>
                <w:w w:val="100"/>
                <w:kern w:val="2"/>
                <w:position w:val="0"/>
                <w:sz w:val="21"/>
                <w:szCs w:val="21"/>
                <w:highlight w:val="none"/>
                <w:vertAlign w:val="superscript"/>
              </w:rPr>
              <w:t>-7</w:t>
            </w:r>
            <w:r>
              <w:rPr>
                <w:rFonts w:hint="default" w:ascii="Times New Roman" w:hAnsi="Times New Roman" w:cs="Times New Roman"/>
                <w:iCs/>
                <w:color w:val="auto"/>
                <w:w w:val="99"/>
                <w:kern w:val="28"/>
                <w:sz w:val="21"/>
                <w:szCs w:val="21"/>
                <w:highlight w:val="none"/>
                <w:lang w:val="en"/>
              </w:rPr>
              <w:t>cm/s，满足导则中关于一般防渗区等效黏土防渗层Mb≥1.5m，K≤1×10</w:t>
            </w:r>
            <w:r>
              <w:rPr>
                <w:rFonts w:hint="default" w:ascii="Times New Roman" w:hAnsi="Times New Roman" w:cs="Times New Roman" w:eastAsiaTheme="minorEastAsia"/>
                <w:bCs/>
                <w:caps w:val="0"/>
                <w:smallCaps w:val="0"/>
                <w:color w:val="auto"/>
                <w:spacing w:val="0"/>
                <w:w w:val="100"/>
                <w:kern w:val="2"/>
                <w:position w:val="0"/>
                <w:sz w:val="21"/>
                <w:szCs w:val="21"/>
                <w:highlight w:val="none"/>
                <w:vertAlign w:val="superscript"/>
              </w:rPr>
              <w:t>-7</w:t>
            </w:r>
            <w:r>
              <w:rPr>
                <w:rFonts w:hint="default" w:ascii="Times New Roman" w:hAnsi="Times New Roman" w:cs="Times New Roman"/>
                <w:iCs/>
                <w:color w:val="auto"/>
                <w:w w:val="99"/>
                <w:kern w:val="28"/>
                <w:sz w:val="21"/>
                <w:szCs w:val="21"/>
                <w:highlight w:val="none"/>
                <w:lang w:val="en"/>
              </w:rPr>
              <w:t>cm/s防渗技术要求；井场其他区域属于简单防渗区，采用地面碾压平整进行防渗，满足导则中关于简单防渗区一般地面硬化防渗技术要求。定期对油井的套管情况进行检测，发现异常情况及时处理，防止污染地下水。</w:t>
            </w:r>
          </w:p>
        </w:tc>
        <w:tc>
          <w:tcPr>
            <w:tcW w:w="5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iCs/>
                <w:caps w:val="0"/>
                <w:smallCaps w:val="0"/>
                <w:color w:val="auto"/>
                <w:spacing w:val="0"/>
                <w:w w:val="100"/>
                <w:kern w:val="28"/>
                <w:position w:val="0"/>
                <w:sz w:val="21"/>
                <w:szCs w:val="21"/>
                <w:highlight w:val="none"/>
              </w:rPr>
            </w:pPr>
            <w:r>
              <w:rPr>
                <w:rFonts w:hint="default" w:ascii="Times New Roman" w:hAnsi="Times New Roman" w:cs="Times New Roman"/>
                <w:iCs/>
                <w:color w:val="auto"/>
                <w:w w:val="99"/>
                <w:kern w:val="28"/>
                <w:sz w:val="21"/>
                <w:szCs w:val="21"/>
                <w:highlight w:val="none"/>
                <w:lang w:val="e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iCs/>
                <w:caps w:val="0"/>
                <w:smallCaps w:val="0"/>
                <w:color w:val="auto"/>
                <w:spacing w:val="0"/>
                <w:w w:val="100"/>
                <w:kern w:val="28"/>
                <w:position w:val="0"/>
                <w:sz w:val="21"/>
                <w:szCs w:val="21"/>
                <w:highlight w:val="none"/>
              </w:rPr>
            </w:pPr>
            <w:r>
              <w:rPr>
                <w:rFonts w:hint="default" w:ascii="Times New Roman" w:hAnsi="Times New Roman" w:cs="Times New Roman" w:eastAsiaTheme="minorEastAsia"/>
                <w:iCs/>
                <w:caps w:val="0"/>
                <w:smallCaps w:val="0"/>
                <w:color w:val="auto"/>
                <w:spacing w:val="0"/>
                <w:w w:val="100"/>
                <w:kern w:val="28"/>
                <w:position w:val="0"/>
                <w:sz w:val="21"/>
                <w:szCs w:val="21"/>
                <w:highlight w:val="none"/>
              </w:rPr>
              <w:t>2</w:t>
            </w:r>
          </w:p>
        </w:tc>
        <w:tc>
          <w:tcPr>
            <w:tcW w:w="1978" w:type="pct"/>
            <w:tcBorders>
              <w:tl2br w:val="nil"/>
              <w:tr2bl w:val="nil"/>
            </w:tcBorders>
            <w:vAlign w:val="center"/>
          </w:tcPr>
          <w:p>
            <w:pPr>
              <w:widowControl w:val="0"/>
              <w:adjustRightInd w:val="0"/>
              <w:snapToGrid w:val="0"/>
              <w:spacing w:line="360" w:lineRule="exact"/>
              <w:jc w:val="center"/>
              <w:rPr>
                <w:rFonts w:hint="default" w:ascii="Times New Roman" w:hAnsi="Times New Roman" w:cs="Times New Roman"/>
                <w:iCs/>
                <w:color w:val="auto"/>
                <w:w w:val="99"/>
                <w:kern w:val="28"/>
                <w:sz w:val="21"/>
                <w:szCs w:val="21"/>
                <w:highlight w:val="none"/>
                <w:lang w:val="en"/>
              </w:rPr>
            </w:pPr>
            <w:r>
              <w:rPr>
                <w:rFonts w:hint="default" w:ascii="Times New Roman" w:hAnsi="Times New Roman" w:cs="Times New Roman"/>
                <w:iCs/>
                <w:color w:val="auto"/>
                <w:w w:val="99"/>
                <w:kern w:val="28"/>
                <w:sz w:val="21"/>
                <w:szCs w:val="21"/>
                <w:highlight w:val="none"/>
                <w:lang w:val="en"/>
              </w:rPr>
              <w:t>化学品生产企业以及工业集聚区、矿山开采区、尾矿库、危险废物处置场、垃圾填埋场等的运营、管理单位，应当采取防渗漏等措施，并建设地下水水质监测井进行监测；</w:t>
            </w:r>
          </w:p>
        </w:tc>
        <w:tc>
          <w:tcPr>
            <w:tcW w:w="2135" w:type="pct"/>
            <w:tcBorders>
              <w:tl2br w:val="nil"/>
              <w:tr2bl w:val="nil"/>
            </w:tcBorders>
            <w:vAlign w:val="center"/>
          </w:tcPr>
          <w:p>
            <w:pPr>
              <w:widowControl w:val="0"/>
              <w:adjustRightInd w:val="0"/>
              <w:snapToGrid w:val="0"/>
              <w:spacing w:line="360" w:lineRule="exact"/>
              <w:jc w:val="center"/>
              <w:rPr>
                <w:rFonts w:hint="default" w:ascii="Times New Roman" w:hAnsi="Times New Roman" w:cs="Times New Roman"/>
                <w:iCs/>
                <w:color w:val="auto"/>
                <w:w w:val="99"/>
                <w:kern w:val="28"/>
                <w:sz w:val="21"/>
                <w:szCs w:val="21"/>
                <w:highlight w:val="none"/>
                <w:lang w:val="en"/>
              </w:rPr>
            </w:pPr>
            <w:r>
              <w:rPr>
                <w:rFonts w:hint="default" w:ascii="Times New Roman" w:hAnsi="Times New Roman" w:cs="Times New Roman"/>
                <w:iCs/>
                <w:color w:val="auto"/>
                <w:w w:val="99"/>
                <w:kern w:val="28"/>
                <w:sz w:val="21"/>
                <w:szCs w:val="21"/>
                <w:highlight w:val="none"/>
                <w:lang w:val="en"/>
              </w:rPr>
              <w:t>地下水环境监测委托具有资质的单位进行，监测报告建设单位存档，并存档本项目所在地及其影响区地下水环境跟踪监测数据，各生产设施、套管、钢制泥浆槽及污染防控措施等设施的运行状况、维护记录，同时对监测结果定期进行信息公开。根据《环境影响评价技术导则地下水环境》（HJ610-2016）一、二级评价的建设项目，跟踪监测点位一般不少于3个，应至少在建设项目场地，上、下游各布设1个。项目区域潜水地下水流向为由东北至西南，因此在上游的潜水设</w:t>
            </w:r>
            <w:r>
              <w:rPr>
                <w:rFonts w:hint="eastAsia" w:ascii="Times New Roman" w:hAnsi="Times New Roman" w:cs="Times New Roman"/>
                <w:iCs/>
                <w:color w:val="auto"/>
                <w:w w:val="99"/>
                <w:kern w:val="28"/>
                <w:sz w:val="21"/>
                <w:szCs w:val="21"/>
                <w:highlight w:val="none"/>
                <w:lang w:val="en-US" w:eastAsia="zh-CN"/>
              </w:rPr>
              <w:t>1</w:t>
            </w:r>
            <w:r>
              <w:rPr>
                <w:rFonts w:hint="default" w:ascii="Times New Roman" w:hAnsi="Times New Roman" w:cs="Times New Roman"/>
                <w:iCs/>
                <w:color w:val="auto"/>
                <w:w w:val="99"/>
                <w:kern w:val="28"/>
                <w:sz w:val="21"/>
                <w:szCs w:val="21"/>
                <w:highlight w:val="none"/>
                <w:lang w:val="en"/>
              </w:rPr>
              <w:t>个背景监测点，在本项目区域内侧向和下游设</w:t>
            </w:r>
            <w:r>
              <w:rPr>
                <w:rFonts w:hint="eastAsia" w:ascii="Times New Roman" w:hAnsi="Times New Roman" w:cs="Times New Roman"/>
                <w:iCs/>
                <w:color w:val="auto"/>
                <w:w w:val="99"/>
                <w:kern w:val="28"/>
                <w:sz w:val="21"/>
                <w:szCs w:val="21"/>
                <w:highlight w:val="none"/>
                <w:lang w:val="en-US" w:eastAsia="zh-CN"/>
              </w:rPr>
              <w:t>2</w:t>
            </w:r>
            <w:r>
              <w:rPr>
                <w:rFonts w:hint="default" w:ascii="Times New Roman" w:hAnsi="Times New Roman" w:cs="Times New Roman"/>
                <w:iCs/>
                <w:color w:val="auto"/>
                <w:w w:val="99"/>
                <w:kern w:val="28"/>
                <w:sz w:val="21"/>
                <w:szCs w:val="21"/>
                <w:highlight w:val="none"/>
                <w:lang w:val="en"/>
              </w:rPr>
              <w:t>个潜水跟踪监测点，进行长期监测。</w:t>
            </w:r>
          </w:p>
        </w:tc>
        <w:tc>
          <w:tcPr>
            <w:tcW w:w="506" w:type="pct"/>
            <w:tcBorders>
              <w:tl2br w:val="nil"/>
              <w:tr2bl w:val="nil"/>
            </w:tcBorders>
            <w:vAlign w:val="center"/>
          </w:tcPr>
          <w:p>
            <w:pPr>
              <w:widowControl w:val="0"/>
              <w:adjustRightInd w:val="0"/>
              <w:snapToGrid w:val="0"/>
              <w:spacing w:line="360" w:lineRule="exact"/>
              <w:jc w:val="center"/>
              <w:rPr>
                <w:rFonts w:hint="default" w:ascii="Times New Roman" w:hAnsi="Times New Roman" w:cs="Times New Roman"/>
                <w:iCs/>
                <w:color w:val="auto"/>
                <w:w w:val="99"/>
                <w:kern w:val="28"/>
                <w:sz w:val="21"/>
                <w:szCs w:val="21"/>
                <w:highlight w:val="none"/>
                <w:lang w:val="en"/>
              </w:rPr>
            </w:pPr>
            <w:r>
              <w:rPr>
                <w:rFonts w:hint="default" w:ascii="Times New Roman" w:hAnsi="Times New Roman" w:cs="Times New Roman"/>
                <w:iCs/>
                <w:color w:val="auto"/>
                <w:w w:val="99"/>
                <w:kern w:val="28"/>
                <w:sz w:val="21"/>
                <w:szCs w:val="21"/>
                <w:highlight w:val="none"/>
                <w:lang w:val="en"/>
              </w:rPr>
              <w:t>符合</w:t>
            </w:r>
          </w:p>
        </w:tc>
      </w:tr>
    </w:tbl>
    <w:p>
      <w:pPr>
        <w:pStyle w:val="8"/>
        <w:keepNext w:val="0"/>
        <w:keepLines w:val="0"/>
        <w:widowControl w:val="0"/>
        <w:jc w:val="both"/>
        <w:rPr>
          <w:b/>
          <w:color w:val="auto"/>
          <w:w w:val="99"/>
          <w:kern w:val="2"/>
          <w:sz w:val="24"/>
          <w:szCs w:val="24"/>
          <w:highlight w:val="none"/>
        </w:rPr>
      </w:pPr>
      <w:r>
        <w:rPr>
          <w:b/>
          <w:color w:val="auto"/>
          <w:w w:val="99"/>
          <w:kern w:val="2"/>
          <w:sz w:val="24"/>
          <w:szCs w:val="24"/>
          <w:highlight w:val="none"/>
        </w:rPr>
        <w:t>1.4.4与《钻前工程及井场布置技术要求》（SY/T5466-2013）符合性分析</w:t>
      </w:r>
      <w:bookmarkEnd w:id="64"/>
      <w:bookmarkEnd w:id="65"/>
      <w:bookmarkEnd w:id="66"/>
      <w:bookmarkEnd w:id="71"/>
      <w:bookmarkEnd w:id="72"/>
      <w:bookmarkEnd w:id="73"/>
      <w:bookmarkEnd w:id="74"/>
    </w:p>
    <w:p>
      <w:pPr>
        <w:widowControl w:val="0"/>
        <w:spacing w:line="500" w:lineRule="exact"/>
        <w:ind w:firstLine="474" w:firstLineChars="200"/>
        <w:jc w:val="both"/>
        <w:rPr>
          <w:rFonts w:ascii="Times New Roman" w:hAnsi="Times New Roman" w:cs="Times New Roman" w:eastAsiaTheme="minorEastAsia"/>
          <w:bCs/>
          <w:color w:val="auto"/>
          <w:w w:val="99"/>
          <w:szCs w:val="20"/>
          <w:highlight w:val="none"/>
        </w:rPr>
      </w:pPr>
      <w:r>
        <w:rPr>
          <w:rFonts w:hint="eastAsia" w:ascii="Times New Roman" w:hAnsi="Times New Roman" w:cs="Times New Roman" w:eastAsiaTheme="minorEastAsia"/>
          <w:bCs/>
          <w:color w:val="auto"/>
          <w:w w:val="99"/>
          <w:szCs w:val="20"/>
          <w:highlight w:val="none"/>
        </w:rPr>
        <w:t>本项目与《钻前工程及井场布置技术要求》（</w:t>
      </w:r>
      <w:r>
        <w:rPr>
          <w:rFonts w:ascii="Times New Roman" w:hAnsi="Times New Roman" w:cs="Times New Roman" w:eastAsiaTheme="minorEastAsia"/>
          <w:bCs/>
          <w:color w:val="auto"/>
          <w:w w:val="99"/>
          <w:szCs w:val="20"/>
          <w:highlight w:val="none"/>
        </w:rPr>
        <w:t>SY/T5466-2013）</w:t>
      </w:r>
      <w:r>
        <w:rPr>
          <w:rFonts w:hint="eastAsia" w:ascii="Times New Roman" w:hAnsi="Times New Roman" w:cs="Times New Roman" w:eastAsiaTheme="minorEastAsia"/>
          <w:bCs/>
          <w:color w:val="auto"/>
          <w:w w:val="99"/>
          <w:szCs w:val="20"/>
          <w:highlight w:val="none"/>
        </w:rPr>
        <w:t>符合性</w:t>
      </w:r>
      <w:r>
        <w:rPr>
          <w:rFonts w:ascii="Times New Roman" w:hAnsi="Times New Roman" w:cs="Times New Roman" w:eastAsiaTheme="minorEastAsia"/>
          <w:bCs/>
          <w:color w:val="auto"/>
          <w:w w:val="99"/>
          <w:szCs w:val="20"/>
          <w:highlight w:val="none"/>
        </w:rPr>
        <w:t>分析见表</w:t>
      </w:r>
      <w:r>
        <w:rPr>
          <w:rFonts w:hint="eastAsia" w:ascii="Times New Roman" w:hAnsi="Times New Roman" w:cs="Times New Roman" w:eastAsiaTheme="minorEastAsia"/>
          <w:bCs/>
          <w:color w:val="auto"/>
          <w:w w:val="99"/>
          <w:szCs w:val="20"/>
          <w:highlight w:val="none"/>
        </w:rPr>
        <w:t>1.4-9。</w:t>
      </w:r>
    </w:p>
    <w:p>
      <w:pPr>
        <w:widowControl w:val="0"/>
        <w:spacing w:line="500" w:lineRule="exact"/>
        <w:ind w:firstLine="476" w:firstLineChars="200"/>
        <w:jc w:val="both"/>
        <w:rPr>
          <w:rFonts w:ascii="Times New Roman" w:hAnsi="Times New Roman" w:cs="Times New Roman" w:eastAsiaTheme="minorEastAsia"/>
          <w:b/>
          <w:bCs w:val="0"/>
          <w:color w:val="auto"/>
          <w:w w:val="99"/>
          <w:kern w:val="2"/>
          <w:szCs w:val="20"/>
          <w:highlight w:val="none"/>
        </w:rPr>
      </w:pPr>
      <w:r>
        <w:rPr>
          <w:rFonts w:ascii="Times New Roman" w:hAnsi="Times New Roman" w:cs="Times New Roman" w:eastAsiaTheme="minorEastAsia"/>
          <w:b/>
          <w:bCs w:val="0"/>
          <w:color w:val="auto"/>
          <w:w w:val="99"/>
          <w:szCs w:val="20"/>
          <w:highlight w:val="none"/>
        </w:rPr>
        <w:t>表1.4-</w:t>
      </w:r>
      <w:r>
        <w:rPr>
          <w:rFonts w:hint="eastAsia" w:ascii="Times New Roman" w:hAnsi="Times New Roman" w:cs="Times New Roman" w:eastAsiaTheme="minorEastAsia"/>
          <w:b/>
          <w:bCs w:val="0"/>
          <w:color w:val="auto"/>
          <w:w w:val="99"/>
          <w:szCs w:val="20"/>
          <w:highlight w:val="none"/>
          <w:lang w:val="en-US" w:eastAsia="zh-CN"/>
        </w:rPr>
        <w:t>10</w:t>
      </w:r>
      <w:r>
        <w:rPr>
          <w:rFonts w:ascii="Times New Roman" w:hAnsi="Times New Roman" w:cs="Times New Roman" w:eastAsiaTheme="minorEastAsia"/>
          <w:b/>
          <w:bCs w:val="0"/>
          <w:color w:val="auto"/>
          <w:w w:val="99"/>
          <w:szCs w:val="20"/>
          <w:highlight w:val="none"/>
        </w:rPr>
        <w:t xml:space="preserve">     项目与《钻前工程及井场布置技术要求》符合性分析</w:t>
      </w:r>
    </w:p>
    <w:tbl>
      <w:tblPr>
        <w:tblStyle w:val="8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151"/>
        <w:gridCol w:w="5279"/>
        <w:gridCol w:w="6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3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《SY/T5466-2013钻前工程及井场布置技术要求》</w:t>
            </w:r>
          </w:p>
        </w:tc>
        <w:tc>
          <w:tcPr>
            <w:tcW w:w="29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拟建项目情况</w:t>
            </w:r>
          </w:p>
        </w:tc>
        <w:tc>
          <w:tcPr>
            <w:tcW w:w="35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37"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根据自然环境、钻机类型及钻井工艺要求确定钻井设备安放位置。</w:t>
            </w:r>
          </w:p>
        </w:tc>
        <w:tc>
          <w:tcPr>
            <w:tcW w:w="2910"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本项目位于大庆市，钻机型号为</w:t>
            </w:r>
            <w:r>
              <w:rPr>
                <w:rFonts w:ascii="Times New Roman" w:hAnsi="Times New Roman" w:cs="Times New Roman" w:eastAsiaTheme="minorEastAsia"/>
                <w:bCs/>
                <w:color w:val="auto"/>
                <w:w w:val="99"/>
                <w:sz w:val="21"/>
                <w:szCs w:val="21"/>
                <w:highlight w:val="none"/>
              </w:rPr>
              <w:t>ZJ-20/1350</w:t>
            </w:r>
            <w:r>
              <w:rPr>
                <w:rFonts w:ascii="Times New Roman" w:hAnsi="Times New Roman" w:cs="Times New Roman" w:eastAsiaTheme="minorEastAsia"/>
                <w:color w:val="auto"/>
                <w:w w:val="99"/>
                <w:sz w:val="21"/>
                <w:szCs w:val="21"/>
                <w:highlight w:val="none"/>
              </w:rPr>
              <w:t>型钻机，占地类型主要为耕地，钻井设备摆放至远离村屯的位置。</w:t>
            </w:r>
          </w:p>
        </w:tc>
        <w:tc>
          <w:tcPr>
            <w:tcW w:w="35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37"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井场应避开滑坡、泥石流等不良地质地段，在河滩、河滩地区应避开汛、潮期进行钻前施工。</w:t>
            </w:r>
          </w:p>
        </w:tc>
        <w:tc>
          <w:tcPr>
            <w:tcW w:w="2910"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本项目位于松嫩平原中部，非滑坡、泥石流等不良地质地段。</w:t>
            </w:r>
          </w:p>
        </w:tc>
        <w:tc>
          <w:tcPr>
            <w:tcW w:w="35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37"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充分利用地形、节约用地，方便施工。</w:t>
            </w:r>
          </w:p>
        </w:tc>
        <w:tc>
          <w:tcPr>
            <w:tcW w:w="2910" w:type="pct"/>
            <w:vAlign w:val="center"/>
          </w:tcPr>
          <w:p>
            <w:pPr>
              <w:spacing w:line="360" w:lineRule="exact"/>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 w:val="21"/>
                <w:szCs w:val="21"/>
                <w:highlight w:val="none"/>
                <w:lang w:val="zh-CN"/>
              </w:rPr>
              <w:t>本工程在井位的选址和布局上根据“地下决定地上，地下顾及地上”的原则，采用占地面积最小的方案，本项目临时占地为</w:t>
            </w:r>
            <w:r>
              <w:rPr>
                <w:rFonts w:hint="eastAsia" w:ascii="Times New Roman" w:hAnsi="Times New Roman" w:cs="Times New Roman" w:eastAsiaTheme="minorEastAsia"/>
                <w:color w:val="auto"/>
                <w:w w:val="99"/>
                <w:kern w:val="2"/>
                <w:sz w:val="21"/>
                <w:szCs w:val="21"/>
                <w:highlight w:val="none"/>
                <w:lang w:val="en-US" w:eastAsia="zh-CN"/>
              </w:rPr>
              <w:t>22.88</w:t>
            </w:r>
            <w:r>
              <w:rPr>
                <w:rFonts w:hint="eastAsia" w:ascii="Times New Roman" w:hAnsi="Times New Roman" w:cs="Times New Roman" w:eastAsiaTheme="minorEastAsia"/>
                <w:color w:val="auto"/>
                <w:w w:val="99"/>
                <w:kern w:val="2"/>
                <w:sz w:val="21"/>
                <w:szCs w:val="21"/>
                <w:highlight w:val="none"/>
              </w:rPr>
              <w:t>hm</w:t>
            </w:r>
            <w:r>
              <w:rPr>
                <w:rFonts w:hint="eastAsia" w:ascii="Times New Roman" w:hAnsi="Times New Roman" w:cs="Times New Roman" w:eastAsiaTheme="minorEastAsia"/>
                <w:color w:val="auto"/>
                <w:w w:val="99"/>
                <w:kern w:val="2"/>
                <w:sz w:val="21"/>
                <w:szCs w:val="21"/>
                <w:highlight w:val="none"/>
                <w:vertAlign w:val="superscript"/>
              </w:rPr>
              <w:t>2</w:t>
            </w:r>
            <w:r>
              <w:rPr>
                <w:rFonts w:ascii="Times New Roman" w:hAnsi="Times New Roman" w:cs="Times New Roman" w:eastAsiaTheme="minorEastAsia"/>
                <w:color w:val="auto"/>
                <w:w w:val="99"/>
                <w:kern w:val="2"/>
                <w:sz w:val="21"/>
                <w:szCs w:val="21"/>
                <w:highlight w:val="none"/>
              </w:rPr>
              <w:t>。</w:t>
            </w:r>
          </w:p>
        </w:tc>
        <w:tc>
          <w:tcPr>
            <w:tcW w:w="35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37"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满足防洪、放喷、防爆、防火、防毒、防冻等安全要求。</w:t>
            </w:r>
          </w:p>
        </w:tc>
        <w:tc>
          <w:tcPr>
            <w:tcW w:w="2910"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项目钻井时安装防喷器，防止井喷事故发生，钻台下面和井口周围严禁堆放杂物和易燃品，机泵房下无积油，井场内严禁吸烟和动用明火，应有明显的防火标志。</w:t>
            </w:r>
          </w:p>
        </w:tc>
        <w:tc>
          <w:tcPr>
            <w:tcW w:w="35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37"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有利废弃物回收处理、声光屏蔽等，防治环境污染。</w:t>
            </w:r>
          </w:p>
        </w:tc>
        <w:tc>
          <w:tcPr>
            <w:tcW w:w="2910"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iCs/>
                <w:color w:val="auto"/>
                <w:w w:val="99"/>
                <w:kern w:val="28"/>
                <w:sz w:val="21"/>
                <w:szCs w:val="21"/>
                <w:highlight w:val="none"/>
              </w:rPr>
              <w:t>本项目钻井废水和废弃泥浆、废射孔液暂存于井场泥浆槽中，及时拉运至</w:t>
            </w:r>
            <w:r>
              <w:rPr>
                <w:rFonts w:ascii="Times New Roman" w:hAnsi="Times New Roman" w:cs="Times New Roman" w:eastAsiaTheme="minorEastAsia"/>
                <w:color w:val="auto"/>
                <w:w w:val="99"/>
                <w:kern w:val="2"/>
                <w:sz w:val="21"/>
                <w:highlight w:val="none"/>
              </w:rPr>
              <w:t>大庆油田昆仑集团有限公司环保分公司</w:t>
            </w:r>
            <w:r>
              <w:rPr>
                <w:rFonts w:ascii="Times New Roman" w:hAnsi="Times New Roman" w:cs="Times New Roman"/>
                <w:iCs/>
                <w:color w:val="auto"/>
                <w:w w:val="99"/>
                <w:kern w:val="28"/>
                <w:sz w:val="21"/>
                <w:szCs w:val="21"/>
                <w:highlight w:val="none"/>
              </w:rPr>
              <w:t>处理，不外排，对环境污染极小</w:t>
            </w:r>
          </w:p>
        </w:tc>
        <w:tc>
          <w:tcPr>
            <w:tcW w:w="35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w:t>
            </w:r>
          </w:p>
        </w:tc>
      </w:tr>
    </w:tbl>
    <w:p>
      <w:pPr>
        <w:pStyle w:val="7"/>
        <w:keepNext w:val="0"/>
        <w:keepLines w:val="0"/>
        <w:widowControl w:val="0"/>
        <w:jc w:val="both"/>
        <w:rPr>
          <w:b/>
          <w:color w:val="auto"/>
          <w:w w:val="99"/>
          <w:kern w:val="2"/>
          <w:sz w:val="24"/>
          <w:szCs w:val="24"/>
          <w:highlight w:val="none"/>
        </w:rPr>
      </w:pPr>
      <w:bookmarkStart w:id="75" w:name="_Toc61597176"/>
      <w:bookmarkStart w:id="76" w:name="_Toc74812270"/>
      <w:bookmarkStart w:id="77" w:name="_Toc77667243"/>
      <w:bookmarkStart w:id="78" w:name="_Toc67523548"/>
      <w:bookmarkStart w:id="79" w:name="_Toc71371899"/>
      <w:bookmarkStart w:id="80" w:name="_Toc80105099"/>
      <w:bookmarkStart w:id="81" w:name="_Toc69690766"/>
      <w:r>
        <w:rPr>
          <w:b/>
          <w:color w:val="auto"/>
          <w:w w:val="99"/>
          <w:kern w:val="2"/>
          <w:sz w:val="24"/>
          <w:szCs w:val="24"/>
          <w:highlight w:val="none"/>
        </w:rPr>
        <w:t>1.4.</w:t>
      </w:r>
      <w:bookmarkEnd w:id="56"/>
      <w:bookmarkEnd w:id="57"/>
      <w:bookmarkEnd w:id="58"/>
      <w:r>
        <w:rPr>
          <w:b/>
          <w:color w:val="auto"/>
          <w:w w:val="99"/>
          <w:kern w:val="2"/>
          <w:sz w:val="24"/>
          <w:szCs w:val="24"/>
          <w:highlight w:val="none"/>
        </w:rPr>
        <w:t>5“三线一单”符合性分析</w:t>
      </w:r>
      <w:bookmarkEnd w:id="75"/>
      <w:bookmarkEnd w:id="76"/>
      <w:bookmarkEnd w:id="77"/>
      <w:bookmarkEnd w:id="78"/>
      <w:bookmarkEnd w:id="79"/>
      <w:bookmarkEnd w:id="80"/>
      <w:bookmarkEnd w:id="81"/>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1.4.4.1生态保护红线</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hint="eastAsia" w:ascii="Times New Roman" w:hAnsi="Times New Roman" w:cs="Times New Roman" w:eastAsiaTheme="minorEastAsia"/>
          <w:color w:val="auto"/>
          <w:w w:val="99"/>
          <w:kern w:val="2"/>
          <w:highlight w:val="none"/>
        </w:rPr>
        <w:t>根据2020年7月黑龙江省自然</w:t>
      </w:r>
      <w:r>
        <w:rPr>
          <w:rFonts w:ascii="Times New Roman" w:hAnsi="Times New Roman" w:cs="Times New Roman" w:eastAsiaTheme="minorEastAsia"/>
          <w:color w:val="auto"/>
          <w:w w:val="99"/>
          <w:kern w:val="2"/>
          <w:highlight w:val="none"/>
        </w:rPr>
        <w:t>资源厅</w:t>
      </w:r>
      <w:r>
        <w:rPr>
          <w:rFonts w:hint="eastAsia" w:ascii="Times New Roman" w:hAnsi="Times New Roman" w:cs="Times New Roman" w:eastAsiaTheme="minorEastAsia"/>
          <w:color w:val="auto"/>
          <w:w w:val="99"/>
          <w:kern w:val="2"/>
          <w:highlight w:val="none"/>
        </w:rPr>
        <w:t>发布的黑龙江省生态保护红线分布图</w:t>
      </w:r>
      <w:r>
        <w:rPr>
          <w:rFonts w:hint="eastAsia" w:ascii="Times New Roman" w:hAnsi="Times New Roman" w:cs="Times New Roman" w:eastAsiaTheme="minorEastAsia"/>
          <w:color w:val="auto"/>
          <w:w w:val="99"/>
          <w:kern w:val="2"/>
          <w:highlight w:val="none"/>
          <w:lang w:eastAsia="zh-CN"/>
        </w:rPr>
        <w:t>核实</w:t>
      </w:r>
      <w:r>
        <w:rPr>
          <w:rFonts w:hint="eastAsia" w:ascii="Times New Roman" w:hAnsi="Times New Roman" w:cs="Times New Roman" w:eastAsiaTheme="minorEastAsia"/>
          <w:color w:val="auto"/>
          <w:w w:val="99"/>
          <w:kern w:val="2"/>
          <w:highlight w:val="none"/>
        </w:rPr>
        <w:t>，</w:t>
      </w:r>
      <w:r>
        <w:rPr>
          <w:rFonts w:ascii="Times New Roman" w:hAnsi="Times New Roman" w:cs="Times New Roman" w:eastAsiaTheme="minorEastAsia"/>
          <w:color w:val="auto"/>
          <w:w w:val="99"/>
          <w:kern w:val="2"/>
          <w:highlight w:val="none"/>
        </w:rPr>
        <w:t>本项目</w:t>
      </w:r>
      <w:r>
        <w:rPr>
          <w:rFonts w:hint="eastAsia" w:ascii="Times New Roman" w:hAnsi="Times New Roman" w:cs="Times New Roman" w:eastAsiaTheme="minorEastAsia"/>
          <w:color w:val="auto"/>
          <w:w w:val="99"/>
          <w:kern w:val="2"/>
          <w:highlight w:val="none"/>
        </w:rPr>
        <w:t>不在</w:t>
      </w:r>
      <w:r>
        <w:rPr>
          <w:rFonts w:ascii="Times New Roman" w:hAnsi="Times New Roman" w:cs="Times New Roman" w:eastAsiaTheme="minorEastAsia"/>
          <w:color w:val="auto"/>
          <w:w w:val="99"/>
          <w:kern w:val="2"/>
          <w:highlight w:val="none"/>
        </w:rPr>
        <w:t>红线范围内，</w:t>
      </w:r>
      <w:r>
        <w:rPr>
          <w:rFonts w:hint="eastAsia" w:ascii="Times New Roman" w:hAnsi="Times New Roman" w:cs="Times New Roman" w:eastAsiaTheme="minorEastAsia"/>
          <w:color w:val="auto"/>
          <w:w w:val="99"/>
          <w:kern w:val="2"/>
          <w:highlight w:val="none"/>
        </w:rPr>
        <w:t>本项目</w:t>
      </w:r>
      <w:r>
        <w:rPr>
          <w:rFonts w:ascii="Times New Roman" w:hAnsi="Times New Roman" w:cs="Times New Roman" w:eastAsiaTheme="minorEastAsia"/>
          <w:color w:val="auto"/>
          <w:w w:val="99"/>
          <w:kern w:val="2"/>
          <w:highlight w:val="none"/>
        </w:rPr>
        <w:t>与</w:t>
      </w:r>
      <w:r>
        <w:rPr>
          <w:rFonts w:hint="eastAsia" w:ascii="Times New Roman" w:hAnsi="Times New Roman" w:cs="Times New Roman" w:eastAsiaTheme="minorEastAsia"/>
          <w:color w:val="auto"/>
          <w:w w:val="99"/>
          <w:kern w:val="2"/>
          <w:highlight w:val="none"/>
        </w:rPr>
        <w:t>黑龙江省生态保护红线的</w:t>
      </w:r>
      <w:r>
        <w:rPr>
          <w:rFonts w:ascii="Times New Roman" w:hAnsi="Times New Roman" w:cs="Times New Roman" w:eastAsiaTheme="minorEastAsia"/>
          <w:color w:val="auto"/>
          <w:w w:val="99"/>
          <w:kern w:val="2"/>
          <w:highlight w:val="none"/>
        </w:rPr>
        <w:t>位置</w:t>
      </w:r>
      <w:r>
        <w:rPr>
          <w:rFonts w:hint="eastAsia" w:ascii="Times New Roman" w:hAnsi="Times New Roman" w:cs="Times New Roman" w:eastAsiaTheme="minorEastAsia"/>
          <w:color w:val="auto"/>
          <w:w w:val="99"/>
          <w:kern w:val="2"/>
          <w:highlight w:val="none"/>
        </w:rPr>
        <w:t>关系</w:t>
      </w:r>
      <w:r>
        <w:rPr>
          <w:rFonts w:ascii="Times New Roman" w:hAnsi="Times New Roman" w:cs="Times New Roman" w:eastAsiaTheme="minorEastAsia"/>
          <w:color w:val="auto"/>
          <w:w w:val="99"/>
          <w:kern w:val="2"/>
          <w:highlight w:val="none"/>
        </w:rPr>
        <w:t>见附图4</w:t>
      </w:r>
      <w:r>
        <w:rPr>
          <w:rFonts w:hint="eastAsia" w:ascii="Times New Roman" w:hAnsi="Times New Roman" w:cs="Times New Roman" w:eastAsiaTheme="minorEastAsia"/>
          <w:color w:val="auto"/>
          <w:w w:val="99"/>
          <w:kern w:val="2"/>
          <w:highlight w:val="none"/>
        </w:rPr>
        <w:t>。</w:t>
      </w:r>
      <w:r>
        <w:rPr>
          <w:rFonts w:ascii="Times New Roman" w:hAnsi="Times New Roman" w:cs="Times New Roman" w:eastAsiaTheme="minorEastAsia"/>
          <w:color w:val="auto"/>
          <w:w w:val="99"/>
          <w:kern w:val="2"/>
          <w:highlight w:val="none"/>
        </w:rPr>
        <w:t>根据《黑龙江省人民政府关于实施“三线一单”生态环境分区管控的意见》（黑政发〔2020〕14 号）及《大庆市人民政府关于实施“三线一单”生态环境分区管控的意见》（庆政规〔2021〕3号）划分了环境管控单元，管控单元包括优先保护单元、重点管控单元和一般管控单元三类。</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根据《黑龙江省生态保护红线划定实施方案》，生态保护红线主要包括：水源涵养功能区、水土保持功能区、防风固沙功能区、生物多样性维护区、重要生态敏感区、重要生态脆弱区、关键生态系统保护区、重点森林保护区、重点湿地保护区、重点草原保护区、国土安全保护区、重点水域保护区。本工程位于</w:t>
      </w:r>
      <w:r>
        <w:rPr>
          <w:rFonts w:hint="eastAsia" w:ascii="Times New Roman" w:hAnsi="Times New Roman" w:cs="Times New Roman" w:eastAsiaTheme="minorEastAsia"/>
          <w:color w:val="auto"/>
          <w:w w:val="99"/>
          <w:highlight w:val="none"/>
        </w:rPr>
        <w:t>大庆市</w:t>
      </w:r>
      <w:r>
        <w:rPr>
          <w:rFonts w:hint="eastAsia" w:ascii="Times New Roman" w:hAnsi="Times New Roman" w:cs="Times New Roman" w:eastAsiaTheme="minorEastAsia"/>
          <w:color w:val="auto"/>
          <w:w w:val="99"/>
          <w:highlight w:val="none"/>
          <w:lang w:eastAsia="zh-CN"/>
        </w:rPr>
        <w:t>肇源县</w:t>
      </w:r>
      <w:r>
        <w:rPr>
          <w:rFonts w:ascii="Times New Roman" w:hAnsi="Times New Roman" w:cs="Times New Roman" w:eastAsiaTheme="minorEastAsia"/>
          <w:color w:val="auto"/>
          <w:w w:val="99"/>
          <w:highlight w:val="none"/>
        </w:rPr>
        <w:t>，不在上述所述区域</w:t>
      </w:r>
      <w:r>
        <w:rPr>
          <w:rFonts w:ascii="Times New Roman" w:hAnsi="Times New Roman" w:cs="Times New Roman" w:eastAsiaTheme="minorEastAsia"/>
          <w:color w:val="auto"/>
          <w:w w:val="99"/>
          <w:kern w:val="2"/>
          <w:highlight w:val="none"/>
        </w:rPr>
        <w:t>，与《大庆市人民政府关于实施“三线一单”生态环境分区管控的意见》（庆政规〔2021〕3号）中环境管控单元进行对照，本项目拟建油井位于</w:t>
      </w:r>
      <w:r>
        <w:rPr>
          <w:rFonts w:hint="eastAsia" w:ascii="Times New Roman" w:hAnsi="Times New Roman" w:cs="Times New Roman" w:eastAsiaTheme="minorEastAsia"/>
          <w:color w:val="auto"/>
          <w:w w:val="99"/>
          <w:kern w:val="2"/>
          <w:highlight w:val="none"/>
          <w:lang w:eastAsia="zh-CN"/>
        </w:rPr>
        <w:t>一般</w:t>
      </w:r>
      <w:r>
        <w:rPr>
          <w:rFonts w:ascii="Times New Roman" w:hAnsi="Times New Roman" w:cs="Times New Roman" w:eastAsiaTheme="minorEastAsia"/>
          <w:color w:val="auto"/>
          <w:w w:val="99"/>
          <w:kern w:val="2"/>
          <w:highlight w:val="none"/>
        </w:rPr>
        <w:t>管控单元，本项目与分区管控要求符合性分析见表1.4-10。且本项目不涉及国家、省、市级自然保护区、自然文化遗产、风景名胜区、文物古迹、生态红线、饮用水水源保护区、重要湿地等区域。因此，项目建设符合生态红线要求，本项目与黑龙江省</w:t>
      </w:r>
      <w:r>
        <w:rPr>
          <w:rFonts w:hint="eastAsia" w:ascii="Times New Roman" w:hAnsi="Times New Roman" w:cs="Times New Roman" w:eastAsiaTheme="minorEastAsia"/>
          <w:color w:val="auto"/>
          <w:w w:val="99"/>
          <w:kern w:val="2"/>
          <w:highlight w:val="none"/>
        </w:rPr>
        <w:t>大庆市</w:t>
      </w:r>
      <w:r>
        <w:rPr>
          <w:rFonts w:ascii="Times New Roman" w:hAnsi="Times New Roman" w:cs="Times New Roman" w:eastAsiaTheme="minorEastAsia"/>
          <w:color w:val="auto"/>
          <w:w w:val="99"/>
          <w:kern w:val="2"/>
          <w:highlight w:val="none"/>
        </w:rPr>
        <w:t>环境管控单元位置关系见附图5。</w:t>
      </w:r>
    </w:p>
    <w:p>
      <w:pPr>
        <w:widowControl w:val="0"/>
        <w:spacing w:line="500" w:lineRule="exact"/>
        <w:ind w:firstLine="476" w:firstLineChars="200"/>
        <w:jc w:val="both"/>
        <w:rPr>
          <w:rFonts w:ascii="Times New Roman" w:hAnsi="Times New Roman" w:cs="Times New Roman" w:eastAsiaTheme="minorEastAsia"/>
          <w:b/>
          <w:bCs w:val="0"/>
          <w:color w:val="auto"/>
          <w:w w:val="99"/>
          <w:kern w:val="2"/>
          <w:szCs w:val="20"/>
          <w:highlight w:val="none"/>
        </w:rPr>
      </w:pPr>
      <w:r>
        <w:rPr>
          <w:rFonts w:ascii="Times New Roman" w:hAnsi="Times New Roman" w:cs="Times New Roman" w:eastAsiaTheme="minorEastAsia"/>
          <w:b/>
          <w:bCs w:val="0"/>
          <w:color w:val="auto"/>
          <w:w w:val="99"/>
          <w:szCs w:val="20"/>
          <w:highlight w:val="none"/>
        </w:rPr>
        <w:t>表1.4-1</w:t>
      </w:r>
      <w:r>
        <w:rPr>
          <w:rFonts w:hint="eastAsia" w:ascii="Times New Roman" w:hAnsi="Times New Roman" w:cs="Times New Roman" w:eastAsiaTheme="minorEastAsia"/>
          <w:b/>
          <w:bCs w:val="0"/>
          <w:color w:val="auto"/>
          <w:w w:val="99"/>
          <w:szCs w:val="20"/>
          <w:highlight w:val="none"/>
          <w:lang w:val="en-US" w:eastAsia="zh-CN"/>
        </w:rPr>
        <w:t>1</w:t>
      </w:r>
      <w:r>
        <w:rPr>
          <w:rFonts w:ascii="Times New Roman" w:hAnsi="Times New Roman" w:cs="Times New Roman" w:eastAsiaTheme="minorEastAsia"/>
          <w:b/>
          <w:bCs w:val="0"/>
          <w:color w:val="auto"/>
          <w:w w:val="99"/>
          <w:szCs w:val="20"/>
          <w:highlight w:val="none"/>
        </w:rPr>
        <w:t xml:space="preserve">        本项目与分区管控要求符合性分析</w:t>
      </w:r>
    </w:p>
    <w:tbl>
      <w:tblPr>
        <w:tblStyle w:val="8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71"/>
        <w:gridCol w:w="3122"/>
        <w:gridCol w:w="3973"/>
        <w:gridCol w:w="7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环境管控单元</w:t>
            </w:r>
          </w:p>
        </w:tc>
        <w:tc>
          <w:tcPr>
            <w:tcW w:w="172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分区管控要求</w:t>
            </w:r>
          </w:p>
        </w:tc>
        <w:tc>
          <w:tcPr>
            <w:tcW w:w="2190"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拟建项目情况</w:t>
            </w:r>
          </w:p>
        </w:tc>
        <w:tc>
          <w:tcPr>
            <w:tcW w:w="38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1"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优先保护单元</w:t>
            </w:r>
          </w:p>
        </w:tc>
        <w:tc>
          <w:tcPr>
            <w:tcW w:w="1721"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以生态环境保护为主，依法禁止或限制大规模、高强度的工业和城镇建设。在功能受损的优先保护单元，优先开展生态保护修复活动，恢复生态系统服务功能；在生态保护红线区域，严格按照国家和省生态保护红线管理相关规定进行管控。</w:t>
            </w:r>
          </w:p>
        </w:tc>
        <w:tc>
          <w:tcPr>
            <w:tcW w:w="2190"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本项目拟建井场均不在优先保护单元</w:t>
            </w:r>
            <w:r>
              <w:rPr>
                <w:rFonts w:hint="eastAsia" w:ascii="Times New Roman" w:hAnsi="Times New Roman" w:cs="Times New Roman" w:eastAsiaTheme="minorEastAsia"/>
                <w:color w:val="auto"/>
                <w:w w:val="99"/>
                <w:sz w:val="21"/>
                <w:szCs w:val="21"/>
                <w:highlight w:val="none"/>
              </w:rPr>
              <w:t>。</w:t>
            </w:r>
          </w:p>
        </w:tc>
        <w:tc>
          <w:tcPr>
            <w:tcW w:w="38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1"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重点管控单元</w:t>
            </w:r>
          </w:p>
        </w:tc>
        <w:tc>
          <w:tcPr>
            <w:tcW w:w="1721"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重点管控单元突出污染物排放控制和环境风险防控，按照差别化的生态环境准入要求，优先空间和产业布局，不断提升资源利用效率，强化环境质量改善目标约束，解决局部生态环境质量不达标、生态环境风险高的问题。</w:t>
            </w:r>
          </w:p>
        </w:tc>
        <w:tc>
          <w:tcPr>
            <w:tcW w:w="2190"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本项目拟建井场均不在</w:t>
            </w:r>
            <w:r>
              <w:rPr>
                <w:rFonts w:hint="eastAsia" w:ascii="Times New Roman" w:hAnsi="Times New Roman" w:cs="Times New Roman" w:eastAsiaTheme="minorEastAsia"/>
                <w:color w:val="auto"/>
                <w:w w:val="99"/>
                <w:sz w:val="21"/>
                <w:szCs w:val="21"/>
                <w:highlight w:val="none"/>
                <w:lang w:eastAsia="zh-CN"/>
              </w:rPr>
              <w:t>重点</w:t>
            </w:r>
            <w:r>
              <w:rPr>
                <w:rFonts w:ascii="Times New Roman" w:hAnsi="Times New Roman" w:cs="Times New Roman" w:eastAsiaTheme="minorEastAsia"/>
                <w:color w:val="auto"/>
                <w:w w:val="99"/>
                <w:sz w:val="21"/>
                <w:szCs w:val="21"/>
                <w:highlight w:val="none"/>
              </w:rPr>
              <w:t>管控单元</w:t>
            </w:r>
          </w:p>
        </w:tc>
        <w:tc>
          <w:tcPr>
            <w:tcW w:w="38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1"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一般管控单元</w:t>
            </w:r>
          </w:p>
        </w:tc>
        <w:tc>
          <w:tcPr>
            <w:tcW w:w="1721"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以生态环境保护与适度开发相结合为主，落实生态环境管控相关要求，重点加强农业、生活等领域污染治理。</w:t>
            </w:r>
          </w:p>
        </w:tc>
        <w:tc>
          <w:tcPr>
            <w:tcW w:w="2190"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本项目拟钻井位于</w:t>
            </w:r>
            <w:r>
              <w:rPr>
                <w:rFonts w:hint="eastAsia" w:ascii="Times New Roman" w:hAnsi="Times New Roman" w:cs="Times New Roman" w:eastAsiaTheme="minorEastAsia"/>
                <w:color w:val="auto"/>
                <w:w w:val="99"/>
                <w:sz w:val="21"/>
                <w:szCs w:val="21"/>
                <w:highlight w:val="none"/>
                <w:lang w:eastAsia="zh-CN"/>
              </w:rPr>
              <w:t>一般</w:t>
            </w:r>
            <w:r>
              <w:rPr>
                <w:rFonts w:ascii="Times New Roman" w:hAnsi="Times New Roman" w:cs="Times New Roman" w:eastAsiaTheme="minorEastAsia"/>
                <w:color w:val="auto"/>
                <w:w w:val="99"/>
                <w:sz w:val="21"/>
                <w:szCs w:val="21"/>
                <w:highlight w:val="none"/>
              </w:rPr>
              <w:t>管控单元。本项目仅涉及施工期，施工阶段产生的污染物均可得到有效治理，可控制污染物排放；废水、固体废物等均不外排，且施工结束后对临时占地进行恢复，对永久占地进行平整。在环境风险防控方面采取加强施工管理、制定岗位操作规程并定期培训学习、实行岗位责任制，及施工单位制定可行的突发环境事件环境应急预案等措施。</w:t>
            </w:r>
          </w:p>
        </w:tc>
        <w:tc>
          <w:tcPr>
            <w:tcW w:w="38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w:t>
            </w:r>
          </w:p>
        </w:tc>
      </w:tr>
    </w:tbl>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1.4.4.2环境质量底线</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本项目开发区域环境空气功能为二类区，根据环境空气质量现状的监测数据，项目</w:t>
      </w:r>
      <w:r>
        <w:rPr>
          <w:rFonts w:ascii="Times New Roman" w:hAnsi="Times New Roman" w:cs="Times New Roman" w:eastAsiaTheme="minorEastAsia"/>
          <w:color w:val="auto"/>
          <w:spacing w:val="-5"/>
          <w:w w:val="99"/>
          <w:kern w:val="2"/>
          <w:highlight w:val="none"/>
        </w:rPr>
        <w:t>选址区域环境空气质量能够满足《环境空气质量标准》</w:t>
      </w:r>
      <w:r>
        <w:rPr>
          <w:rFonts w:ascii="Times New Roman" w:hAnsi="Times New Roman" w:cs="Times New Roman" w:eastAsiaTheme="minorEastAsia"/>
          <w:color w:val="auto"/>
          <w:w w:val="99"/>
          <w:kern w:val="2"/>
          <w:highlight w:val="none"/>
        </w:rPr>
        <w:t>（GB3095-2012）二级标准要求，空气质量好，尚有容量进行项目建设。通过分析可知，本项目实施后对区域内的大气、声、水和土壤等环境质量影响较小，本项目区域内环</w:t>
      </w:r>
      <w:r>
        <w:rPr>
          <w:rFonts w:ascii="Times New Roman" w:hAnsi="Times New Roman" w:cs="Times New Roman" w:eastAsiaTheme="minorEastAsia"/>
          <w:color w:val="auto"/>
          <w:spacing w:val="-7"/>
          <w:w w:val="99"/>
          <w:kern w:val="2"/>
          <w:highlight w:val="none"/>
        </w:rPr>
        <w:t>境空气质量可以满足《环境空气质量标准》</w:t>
      </w:r>
      <w:r>
        <w:rPr>
          <w:rFonts w:ascii="Times New Roman" w:hAnsi="Times New Roman" w:cs="Times New Roman" w:eastAsiaTheme="minorEastAsia"/>
          <w:color w:val="auto"/>
          <w:w w:val="99"/>
          <w:kern w:val="2"/>
          <w:highlight w:val="none"/>
        </w:rPr>
        <w:t>（GB3095-2012）</w:t>
      </w:r>
      <w:r>
        <w:rPr>
          <w:rFonts w:ascii="Times New Roman" w:hAnsi="Times New Roman" w:cs="Times New Roman" w:eastAsiaTheme="minorEastAsia"/>
          <w:color w:val="auto"/>
          <w:spacing w:val="-1"/>
          <w:w w:val="99"/>
          <w:kern w:val="2"/>
          <w:highlight w:val="none"/>
        </w:rPr>
        <w:t>二级标准要求，项目</w:t>
      </w:r>
      <w:r>
        <w:rPr>
          <w:rFonts w:ascii="Times New Roman" w:hAnsi="Times New Roman" w:cs="Times New Roman" w:eastAsiaTheme="minorEastAsia"/>
          <w:color w:val="auto"/>
          <w:spacing w:val="-5"/>
          <w:w w:val="99"/>
          <w:kern w:val="2"/>
          <w:highlight w:val="none"/>
        </w:rPr>
        <w:t>区域内声环境质量可以满足《声环境质量标准》</w:t>
      </w:r>
      <w:r>
        <w:rPr>
          <w:rFonts w:ascii="Times New Roman" w:hAnsi="Times New Roman" w:cs="Times New Roman" w:eastAsiaTheme="minorEastAsia"/>
          <w:color w:val="auto"/>
          <w:w w:val="99"/>
          <w:kern w:val="2"/>
          <w:highlight w:val="none"/>
        </w:rPr>
        <w:t>（GB3096-2008）2 类标准要求</w:t>
      </w:r>
      <w:r>
        <w:rPr>
          <w:rFonts w:hint="eastAsia" w:ascii="Times New Roman" w:hAnsi="Times New Roman" w:cs="Times New Roman" w:eastAsiaTheme="minorEastAsia"/>
          <w:color w:val="auto"/>
          <w:w w:val="99"/>
          <w:kern w:val="2"/>
          <w:highlight w:val="none"/>
        </w:rPr>
        <w:t>，</w:t>
      </w:r>
      <w:r>
        <w:rPr>
          <w:rFonts w:ascii="Times New Roman" w:hAnsi="Times New Roman" w:cs="Times New Roman" w:eastAsiaTheme="minorEastAsia"/>
          <w:color w:val="auto"/>
          <w:w w:val="99"/>
          <w:kern w:val="2"/>
          <w:highlight w:val="none"/>
        </w:rPr>
        <w:t>项目周边村屯</w:t>
      </w:r>
      <w:r>
        <w:rPr>
          <w:rFonts w:ascii="Times New Roman" w:hAnsi="Times New Roman" w:cs="Times New Roman" w:eastAsiaTheme="minorEastAsia"/>
          <w:color w:val="auto"/>
          <w:spacing w:val="-5"/>
          <w:w w:val="99"/>
          <w:kern w:val="2"/>
          <w:highlight w:val="none"/>
        </w:rPr>
        <w:t>声环境质量可以满足《声环境质量标准》</w:t>
      </w:r>
      <w:r>
        <w:rPr>
          <w:rFonts w:ascii="Times New Roman" w:hAnsi="Times New Roman" w:cs="Times New Roman" w:eastAsiaTheme="minorEastAsia"/>
          <w:color w:val="auto"/>
          <w:w w:val="99"/>
          <w:kern w:val="2"/>
          <w:highlight w:val="none"/>
        </w:rPr>
        <w:t>（GB3096-2008）1 类标准要求；本项目不排放废水，不会对周边地表水产生影响；本项目在采取措施不会对地下水及土壤环境产生影响，区域地下水质量可以满足《地下水质量标准》（GB/T14848-2017）III类标准，石油类可以满足《地表水环境质量标准》（GB3838-2002）表1中</w:t>
      </w:r>
      <w:r>
        <w:rPr>
          <w:rFonts w:ascii="Times New Roman" w:hAnsi="Times New Roman" w:cs="Times New Roman" w:eastAsiaTheme="minorEastAsia"/>
          <w:color w:val="auto"/>
          <w:w w:val="99"/>
          <w:kern w:val="2"/>
          <w:highlight w:val="none"/>
        </w:rPr>
        <w:fldChar w:fldCharType="begin"/>
      </w:r>
      <w:r>
        <w:rPr>
          <w:rFonts w:ascii="Times New Roman" w:hAnsi="Times New Roman" w:cs="Times New Roman" w:eastAsiaTheme="minorEastAsia"/>
          <w:color w:val="auto"/>
          <w:w w:val="99"/>
          <w:kern w:val="2"/>
          <w:highlight w:val="none"/>
        </w:rPr>
        <w:instrText xml:space="preserve"> = 3 \* ROMAN </w:instrText>
      </w:r>
      <w:r>
        <w:rPr>
          <w:rFonts w:ascii="Times New Roman" w:hAnsi="Times New Roman" w:cs="Times New Roman" w:eastAsiaTheme="minorEastAsia"/>
          <w:color w:val="auto"/>
          <w:w w:val="99"/>
          <w:kern w:val="2"/>
          <w:highlight w:val="none"/>
        </w:rPr>
        <w:fldChar w:fldCharType="separate"/>
      </w:r>
      <w:r>
        <w:rPr>
          <w:rFonts w:ascii="Times New Roman" w:hAnsi="Times New Roman" w:cs="Times New Roman" w:eastAsiaTheme="minorEastAsia"/>
          <w:color w:val="auto"/>
          <w:w w:val="99"/>
          <w:kern w:val="2"/>
          <w:highlight w:val="none"/>
        </w:rPr>
        <w:t>III</w:t>
      </w:r>
      <w:r>
        <w:rPr>
          <w:rFonts w:ascii="Times New Roman" w:hAnsi="Times New Roman" w:cs="Times New Roman" w:eastAsiaTheme="minorEastAsia"/>
          <w:color w:val="auto"/>
          <w:w w:val="99"/>
          <w:kern w:val="2"/>
          <w:highlight w:val="none"/>
        </w:rPr>
        <w:fldChar w:fldCharType="end"/>
      </w:r>
      <w:r>
        <w:rPr>
          <w:rFonts w:hint="eastAsia" w:ascii="Times New Roman" w:hAnsi="Times New Roman" w:cs="Times New Roman" w:eastAsiaTheme="minorEastAsia"/>
          <w:color w:val="auto"/>
          <w:w w:val="99"/>
          <w:kern w:val="2"/>
          <w:highlight w:val="none"/>
        </w:rPr>
        <w:t>类</w:t>
      </w:r>
      <w:r>
        <w:rPr>
          <w:rFonts w:ascii="Times New Roman" w:hAnsi="Times New Roman" w:cs="Times New Roman" w:eastAsiaTheme="minorEastAsia"/>
          <w:color w:val="auto"/>
          <w:w w:val="99"/>
          <w:kern w:val="2"/>
          <w:highlight w:val="none"/>
        </w:rPr>
        <w:t>标准限值要求；</w:t>
      </w:r>
      <w:r>
        <w:rPr>
          <w:rFonts w:ascii="Times New Roman" w:hAnsi="Times New Roman" w:cs="Times New Roman" w:eastAsiaTheme="minorEastAsia"/>
          <w:color w:val="auto"/>
          <w:w w:val="99"/>
          <w:highlight w:val="none"/>
        </w:rPr>
        <w:t>本项目永久占地内土壤可以满足《土壤环境质量 建设用地土壤污染风险管控标准（试行）》（GB36600-2018）中表1建设用地土壤污染风险筛选值（基本项目）中第二类用地筛选值标准，以及表2（其他项目）中第二类用地筛选值标准；评价范围内村屯土壤可以满足《土壤环境质量 建设用地土壤污染风险管控标准（试行）》（GB36600-2018）中表1建设用地土壤污染风险筛选值（基本项目）中第一类用地筛选值标准，以及表2（其他项目）中第一类用地筛选值标准；评价范围内耕地土壤可以满足《土壤环境质量 农用地土壤污染风险管控标准（试行）》（GB15618-2018）表1农用地土壤风险筛选值（基本项目）中标准</w:t>
      </w:r>
      <w:r>
        <w:rPr>
          <w:rFonts w:ascii="Times New Roman" w:hAnsi="Times New Roman" w:cs="Times New Roman" w:eastAsiaTheme="minorEastAsia"/>
          <w:color w:val="auto"/>
          <w:w w:val="99"/>
          <w:kern w:val="2"/>
          <w:highlight w:val="none"/>
        </w:rPr>
        <w:t>。因此本项目建设符合环境质量底线要求。</w:t>
      </w:r>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1.4.4.3资源利用上线</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本项目为油田钻井项目，在选址和布局上根据“地下决定地上，地下顾及地上”的原则，采用环境影响最小的布局方案，减少对土地的占用，消耗的水主要用于生活和钻井需要，由于施工期较短，且资源消耗均符合相关设计和标准要求，因此本项目建设符合资源利用上线要求。</w:t>
      </w:r>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1.4.4.4</w:t>
      </w:r>
      <w:r>
        <w:rPr>
          <w:rFonts w:hint="eastAsia" w:ascii="Times New Roman" w:hAnsi="Times New Roman" w:eastAsia="黑体"/>
          <w:b/>
          <w:color w:val="auto"/>
          <w:w w:val="99"/>
          <w:highlight w:val="none"/>
        </w:rPr>
        <w:t>生态环境准入清单</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生态环境准入清单是基于生态保护红线、环境质量底线和资源利用上线，以清单方式列出的禁止、限制等差别化环境准入条件和要求。要在规划环评清单式管理试点的基础上，从布局选址、资源利用效率、资源配置方式等方面入手，制定生态环境准入清单，充分发挥清单对产业发展和项目准入的指导和约束作用。</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根据《大庆市人民政府关于实施“三线一单”生态环境分区管控的意见》（庆政规〔2021〕3号），大庆市以环境管控单元为基础，结合“三线一单”划定情况，从空间布局约束、污染物排放管控、环境风险防控和资源利用效率等方面明确准入、限制和禁止的要求，建立“1+N”生态环境准入清单管控体系。“1”为全市生态环境分区管控意见，包括环境管控单元划定结果、生态环境管控基本要求；“N”为管控单元清单，体现管控单元的差异性、可操作性要求。本项目与生态环境准入清单管控体系符合性分析见表1.4-11。</w:t>
      </w:r>
    </w:p>
    <w:p>
      <w:pPr>
        <w:widowControl w:val="0"/>
        <w:spacing w:line="500" w:lineRule="exact"/>
        <w:ind w:firstLine="476" w:firstLineChars="200"/>
        <w:jc w:val="both"/>
        <w:rPr>
          <w:rFonts w:ascii="Times New Roman" w:hAnsi="Times New Roman" w:cs="Times New Roman" w:eastAsiaTheme="minorEastAsia"/>
          <w:b/>
          <w:bCs w:val="0"/>
          <w:color w:val="auto"/>
          <w:w w:val="99"/>
          <w:kern w:val="2"/>
          <w:szCs w:val="20"/>
          <w:highlight w:val="none"/>
        </w:rPr>
      </w:pPr>
      <w:r>
        <w:rPr>
          <w:rFonts w:ascii="Times New Roman" w:hAnsi="Times New Roman" w:cs="Times New Roman" w:eastAsiaTheme="minorEastAsia"/>
          <w:b/>
          <w:bCs w:val="0"/>
          <w:color w:val="auto"/>
          <w:w w:val="99"/>
          <w:szCs w:val="20"/>
          <w:highlight w:val="none"/>
        </w:rPr>
        <w:t>表1.4-1</w:t>
      </w:r>
      <w:r>
        <w:rPr>
          <w:rFonts w:hint="eastAsia" w:ascii="Times New Roman" w:hAnsi="Times New Roman" w:cs="Times New Roman" w:eastAsiaTheme="minorEastAsia"/>
          <w:b/>
          <w:bCs w:val="0"/>
          <w:color w:val="auto"/>
          <w:w w:val="99"/>
          <w:szCs w:val="20"/>
          <w:highlight w:val="none"/>
          <w:lang w:val="en-US" w:eastAsia="zh-CN"/>
        </w:rPr>
        <w:t>2</w:t>
      </w:r>
      <w:r>
        <w:rPr>
          <w:rFonts w:ascii="Times New Roman" w:hAnsi="Times New Roman" w:cs="Times New Roman" w:eastAsiaTheme="minorEastAsia"/>
          <w:b/>
          <w:bCs w:val="0"/>
          <w:color w:val="auto"/>
          <w:w w:val="99"/>
          <w:szCs w:val="20"/>
          <w:highlight w:val="none"/>
        </w:rPr>
        <w:t xml:space="preserve">    本项目与生态环境准入清单管控体系符合性分析</w:t>
      </w:r>
    </w:p>
    <w:tbl>
      <w:tblPr>
        <w:tblStyle w:val="82"/>
        <w:tblW w:w="4996"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729"/>
        <w:gridCol w:w="585"/>
        <w:gridCol w:w="466"/>
        <w:gridCol w:w="3598"/>
        <w:gridCol w:w="2478"/>
        <w:gridCol w:w="377"/>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936"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环境管控单元编码</w:t>
            </w:r>
          </w:p>
        </w:tc>
        <w:tc>
          <w:tcPr>
            <w:tcW w:w="317"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环境管控单元名称</w:t>
            </w:r>
          </w:p>
        </w:tc>
        <w:tc>
          <w:tcPr>
            <w:tcW w:w="2199" w:type="pct"/>
            <w:gridSpan w:val="2"/>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管控要求</w:t>
            </w:r>
          </w:p>
        </w:tc>
        <w:tc>
          <w:tcPr>
            <w:tcW w:w="1341"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符合性分析</w:t>
            </w:r>
          </w:p>
        </w:tc>
        <w:tc>
          <w:tcPr>
            <w:tcW w:w="204"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结论</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77" w:hRule="atLeast"/>
        </w:trPr>
        <w:tc>
          <w:tcPr>
            <w:tcW w:w="936"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ZH23062230001</w:t>
            </w:r>
          </w:p>
        </w:tc>
        <w:tc>
          <w:tcPr>
            <w:tcW w:w="317"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zh-CN"/>
              </w:rPr>
              <w:t>肇源县永久基本农田</w:t>
            </w:r>
          </w:p>
        </w:tc>
        <w:tc>
          <w:tcPr>
            <w:tcW w:w="252"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zh-CN"/>
              </w:rPr>
              <w:t>资源利用效率要求</w:t>
            </w:r>
          </w:p>
        </w:tc>
        <w:tc>
          <w:tcPr>
            <w:tcW w:w="1947" w:type="pct"/>
            <w:tcBorders>
              <w:tl2br w:val="nil"/>
              <w:tr2bl w:val="nil"/>
            </w:tcBorders>
            <w:tcMar>
              <w:top w:w="0" w:type="dxa"/>
              <w:left w:w="85" w:type="dxa"/>
              <w:bottom w:w="0" w:type="dxa"/>
              <w:right w:w="85" w:type="dxa"/>
            </w:tcMar>
            <w:vAlign w:val="center"/>
          </w:tcPr>
          <w:p>
            <w:pPr>
              <w:tabs>
                <w:tab w:val="left" w:pos="265"/>
              </w:tabs>
              <w:autoSpaceDE w:val="0"/>
              <w:autoSpaceDN w:val="0"/>
              <w:spacing w:before="1"/>
              <w:ind w:right="96"/>
              <w:rPr>
                <w:rFonts w:hint="eastAsia" w:eastAsia="仿宋_GB2312"/>
                <w:color w:val="auto"/>
                <w:spacing w:val="-3"/>
                <w:kern w:val="0"/>
                <w:szCs w:val="21"/>
                <w:highlight w:val="none"/>
                <w:lang w:val="zh-CN" w:bidi="zh-CN"/>
              </w:rPr>
            </w:pPr>
            <w:r>
              <w:rPr>
                <w:rFonts w:eastAsia="仿宋_GB2312"/>
                <w:color w:val="auto"/>
                <w:szCs w:val="21"/>
                <w:highlight w:val="none"/>
              </w:rPr>
              <w:t>位于优先保护单元和重点管控单元内永久基本农田也同时执行</w:t>
            </w:r>
            <w:r>
              <w:rPr>
                <w:rFonts w:hint="eastAsia" w:eastAsia="仿宋_GB2312"/>
                <w:color w:val="auto"/>
                <w:szCs w:val="21"/>
                <w:highlight w:val="none"/>
              </w:rPr>
              <w:t>以下</w:t>
            </w:r>
            <w:r>
              <w:rPr>
                <w:rFonts w:eastAsia="仿宋_GB2312"/>
                <w:color w:val="auto"/>
                <w:szCs w:val="21"/>
                <w:highlight w:val="none"/>
              </w:rPr>
              <w:t>要求</w:t>
            </w:r>
            <w:r>
              <w:rPr>
                <w:rFonts w:hint="eastAsia" w:eastAsia="仿宋_GB2312"/>
                <w:color w:val="auto"/>
                <w:szCs w:val="21"/>
                <w:highlight w:val="none"/>
              </w:rPr>
              <w:t>：</w:t>
            </w:r>
          </w:p>
          <w:p>
            <w:pPr>
              <w:tabs>
                <w:tab w:val="left" w:pos="265"/>
              </w:tabs>
              <w:autoSpaceDE w:val="0"/>
              <w:autoSpaceDN w:val="0"/>
              <w:spacing w:before="1"/>
              <w:ind w:right="96"/>
              <w:rPr>
                <w:rFonts w:eastAsia="仿宋_GB2312"/>
                <w:color w:val="auto"/>
                <w:spacing w:val="-3"/>
                <w:kern w:val="0"/>
                <w:szCs w:val="21"/>
                <w:highlight w:val="none"/>
                <w:lang w:val="zh-CN" w:bidi="zh-CN"/>
              </w:rPr>
            </w:pPr>
            <w:r>
              <w:rPr>
                <w:rFonts w:eastAsia="仿宋_GB2312"/>
                <w:color w:val="auto"/>
                <w:spacing w:val="-3"/>
                <w:kern w:val="0"/>
                <w:szCs w:val="21"/>
                <w:highlight w:val="none"/>
                <w:lang w:val="zh-CN" w:bidi="zh-CN"/>
              </w:rPr>
              <w:t>1.永久基本农田一经划定，任何单位和个人不得擅自占用或改变用途。一般建设项目不得占用永久基本农田。</w:t>
            </w:r>
          </w:p>
          <w:p>
            <w:pPr>
              <w:tabs>
                <w:tab w:val="left" w:pos="265"/>
              </w:tabs>
              <w:autoSpaceDE w:val="0"/>
              <w:autoSpaceDN w:val="0"/>
              <w:spacing w:before="1"/>
              <w:ind w:right="96"/>
              <w:rPr>
                <w:rFonts w:eastAsia="仿宋_GB2312"/>
                <w:color w:val="auto"/>
                <w:spacing w:val="-3"/>
                <w:kern w:val="0"/>
                <w:szCs w:val="21"/>
                <w:highlight w:val="none"/>
                <w:lang w:val="zh-CN" w:bidi="zh-CN"/>
              </w:rPr>
            </w:pPr>
            <w:r>
              <w:rPr>
                <w:rFonts w:eastAsia="仿宋_GB2312"/>
                <w:color w:val="auto"/>
                <w:spacing w:val="-3"/>
                <w:kern w:val="0"/>
                <w:szCs w:val="21"/>
                <w:highlight w:val="none"/>
                <w:lang w:val="zh-CN" w:bidi="zh-CN"/>
              </w:rPr>
              <w:t>2.在永久基本农田集中区域，不得新建可能造成土壤污染的建设项目；已经建成的，应当限期关闭拆除。</w:t>
            </w:r>
          </w:p>
          <w:p>
            <w:pPr>
              <w:tabs>
                <w:tab w:val="left" w:pos="265"/>
              </w:tabs>
              <w:autoSpaceDE w:val="0"/>
              <w:autoSpaceDN w:val="0"/>
              <w:spacing w:before="1"/>
              <w:ind w:right="96"/>
              <w:rPr>
                <w:rFonts w:eastAsia="仿宋_GB2312"/>
                <w:color w:val="auto"/>
                <w:spacing w:val="-3"/>
                <w:kern w:val="0"/>
                <w:szCs w:val="21"/>
                <w:highlight w:val="none"/>
                <w:lang w:val="zh-CN" w:bidi="zh-CN"/>
              </w:rPr>
            </w:pPr>
            <w:r>
              <w:rPr>
                <w:rFonts w:eastAsia="仿宋_GB2312"/>
                <w:color w:val="auto"/>
                <w:spacing w:val="-3"/>
                <w:kern w:val="0"/>
                <w:szCs w:val="21"/>
                <w:highlight w:val="none"/>
                <w:lang w:val="zh-CN" w:bidi="zh-CN"/>
              </w:rPr>
              <w:t>3.禁止任何单位和个人在基本农田保护区内建窑、建房、建坟、挖砂、采石、采矿、取土、堆放固体废弃物或者进行其他破坏基本农田的活动。</w:t>
            </w:r>
          </w:p>
          <w:p>
            <w:pPr>
              <w:tabs>
                <w:tab w:val="left" w:pos="265"/>
              </w:tabs>
              <w:autoSpaceDE w:val="0"/>
              <w:autoSpaceDN w:val="0"/>
              <w:spacing w:before="1"/>
              <w:ind w:right="96"/>
              <w:rPr>
                <w:rFonts w:eastAsia="仿宋_GB2312"/>
                <w:color w:val="auto"/>
                <w:spacing w:val="-3"/>
                <w:kern w:val="0"/>
                <w:szCs w:val="21"/>
                <w:highlight w:val="none"/>
                <w:lang w:val="zh-CN" w:bidi="zh-CN"/>
              </w:rPr>
            </w:pPr>
            <w:r>
              <w:rPr>
                <w:rFonts w:eastAsia="仿宋_GB2312"/>
                <w:color w:val="auto"/>
                <w:spacing w:val="-3"/>
                <w:kern w:val="0"/>
                <w:szCs w:val="21"/>
                <w:highlight w:val="none"/>
                <w:lang w:val="zh-CN" w:bidi="zh-CN"/>
              </w:rPr>
              <w:t>4.禁止任何单位和个人占用基本农田发展林果业和挖塘养鱼。</w:t>
            </w:r>
          </w:p>
          <w:p>
            <w:pPr>
              <w:tabs>
                <w:tab w:val="left" w:pos="265"/>
              </w:tabs>
              <w:autoSpaceDE w:val="0"/>
              <w:autoSpaceDN w:val="0"/>
              <w:spacing w:before="1"/>
              <w:ind w:right="96"/>
              <w:rPr>
                <w:rFonts w:eastAsia="仿宋_GB2312"/>
                <w:color w:val="auto"/>
                <w:spacing w:val="-3"/>
                <w:kern w:val="0"/>
                <w:szCs w:val="21"/>
                <w:highlight w:val="none"/>
                <w:lang w:val="zh-CN" w:bidi="zh-CN"/>
              </w:rPr>
            </w:pPr>
            <w:r>
              <w:rPr>
                <w:rFonts w:eastAsia="仿宋_GB2312"/>
                <w:color w:val="auto"/>
                <w:spacing w:val="-3"/>
                <w:kern w:val="0"/>
                <w:szCs w:val="21"/>
                <w:highlight w:val="none"/>
                <w:lang w:val="zh-CN" w:bidi="zh-CN"/>
              </w:rPr>
              <w:t>5.</w:t>
            </w:r>
            <w:r>
              <w:rPr>
                <w:rFonts w:eastAsia="仿宋_GB2312"/>
                <w:color w:val="auto"/>
                <w:spacing w:val="-3"/>
                <w:kern w:val="0"/>
                <w:szCs w:val="21"/>
                <w:highlight w:val="none"/>
                <w:lang w:bidi="zh-CN"/>
              </w:rPr>
              <w:t>永久基本农田内不得种植破坏耕作层难以恢复的</w:t>
            </w:r>
            <w:r>
              <w:rPr>
                <w:rFonts w:eastAsia="仿宋_GB2312"/>
                <w:color w:val="auto"/>
                <w:spacing w:val="-3"/>
                <w:kern w:val="0"/>
                <w:szCs w:val="21"/>
                <w:highlight w:val="none"/>
                <w:lang w:val="zh-CN" w:bidi="zh-CN"/>
              </w:rPr>
              <w:t>杨树、桉树、构树等林木，不得种植草坪、草皮等用于绿化装饰的植物，不得种植其他破坏耕作层的植物。</w:t>
            </w:r>
          </w:p>
          <w:p>
            <w:pPr>
              <w:tabs>
                <w:tab w:val="left" w:pos="265"/>
              </w:tabs>
              <w:autoSpaceDE w:val="0"/>
              <w:autoSpaceDN w:val="0"/>
              <w:spacing w:before="1"/>
              <w:ind w:right="96"/>
              <w:rPr>
                <w:rFonts w:eastAsia="仿宋_GB2312"/>
                <w:color w:val="auto"/>
                <w:spacing w:val="-3"/>
                <w:kern w:val="0"/>
                <w:szCs w:val="21"/>
                <w:highlight w:val="none"/>
                <w:lang w:val="zh-CN" w:bidi="zh-CN"/>
              </w:rPr>
            </w:pPr>
            <w:r>
              <w:rPr>
                <w:rFonts w:eastAsia="仿宋_GB2312"/>
                <w:color w:val="auto"/>
                <w:spacing w:val="-3"/>
                <w:kern w:val="0"/>
                <w:szCs w:val="21"/>
                <w:highlight w:val="none"/>
                <w:lang w:val="zh-CN" w:bidi="zh-CN"/>
              </w:rPr>
              <w:t>6.禁止任何单位和个人破坏永久基本农田耕作层。</w:t>
            </w:r>
          </w:p>
          <w:p>
            <w:pPr>
              <w:tabs>
                <w:tab w:val="left" w:pos="265"/>
              </w:tabs>
              <w:autoSpaceDE w:val="0"/>
              <w:autoSpaceDN w:val="0"/>
              <w:spacing w:before="1"/>
              <w:ind w:right="96"/>
              <w:rPr>
                <w:rFonts w:eastAsia="仿宋_GB2312"/>
                <w:color w:val="auto"/>
                <w:spacing w:val="-3"/>
                <w:kern w:val="0"/>
                <w:szCs w:val="21"/>
                <w:highlight w:val="none"/>
                <w:lang w:val="zh-CN" w:bidi="zh-CN"/>
              </w:rPr>
            </w:pPr>
            <w:r>
              <w:rPr>
                <w:rFonts w:eastAsia="仿宋_GB2312"/>
                <w:color w:val="auto"/>
                <w:spacing w:val="-3"/>
                <w:kern w:val="0"/>
                <w:szCs w:val="21"/>
                <w:highlight w:val="none"/>
                <w:lang w:val="zh-CN" w:bidi="zh-CN"/>
              </w:rPr>
              <w:t>7.禁止以设施农用地为名违规占用永久基本农田建设休闲旅游、仓储厂房等设施。</w:t>
            </w:r>
          </w:p>
          <w:p>
            <w:pPr>
              <w:tabs>
                <w:tab w:val="left" w:pos="265"/>
              </w:tabs>
              <w:autoSpaceDE w:val="0"/>
              <w:autoSpaceDN w:val="0"/>
              <w:spacing w:before="1"/>
              <w:ind w:right="96"/>
              <w:rPr>
                <w:rFonts w:eastAsia="仿宋_GB2312"/>
                <w:color w:val="auto"/>
                <w:spacing w:val="-3"/>
                <w:kern w:val="0"/>
                <w:szCs w:val="21"/>
                <w:highlight w:val="none"/>
                <w:lang w:val="zh-CN" w:bidi="zh-CN"/>
              </w:rPr>
            </w:pPr>
            <w:r>
              <w:rPr>
                <w:rFonts w:eastAsia="仿宋_GB2312"/>
                <w:color w:val="auto"/>
                <w:spacing w:val="-3"/>
                <w:kern w:val="0"/>
                <w:szCs w:val="21"/>
                <w:highlight w:val="none"/>
                <w:lang w:val="zh-CN" w:bidi="zh-CN"/>
              </w:rPr>
              <w:t>8.禁止向农用地排放重金属或者其他有毒有害物质含量超标的污水、污泥，以及可能造成土壤污染的清淤底泥、尾矿、矿渣等。</w:t>
            </w:r>
          </w:p>
          <w:p>
            <w:pPr>
              <w:spacing w:line="360" w:lineRule="exact"/>
              <w:jc w:val="both"/>
              <w:rPr>
                <w:rFonts w:ascii="Times New Roman" w:hAnsi="Times New Roman" w:cs="Times New Roman" w:eastAsiaTheme="minorEastAsia"/>
                <w:color w:val="auto"/>
                <w:w w:val="99"/>
                <w:sz w:val="21"/>
                <w:szCs w:val="21"/>
                <w:highlight w:val="none"/>
              </w:rPr>
            </w:pPr>
            <w:r>
              <w:rPr>
                <w:rFonts w:eastAsia="仿宋_GB2312"/>
                <w:color w:val="auto"/>
                <w:spacing w:val="-3"/>
                <w:kern w:val="0"/>
                <w:szCs w:val="21"/>
                <w:highlight w:val="none"/>
                <w:lang w:bidi="zh-CN"/>
              </w:rPr>
              <w:t>9</w:t>
            </w:r>
            <w:r>
              <w:rPr>
                <w:rFonts w:eastAsia="仿宋_GB2312"/>
                <w:color w:val="auto"/>
                <w:spacing w:val="-3"/>
                <w:kern w:val="0"/>
                <w:szCs w:val="21"/>
                <w:highlight w:val="none"/>
                <w:lang w:val="zh-CN" w:bidi="zh-CN"/>
              </w:rPr>
              <w:t>.法律、法规禁止的其他行为。</w:t>
            </w:r>
          </w:p>
        </w:tc>
        <w:tc>
          <w:tcPr>
            <w:tcW w:w="1341"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 xml:space="preserve">根据《大庆市土地利用总体规划（2006~2020 年）》“第四节-二、油田用地布局”提高油田集约用地水平，对外围新增油田用地区按照地上服从地下的原则做好油田生产用地安排。 </w:t>
            </w:r>
          </w:p>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本项目属于国家能源设施重点建设项目，根据本项目与大庆市土地利用总体规划的相对位置关系，所占土地现状为耕地（</w:t>
            </w:r>
            <w:r>
              <w:rPr>
                <w:rFonts w:hint="eastAsia" w:ascii="Times New Roman" w:hAnsi="Times New Roman" w:cs="Times New Roman" w:eastAsiaTheme="minorEastAsia"/>
                <w:color w:val="auto"/>
                <w:w w:val="99"/>
                <w:sz w:val="21"/>
                <w:szCs w:val="21"/>
                <w:highlight w:val="none"/>
                <w:lang w:eastAsia="zh-CN"/>
              </w:rPr>
              <w:t>非</w:t>
            </w:r>
            <w:r>
              <w:rPr>
                <w:rFonts w:ascii="Times New Roman" w:hAnsi="Times New Roman" w:cs="Times New Roman" w:eastAsiaTheme="minorEastAsia"/>
                <w:color w:val="auto"/>
                <w:w w:val="99"/>
                <w:sz w:val="21"/>
                <w:szCs w:val="21"/>
                <w:highlight w:val="none"/>
              </w:rPr>
              <w:t>基本农田</w:t>
            </w:r>
            <w:r>
              <w:rPr>
                <w:rFonts w:hint="eastAsia" w:ascii="Times New Roman" w:hAnsi="Times New Roman" w:cs="Times New Roman" w:eastAsiaTheme="minorEastAsia"/>
                <w:color w:val="auto"/>
                <w:w w:val="99"/>
                <w:sz w:val="21"/>
                <w:szCs w:val="21"/>
                <w:highlight w:val="none"/>
                <w:lang w:eastAsia="zh-CN"/>
              </w:rPr>
              <w:t>、少量永久基本农田</w:t>
            </w:r>
            <w:r>
              <w:rPr>
                <w:rFonts w:ascii="Times New Roman" w:hAnsi="Times New Roman" w:cs="Times New Roman" w:eastAsiaTheme="minorEastAsia"/>
                <w:color w:val="auto"/>
                <w:w w:val="99"/>
                <w:sz w:val="21"/>
                <w:szCs w:val="21"/>
                <w:highlight w:val="none"/>
              </w:rPr>
              <w:t xml:space="preserve">），根据油层地址勘查及试采结果，项目选址无法避让基本农田，根据《基本农田保护条例》（2011.1.8 修订），国家能源、交通、水利、军事设施等重点建设项目选址确实无法避开基本农田保护区，需要占用基本农田，涉及农用地转用或者征收土地的，应报请相关主管部门同意，并补充划入数量和质量相当的基本农田或按规定缴纳耕地开垦费，专款用于开垦新的耕地，本项目需取得用地审批，且占补要求满足《基本农田保护条例》等法律法规要求的“占一补一，质量相等”；项目建设符合其油田用地布局“地上服从地下原则”，采用占地面积最小、环境影响最小的布局方案。 </w:t>
            </w:r>
          </w:p>
        </w:tc>
        <w:tc>
          <w:tcPr>
            <w:tcW w:w="204"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00" w:hRule="atLeast"/>
        </w:trPr>
        <w:tc>
          <w:tcPr>
            <w:tcW w:w="936"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lang w:val="zh-CN"/>
              </w:rPr>
            </w:pPr>
            <w:r>
              <w:rPr>
                <w:rFonts w:ascii="Times New Roman" w:hAnsi="Times New Roman" w:cs="Times New Roman" w:eastAsiaTheme="minorEastAsia"/>
                <w:color w:val="auto"/>
                <w:w w:val="99"/>
                <w:sz w:val="21"/>
                <w:szCs w:val="21"/>
                <w:highlight w:val="none"/>
              </w:rPr>
              <w:t>ZH23062230002</w:t>
            </w:r>
          </w:p>
        </w:tc>
        <w:tc>
          <w:tcPr>
            <w:tcW w:w="317"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lang w:val="zh-CN"/>
              </w:rPr>
            </w:pPr>
            <w:r>
              <w:rPr>
                <w:rFonts w:ascii="Times New Roman" w:hAnsi="Times New Roman" w:cs="Times New Roman" w:eastAsiaTheme="minorEastAsia"/>
                <w:color w:val="auto"/>
                <w:w w:val="99"/>
                <w:sz w:val="21"/>
                <w:szCs w:val="21"/>
                <w:highlight w:val="none"/>
              </w:rPr>
              <w:t>其他区域</w:t>
            </w:r>
          </w:p>
        </w:tc>
        <w:tc>
          <w:tcPr>
            <w:tcW w:w="252"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lang w:val="zh-CN"/>
              </w:rPr>
            </w:pPr>
            <w:r>
              <w:rPr>
                <w:rFonts w:ascii="Times New Roman" w:hAnsi="Times New Roman" w:cs="Times New Roman" w:eastAsiaTheme="minorEastAsia"/>
                <w:color w:val="auto"/>
                <w:w w:val="99"/>
                <w:sz w:val="21"/>
                <w:szCs w:val="21"/>
                <w:highlight w:val="none"/>
              </w:rPr>
              <w:t>空间布局约束</w:t>
            </w:r>
          </w:p>
        </w:tc>
        <w:tc>
          <w:tcPr>
            <w:tcW w:w="1947" w:type="pct"/>
            <w:tcBorders>
              <w:tl2br w:val="nil"/>
              <w:tr2bl w:val="nil"/>
            </w:tcBorders>
            <w:tcMar>
              <w:top w:w="0" w:type="dxa"/>
              <w:left w:w="85" w:type="dxa"/>
              <w:bottom w:w="0" w:type="dxa"/>
              <w:right w:w="85" w:type="dxa"/>
            </w:tcMar>
            <w:vAlign w:val="center"/>
          </w:tcPr>
          <w:p>
            <w:pPr>
              <w:rPr>
                <w:rFonts w:eastAsia="仿宋_GB2312"/>
                <w:color w:val="auto"/>
                <w:spacing w:val="-3"/>
                <w:kern w:val="0"/>
                <w:szCs w:val="21"/>
                <w:highlight w:val="none"/>
                <w:lang w:val="zh-CN" w:bidi="zh-CN"/>
              </w:rPr>
            </w:pPr>
            <w:r>
              <w:rPr>
                <w:rFonts w:hint="eastAsia" w:eastAsia="仿宋_GB2312"/>
                <w:color w:val="auto"/>
                <w:spacing w:val="-3"/>
                <w:kern w:val="0"/>
                <w:szCs w:val="21"/>
                <w:highlight w:val="none"/>
                <w:lang w:bidi="zh-CN"/>
              </w:rPr>
              <w:t>1.</w:t>
            </w:r>
            <w:r>
              <w:rPr>
                <w:rFonts w:eastAsia="仿宋_GB2312"/>
                <w:color w:val="auto"/>
                <w:spacing w:val="-3"/>
                <w:kern w:val="0"/>
                <w:szCs w:val="21"/>
                <w:highlight w:val="none"/>
                <w:lang w:val="zh-CN" w:bidi="zh-CN"/>
              </w:rPr>
              <w:t>贯彻实施国家与黑龙江省大气、水污染相关各项标准，深化重点行业污染治理，推进国家和地方确定的各项产业结构调整措施；引导工业项目向园区集聚；严禁钢铁、水泥、电解铝等产能严重过剩行业扩能；重点对电力、钢铁、建材、有色、化工、石油石化、煤炭、印染等行业中，环保、能耗等不达标或生产、使用淘汰类产品的企业和产能，依法依规改造升级或有序退出。</w:t>
            </w:r>
          </w:p>
          <w:p>
            <w:pPr>
              <w:adjustRightInd w:val="0"/>
              <w:snapToGrid w:val="0"/>
              <w:spacing w:line="280" w:lineRule="atLeast"/>
              <w:rPr>
                <w:rFonts w:eastAsia="仿宋_GB2312"/>
                <w:color w:val="auto"/>
                <w:szCs w:val="21"/>
                <w:highlight w:val="none"/>
                <w:lang w:bidi="zh-CN"/>
              </w:rPr>
            </w:pPr>
            <w:r>
              <w:rPr>
                <w:rFonts w:eastAsia="仿宋_GB2312"/>
                <w:color w:val="auto"/>
                <w:szCs w:val="21"/>
                <w:highlight w:val="none"/>
                <w:lang w:bidi="zh-CN"/>
              </w:rPr>
              <w:t>2.建设用地污染风险管控区同时执行</w:t>
            </w:r>
            <w:r>
              <w:rPr>
                <w:rFonts w:hint="eastAsia" w:eastAsia="仿宋_GB2312"/>
                <w:color w:val="auto"/>
                <w:szCs w:val="21"/>
                <w:highlight w:val="none"/>
                <w:lang w:bidi="zh-CN"/>
              </w:rPr>
              <w:t>以下要求：</w:t>
            </w:r>
          </w:p>
          <w:p>
            <w:pPr>
              <w:adjustRightInd w:val="0"/>
              <w:snapToGrid w:val="0"/>
              <w:spacing w:line="280" w:lineRule="atLeast"/>
              <w:rPr>
                <w:rFonts w:eastAsia="仿宋_GB2312"/>
                <w:bCs/>
                <w:color w:val="auto"/>
                <w:szCs w:val="21"/>
                <w:highlight w:val="none"/>
                <w:lang w:val="zh-CN"/>
              </w:rPr>
            </w:pPr>
            <w:r>
              <w:rPr>
                <w:rFonts w:hint="eastAsia" w:eastAsia="仿宋_GB2312"/>
                <w:bCs/>
                <w:color w:val="auto"/>
                <w:szCs w:val="21"/>
                <w:highlight w:val="none"/>
              </w:rPr>
              <w:t>（</w:t>
            </w:r>
            <w:r>
              <w:rPr>
                <w:rFonts w:eastAsia="仿宋_GB2312"/>
                <w:bCs/>
                <w:color w:val="auto"/>
                <w:szCs w:val="21"/>
                <w:highlight w:val="none"/>
              </w:rPr>
              <w:t>1</w:t>
            </w:r>
            <w:r>
              <w:rPr>
                <w:rFonts w:hint="eastAsia" w:eastAsia="仿宋_GB2312"/>
                <w:bCs/>
                <w:color w:val="auto"/>
                <w:szCs w:val="21"/>
                <w:highlight w:val="none"/>
              </w:rPr>
              <w:t>）</w:t>
            </w:r>
            <w:r>
              <w:rPr>
                <w:rFonts w:eastAsia="仿宋_GB2312"/>
                <w:bCs/>
                <w:color w:val="auto"/>
                <w:szCs w:val="21"/>
                <w:highlight w:val="none"/>
                <w:lang w:val="zh-CN"/>
              </w:rPr>
              <w:t>污染地块未经治理与修复，或者经治理与修复但未达到相关规划用地土壤环境质量要求的，有关生态环境主管部门不予批准选址涉及该污染地块的建设项目环影响报告书或者报告表。</w:t>
            </w:r>
          </w:p>
          <w:p>
            <w:pPr>
              <w:spacing w:line="360" w:lineRule="exact"/>
              <w:jc w:val="both"/>
              <w:rPr>
                <w:rFonts w:hint="eastAsia" w:ascii="Times New Roman" w:hAnsi="Times New Roman" w:eastAsia="仿宋_GB2312" w:cs="Times New Roman"/>
                <w:color w:val="auto"/>
                <w:w w:val="99"/>
                <w:sz w:val="21"/>
                <w:szCs w:val="21"/>
                <w:highlight w:val="none"/>
                <w:lang w:val="en-US" w:eastAsia="zh-CN"/>
              </w:rPr>
            </w:pPr>
            <w:r>
              <w:rPr>
                <w:rFonts w:hint="eastAsia" w:eastAsia="仿宋_GB2312"/>
                <w:bCs/>
                <w:color w:val="auto"/>
                <w:szCs w:val="21"/>
                <w:highlight w:val="none"/>
              </w:rPr>
              <w:t>（</w:t>
            </w:r>
            <w:r>
              <w:rPr>
                <w:rFonts w:eastAsia="仿宋_GB2312"/>
                <w:bCs/>
                <w:color w:val="auto"/>
                <w:szCs w:val="21"/>
                <w:highlight w:val="none"/>
              </w:rPr>
              <w:t>2</w:t>
            </w:r>
            <w:r>
              <w:rPr>
                <w:rFonts w:hint="eastAsia" w:eastAsia="仿宋_GB2312"/>
                <w:bCs/>
                <w:color w:val="auto"/>
                <w:szCs w:val="21"/>
                <w:highlight w:val="none"/>
              </w:rPr>
              <w:t>）</w:t>
            </w:r>
            <w:r>
              <w:rPr>
                <w:rFonts w:eastAsia="仿宋_GB2312"/>
                <w:bCs/>
                <w:color w:val="auto"/>
                <w:szCs w:val="21"/>
                <w:highlight w:val="none"/>
                <w:lang w:val="zh-CN"/>
              </w:rPr>
              <w:t>列入建设用地土壤污染风险管控和修复名录的地块，不得作为住宅、公共管理与公共服务用地。对达到土壤污染风险评估报告确定的风险管控、修复目标的建设用地地块，土壤污染责任人、土地使用权人可以申请省级人民政府生态环境主管部门移出建设</w:t>
            </w:r>
            <w:r>
              <w:rPr>
                <w:rFonts w:hint="eastAsia" w:eastAsia="仿宋_GB2312"/>
                <w:bCs/>
                <w:color w:val="auto"/>
                <w:szCs w:val="21"/>
                <w:highlight w:val="none"/>
                <w:lang w:val="zh-CN"/>
              </w:rPr>
              <w:t>。</w:t>
            </w:r>
          </w:p>
        </w:tc>
        <w:tc>
          <w:tcPr>
            <w:tcW w:w="1341"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本次井位位于黑龙江省肇源县境内，属于全省准入要求中划定的一般管控单元，且本次油田开发区块建设项目不属于钢铁、水泥、电解铝等产能严重过剩行业扩能；不存在环保、能耗等不达标或生产、使用淘汰类产品的企业和产能项目。油田区块开发符合全省“以生态环境保护与适度开发相结合为主，落实生态环境管控相关要求，重点加强农业、生活等领域污染治理”的分区管控要求。</w:t>
            </w:r>
          </w:p>
        </w:tc>
        <w:tc>
          <w:tcPr>
            <w:tcW w:w="204"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w:t>
            </w:r>
          </w:p>
        </w:tc>
      </w:tr>
    </w:tbl>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根据上表分析，本项目符合《大庆市人民政府关于实施“三线一单”生态环境分区管控的意见》（庆政规〔2021〕3号）中生态环境准入清单要求，本项目为环境准入允许类别。</w:t>
      </w:r>
    </w:p>
    <w:p>
      <w:pPr>
        <w:pStyle w:val="7"/>
        <w:keepNext w:val="0"/>
        <w:keepLines w:val="0"/>
        <w:widowControl w:val="0"/>
        <w:jc w:val="both"/>
        <w:rPr>
          <w:b/>
          <w:color w:val="auto"/>
          <w:w w:val="99"/>
          <w:kern w:val="2"/>
          <w:sz w:val="24"/>
          <w:szCs w:val="24"/>
          <w:highlight w:val="none"/>
        </w:rPr>
      </w:pPr>
      <w:bookmarkStart w:id="82" w:name="_Toc80105100"/>
      <w:bookmarkStart w:id="83" w:name="_Toc77667244"/>
      <w:bookmarkStart w:id="84" w:name="_Toc67523549"/>
      <w:bookmarkStart w:id="85" w:name="_Toc71371900"/>
      <w:bookmarkStart w:id="86" w:name="_Toc74812271"/>
      <w:bookmarkStart w:id="87" w:name="_Toc69690767"/>
      <w:bookmarkStart w:id="88" w:name="_Toc61597177"/>
      <w:bookmarkStart w:id="89" w:name="_Toc57976632"/>
      <w:bookmarkStart w:id="90" w:name="_Toc57707877"/>
      <w:bookmarkStart w:id="91" w:name="_Toc57203207"/>
      <w:r>
        <w:rPr>
          <w:b/>
          <w:color w:val="auto"/>
          <w:w w:val="99"/>
          <w:kern w:val="2"/>
          <w:sz w:val="24"/>
          <w:szCs w:val="24"/>
          <w:highlight w:val="none"/>
        </w:rPr>
        <w:t>1.4.6选址合理性分析</w:t>
      </w:r>
      <w:bookmarkEnd w:id="82"/>
      <w:bookmarkEnd w:id="83"/>
      <w:bookmarkEnd w:id="84"/>
      <w:bookmarkEnd w:id="85"/>
      <w:bookmarkEnd w:id="86"/>
      <w:bookmarkEnd w:id="87"/>
      <w:bookmarkEnd w:id="88"/>
      <w:bookmarkEnd w:id="89"/>
      <w:bookmarkEnd w:id="90"/>
      <w:bookmarkEnd w:id="91"/>
    </w:p>
    <w:p>
      <w:pPr>
        <w:pStyle w:val="107"/>
        <w:spacing w:line="500" w:lineRule="exact"/>
        <w:jc w:val="both"/>
        <w:rPr>
          <w:rFonts w:ascii="Times New Roman" w:hAnsi="Times New Roman" w:cs="Times New Roman" w:eastAsiaTheme="minorEastAsia"/>
          <w:bCs/>
          <w:color w:val="auto"/>
          <w:w w:val="99"/>
          <w:highlight w:val="none"/>
        </w:rPr>
      </w:pPr>
      <w:r>
        <w:rPr>
          <w:rFonts w:ascii="Times New Roman" w:hAnsi="Times New Roman" w:cs="Times New Roman" w:eastAsiaTheme="minorEastAsia"/>
          <w:bCs/>
          <w:color w:val="auto"/>
          <w:w w:val="99"/>
          <w:highlight w:val="none"/>
        </w:rPr>
        <w:t>本项目位于</w:t>
      </w:r>
      <w:r>
        <w:rPr>
          <w:rFonts w:hint="eastAsia" w:ascii="Times New Roman" w:hAnsi="Times New Roman" w:cs="Times New Roman" w:eastAsiaTheme="minorEastAsia"/>
          <w:bCs/>
          <w:color w:val="auto"/>
          <w:w w:val="99"/>
          <w:highlight w:val="none"/>
        </w:rPr>
        <w:t>大庆市</w:t>
      </w:r>
      <w:r>
        <w:rPr>
          <w:rFonts w:hint="eastAsia" w:ascii="Times New Roman" w:hAnsi="Times New Roman" w:cs="Times New Roman" w:eastAsiaTheme="minorEastAsia"/>
          <w:bCs/>
          <w:color w:val="auto"/>
          <w:w w:val="99"/>
          <w:highlight w:val="none"/>
          <w:lang w:eastAsia="zh-CN"/>
        </w:rPr>
        <w:t>肇源县</w:t>
      </w:r>
      <w:r>
        <w:rPr>
          <w:rFonts w:ascii="Times New Roman" w:hAnsi="Times New Roman" w:cs="Times New Roman" w:eastAsiaTheme="minorEastAsia"/>
          <w:bCs/>
          <w:color w:val="auto"/>
          <w:w w:val="99"/>
          <w:highlight w:val="none"/>
        </w:rPr>
        <w:t>。</w:t>
      </w:r>
      <w:r>
        <w:rPr>
          <w:rFonts w:hint="eastAsia" w:ascii="Times New Roman" w:hAnsi="Times New Roman" w:cs="Times New Roman" w:eastAsiaTheme="minorEastAsia"/>
          <w:bCs/>
          <w:color w:val="auto"/>
          <w:w w:val="99"/>
          <w:highlight w:val="none"/>
        </w:rPr>
        <w:t>占地范围内无国家公园、自然保护区、风景名胜区、世界文化和自然遗产地、海洋特别保护区、饮用水源保护区、基本草原、自然公园（森林公园、地质公园、海洋公园等）、重要湿地、天然林、生态红线管控范围、重点保护野生动物栖息地，重点保护野生植物生长繁殖地，重要水生生物的自然产卵场、索饵场、越冬场和洄游通道，天然渔场、沙化土地封禁保护区、封闭及半封闭海域等重要保护目标。施工区域周围敏感点主要为村屯、耕地（</w:t>
      </w:r>
      <w:r>
        <w:rPr>
          <w:rFonts w:hint="eastAsia" w:ascii="Times New Roman" w:hAnsi="Times New Roman" w:cs="Times New Roman" w:eastAsiaTheme="minorEastAsia"/>
          <w:bCs/>
          <w:color w:val="auto"/>
          <w:w w:val="99"/>
          <w:highlight w:val="none"/>
          <w:lang w:eastAsia="zh-CN"/>
        </w:rPr>
        <w:t>非</w:t>
      </w:r>
      <w:r>
        <w:rPr>
          <w:rFonts w:hint="eastAsia" w:ascii="Times New Roman" w:hAnsi="Times New Roman" w:cs="Times New Roman" w:eastAsiaTheme="minorEastAsia"/>
          <w:bCs/>
          <w:color w:val="auto"/>
          <w:w w:val="99"/>
          <w:highlight w:val="none"/>
        </w:rPr>
        <w:t>基本农田</w:t>
      </w:r>
      <w:r>
        <w:rPr>
          <w:rFonts w:hint="eastAsia" w:ascii="Times New Roman" w:hAnsi="Times New Roman" w:cs="Times New Roman" w:eastAsiaTheme="minorEastAsia"/>
          <w:bCs/>
          <w:color w:val="auto"/>
          <w:w w:val="99"/>
          <w:highlight w:val="none"/>
          <w:lang w:eastAsia="zh-CN"/>
        </w:rPr>
        <w:t>、少量永久基本农田</w:t>
      </w:r>
      <w:r>
        <w:rPr>
          <w:rFonts w:hint="eastAsia" w:ascii="Times New Roman" w:hAnsi="Times New Roman" w:cs="Times New Roman" w:eastAsiaTheme="minorEastAsia"/>
          <w:bCs/>
          <w:color w:val="auto"/>
          <w:w w:val="99"/>
          <w:highlight w:val="none"/>
        </w:rPr>
        <w:t>），对占用的耕地，应当按照省的规定缴纳耕地开垦费，专款用于开垦新的耕地，耕地恢复由当地政府负责开垦相应数量的耕地，进行耕地保护。</w:t>
      </w:r>
    </w:p>
    <w:p>
      <w:pPr>
        <w:pStyle w:val="107"/>
        <w:widowControl w:val="0"/>
        <w:spacing w:line="500" w:lineRule="exact"/>
        <w:jc w:val="both"/>
        <w:rPr>
          <w:rFonts w:ascii="Times New Roman" w:hAnsi="Times New Roman" w:cs="Times New Roman" w:eastAsiaTheme="minorEastAsia"/>
          <w:bCs/>
          <w:color w:val="auto"/>
          <w:w w:val="99"/>
          <w:highlight w:val="none"/>
        </w:rPr>
      </w:pPr>
      <w:r>
        <w:rPr>
          <w:rFonts w:hint="eastAsia" w:ascii="Times New Roman" w:hAnsi="Times New Roman" w:cs="Times New Roman" w:eastAsiaTheme="minorEastAsia"/>
          <w:bCs/>
          <w:color w:val="auto"/>
          <w:w w:val="99"/>
          <w:highlight w:val="none"/>
        </w:rPr>
        <w:t>根据</w:t>
      </w:r>
      <w:r>
        <w:rPr>
          <w:rFonts w:ascii="Times New Roman" w:hAnsi="Times New Roman" w:cs="Times New Roman" w:eastAsiaTheme="minorEastAsia"/>
          <w:bCs/>
          <w:color w:val="auto"/>
          <w:w w:val="99"/>
          <w:highlight w:val="none"/>
        </w:rPr>
        <w:t>《黑龙江省人民政府关于实施“三线一单”生态环境分区管控的意见》（黑政发〔2020〕14 号）及《大庆市人民政府关于实施“三线一单”生态环境分区管控的意见》（庆政规〔2021〕3号）</w:t>
      </w:r>
      <w:r>
        <w:rPr>
          <w:rFonts w:hint="eastAsia" w:ascii="Times New Roman" w:hAnsi="Times New Roman" w:cs="Times New Roman" w:eastAsiaTheme="minorEastAsia"/>
          <w:bCs/>
          <w:color w:val="auto"/>
          <w:w w:val="99"/>
          <w:highlight w:val="none"/>
        </w:rPr>
        <w:t>，</w:t>
      </w:r>
      <w:r>
        <w:rPr>
          <w:rFonts w:ascii="Times New Roman" w:hAnsi="Times New Roman" w:cs="Times New Roman" w:eastAsiaTheme="minorEastAsia"/>
          <w:bCs/>
          <w:color w:val="auto"/>
          <w:w w:val="99"/>
          <w:highlight w:val="none"/>
        </w:rPr>
        <w:t>本项目拟</w:t>
      </w:r>
      <w:r>
        <w:rPr>
          <w:rFonts w:hint="eastAsia" w:ascii="Times New Roman" w:hAnsi="Times New Roman" w:cs="Times New Roman" w:eastAsiaTheme="minorEastAsia"/>
          <w:bCs/>
          <w:color w:val="auto"/>
          <w:w w:val="99"/>
          <w:highlight w:val="none"/>
        </w:rPr>
        <w:t>钻</w:t>
      </w:r>
      <w:r>
        <w:rPr>
          <w:rFonts w:ascii="Times New Roman" w:hAnsi="Times New Roman" w:cs="Times New Roman" w:eastAsiaTheme="minorEastAsia"/>
          <w:bCs/>
          <w:color w:val="auto"/>
          <w:w w:val="99"/>
          <w:highlight w:val="none"/>
        </w:rPr>
        <w:t>油井位于</w:t>
      </w:r>
      <w:r>
        <w:rPr>
          <w:rFonts w:hint="eastAsia" w:ascii="Times New Roman" w:hAnsi="Times New Roman" w:cs="Times New Roman" w:eastAsiaTheme="minorEastAsia"/>
          <w:bCs/>
          <w:color w:val="auto"/>
          <w:w w:val="99"/>
          <w:highlight w:val="none"/>
          <w:lang w:eastAsia="zh-CN"/>
        </w:rPr>
        <w:t>一般</w:t>
      </w:r>
      <w:r>
        <w:rPr>
          <w:rFonts w:ascii="Times New Roman" w:hAnsi="Times New Roman" w:cs="Times New Roman" w:eastAsiaTheme="minorEastAsia"/>
          <w:bCs/>
          <w:color w:val="auto"/>
          <w:w w:val="99"/>
          <w:highlight w:val="none"/>
        </w:rPr>
        <w:t>管控单元</w:t>
      </w:r>
      <w:r>
        <w:rPr>
          <w:rFonts w:hint="eastAsia" w:ascii="Times New Roman" w:hAnsi="Times New Roman" w:cs="Times New Roman" w:eastAsiaTheme="minorEastAsia"/>
          <w:bCs/>
          <w:color w:val="auto"/>
          <w:w w:val="99"/>
          <w:highlight w:val="none"/>
        </w:rPr>
        <w:t>，以生态环境保护与适度开发相结合为主，落实生态环境管控相关要求，重点加强农业、生活等领域污染治理。</w:t>
      </w:r>
    </w:p>
    <w:p>
      <w:pPr>
        <w:pStyle w:val="107"/>
        <w:spacing w:line="500" w:lineRule="exact"/>
        <w:jc w:val="both"/>
        <w:rPr>
          <w:rFonts w:ascii="Times New Roman" w:hAnsi="Times New Roman" w:cs="Times New Roman" w:eastAsiaTheme="minorEastAsia"/>
          <w:bCs/>
          <w:color w:val="auto"/>
          <w:w w:val="99"/>
          <w:highlight w:val="none"/>
        </w:rPr>
      </w:pPr>
      <w:r>
        <w:rPr>
          <w:rFonts w:ascii="Times New Roman" w:hAnsi="Times New Roman" w:cs="Times New Roman" w:eastAsiaTheme="minorEastAsia"/>
          <w:bCs/>
          <w:color w:val="auto"/>
          <w:w w:val="99"/>
          <w:highlight w:val="none"/>
        </w:rPr>
        <w:t>本项目在施工过程中尽量保护土地资源，不打乱土层，以便植被恢复，临时占用的耕地等质等量复耕</w:t>
      </w:r>
      <w:r>
        <w:rPr>
          <w:rFonts w:hint="eastAsia" w:ascii="Times New Roman" w:hAnsi="Times New Roman" w:cs="Times New Roman" w:eastAsiaTheme="minorEastAsia"/>
          <w:bCs/>
          <w:color w:val="auto"/>
          <w:w w:val="99"/>
          <w:highlight w:val="none"/>
        </w:rPr>
        <w:t>；</w:t>
      </w:r>
      <w:r>
        <w:rPr>
          <w:rFonts w:ascii="Times New Roman" w:hAnsi="Times New Roman" w:cs="Times New Roman" w:eastAsiaTheme="minorEastAsia"/>
          <w:bCs/>
          <w:color w:val="auto"/>
          <w:w w:val="99"/>
          <w:highlight w:val="none"/>
        </w:rPr>
        <w:t>本项目钻井施工</w:t>
      </w:r>
      <w:r>
        <w:rPr>
          <w:rFonts w:hint="eastAsia" w:ascii="Times New Roman" w:hAnsi="Times New Roman" w:cs="Times New Roman" w:eastAsiaTheme="minorEastAsia"/>
          <w:bCs/>
          <w:color w:val="auto"/>
          <w:w w:val="99"/>
          <w:highlight w:val="none"/>
        </w:rPr>
        <w:t>过程</w:t>
      </w:r>
      <w:r>
        <w:rPr>
          <w:rFonts w:ascii="Times New Roman" w:hAnsi="Times New Roman" w:cs="Times New Roman" w:eastAsiaTheme="minorEastAsia"/>
          <w:bCs/>
          <w:color w:val="auto"/>
          <w:w w:val="99"/>
          <w:highlight w:val="none"/>
        </w:rPr>
        <w:t>中产生的污染物均得到</w:t>
      </w:r>
      <w:r>
        <w:rPr>
          <w:rFonts w:hint="eastAsia" w:ascii="Times New Roman" w:hAnsi="Times New Roman" w:cs="Times New Roman" w:eastAsiaTheme="minorEastAsia"/>
          <w:bCs/>
          <w:color w:val="auto"/>
          <w:w w:val="99"/>
          <w:highlight w:val="none"/>
        </w:rPr>
        <w:t>有效</w:t>
      </w:r>
      <w:r>
        <w:rPr>
          <w:rFonts w:ascii="Times New Roman" w:hAnsi="Times New Roman" w:cs="Times New Roman" w:eastAsiaTheme="minorEastAsia"/>
          <w:bCs/>
          <w:color w:val="auto"/>
          <w:w w:val="99"/>
          <w:highlight w:val="none"/>
        </w:rPr>
        <w:t>治理</w:t>
      </w:r>
      <w:r>
        <w:rPr>
          <w:rFonts w:hint="eastAsia" w:ascii="Times New Roman" w:hAnsi="Times New Roman" w:cs="Times New Roman" w:eastAsiaTheme="minorEastAsia"/>
          <w:bCs/>
          <w:color w:val="auto"/>
          <w:w w:val="99"/>
          <w:highlight w:val="none"/>
        </w:rPr>
        <w:t>，且钻井</w:t>
      </w:r>
      <w:r>
        <w:rPr>
          <w:rFonts w:ascii="Times New Roman" w:hAnsi="Times New Roman" w:cs="Times New Roman" w:eastAsiaTheme="minorEastAsia"/>
          <w:bCs/>
          <w:color w:val="auto"/>
          <w:w w:val="99"/>
          <w:highlight w:val="none"/>
        </w:rPr>
        <w:t>施工阶段</w:t>
      </w:r>
      <w:r>
        <w:rPr>
          <w:rFonts w:hint="eastAsia" w:ascii="Times New Roman" w:hAnsi="Times New Roman" w:cs="Times New Roman" w:eastAsiaTheme="minorEastAsia"/>
          <w:bCs/>
          <w:color w:val="auto"/>
          <w:w w:val="99"/>
          <w:highlight w:val="none"/>
        </w:rPr>
        <w:t>井场</w:t>
      </w:r>
      <w:r>
        <w:rPr>
          <w:rFonts w:ascii="Times New Roman" w:hAnsi="Times New Roman" w:cs="Times New Roman" w:eastAsiaTheme="minorEastAsia"/>
          <w:bCs/>
          <w:color w:val="auto"/>
          <w:w w:val="99"/>
          <w:highlight w:val="none"/>
        </w:rPr>
        <w:t>采取分区防渗措施，不会对周边耕地产生影响</w:t>
      </w:r>
      <w:r>
        <w:rPr>
          <w:rFonts w:hint="eastAsia" w:ascii="Times New Roman" w:hAnsi="Times New Roman" w:cs="Times New Roman" w:eastAsiaTheme="minorEastAsia"/>
          <w:bCs/>
          <w:color w:val="auto"/>
          <w:w w:val="99"/>
          <w:highlight w:val="none"/>
        </w:rPr>
        <w:t>，</w:t>
      </w:r>
      <w:r>
        <w:rPr>
          <w:rFonts w:ascii="Times New Roman" w:hAnsi="Times New Roman" w:cs="Times New Roman" w:eastAsiaTheme="minorEastAsia"/>
          <w:bCs/>
          <w:color w:val="auto"/>
          <w:w w:val="99"/>
          <w:highlight w:val="none"/>
        </w:rPr>
        <w:t>工程施工结束后对临时占地进行植被恢复，降低人为因素导致当地土壤盐碱化的趋势。</w:t>
      </w:r>
    </w:p>
    <w:p>
      <w:pPr>
        <w:pStyle w:val="107"/>
        <w:spacing w:line="500" w:lineRule="exact"/>
        <w:jc w:val="both"/>
        <w:rPr>
          <w:rFonts w:ascii="Times New Roman" w:hAnsi="Times New Roman" w:cs="Times New Roman" w:eastAsiaTheme="minorEastAsia"/>
          <w:bCs/>
          <w:color w:val="auto"/>
          <w:w w:val="99"/>
          <w:highlight w:val="none"/>
        </w:rPr>
      </w:pPr>
      <w:r>
        <w:rPr>
          <w:rFonts w:ascii="Times New Roman" w:hAnsi="Times New Roman" w:cs="Times New Roman" w:eastAsiaTheme="minorEastAsia"/>
          <w:bCs/>
          <w:color w:val="auto"/>
          <w:w w:val="99"/>
          <w:highlight w:val="none"/>
        </w:rPr>
        <w:t>本项目在井位的选址和布局上根据“地下决定地上，地下顾及地上”的原则，采用占地面积最小、环境影响最小的布局方案，尽量避绕周围环境敏感点，未占用湿地。本项目占地类型为耕地（</w:t>
      </w:r>
      <w:r>
        <w:rPr>
          <w:rFonts w:hint="eastAsia" w:ascii="Times New Roman" w:hAnsi="Times New Roman" w:cs="Times New Roman" w:eastAsiaTheme="minorEastAsia"/>
          <w:bCs/>
          <w:color w:val="auto"/>
          <w:w w:val="99"/>
          <w:highlight w:val="none"/>
          <w:lang w:eastAsia="zh-CN"/>
        </w:rPr>
        <w:t>非</w:t>
      </w:r>
      <w:r>
        <w:rPr>
          <w:rFonts w:ascii="Times New Roman" w:hAnsi="Times New Roman" w:cs="Times New Roman" w:eastAsiaTheme="minorEastAsia"/>
          <w:bCs/>
          <w:color w:val="auto"/>
          <w:w w:val="99"/>
          <w:highlight w:val="none"/>
        </w:rPr>
        <w:t>基本农田</w:t>
      </w:r>
      <w:r>
        <w:rPr>
          <w:rFonts w:hint="eastAsia" w:ascii="Times New Roman" w:hAnsi="Times New Roman" w:cs="Times New Roman" w:eastAsiaTheme="minorEastAsia"/>
          <w:bCs/>
          <w:color w:val="auto"/>
          <w:w w:val="99"/>
          <w:highlight w:val="none"/>
          <w:lang w:eastAsia="zh-CN"/>
        </w:rPr>
        <w:t>、少量永久基本农田</w:t>
      </w:r>
      <w:r>
        <w:rPr>
          <w:rFonts w:ascii="Times New Roman" w:hAnsi="Times New Roman" w:cs="Times New Roman" w:eastAsiaTheme="minorEastAsia"/>
          <w:bCs/>
          <w:color w:val="auto"/>
          <w:w w:val="99"/>
          <w:highlight w:val="none"/>
        </w:rPr>
        <w:t>），对占用的耕地按照占一补一原则缴纳补偿费用，并对临时占用的耕地采取生态恢复及补偿措施，把对生态环境的影响降至最小。工程建设对周围的环境影响主要为生态环境影响、大气环境影响、地下水环境影响、地表水影响、土壤影响、声环境影响和固废对周围的环境影响。通过环境影响预测与环境影响分析，本项目建设实施后，通过采取相应的污染控制措施，周围的环境质量均满足相关标准要求，工程建设对周围的环境影响均在可接受的范围</w:t>
      </w:r>
      <w:r>
        <w:rPr>
          <w:rFonts w:hint="eastAsia" w:ascii="Times New Roman" w:hAnsi="Times New Roman" w:cs="Times New Roman" w:eastAsiaTheme="minorEastAsia"/>
          <w:bCs/>
          <w:color w:val="auto"/>
          <w:w w:val="99"/>
          <w:highlight w:val="none"/>
        </w:rPr>
        <w:t>。</w:t>
      </w:r>
    </w:p>
    <w:p>
      <w:pPr>
        <w:pStyle w:val="107"/>
        <w:widowControl w:val="0"/>
        <w:spacing w:line="500" w:lineRule="exact"/>
        <w:jc w:val="both"/>
        <w:rPr>
          <w:rFonts w:ascii="Times New Roman" w:hAnsi="Times New Roman" w:cs="Times New Roman" w:eastAsiaTheme="minorEastAsia"/>
          <w:bCs/>
          <w:color w:val="auto"/>
          <w:w w:val="99"/>
          <w:highlight w:val="none"/>
        </w:rPr>
      </w:pPr>
      <w:r>
        <w:rPr>
          <w:rFonts w:hint="eastAsia" w:ascii="Times New Roman" w:hAnsi="Times New Roman" w:cs="Times New Roman" w:eastAsiaTheme="minorEastAsia"/>
          <w:bCs/>
          <w:color w:val="auto"/>
          <w:w w:val="99"/>
          <w:highlight w:val="none"/>
        </w:rPr>
        <w:t>本工程主要环境风险</w:t>
      </w:r>
      <w:r>
        <w:rPr>
          <w:rFonts w:ascii="Times New Roman" w:hAnsi="Times New Roman" w:cs="Times New Roman" w:eastAsiaTheme="minorEastAsia"/>
          <w:color w:val="auto"/>
          <w:w w:val="99"/>
          <w:kern w:val="2"/>
          <w:highlight w:val="none"/>
        </w:rPr>
        <w:t>包括发生井喷、井漏、套管破损、柴油泄漏及KOH泄漏等</w:t>
      </w:r>
      <w:r>
        <w:rPr>
          <w:rFonts w:hint="eastAsia" w:ascii="Times New Roman" w:hAnsi="Times New Roman" w:cs="Times New Roman" w:eastAsiaTheme="minorEastAsia"/>
          <w:bCs/>
          <w:color w:val="auto"/>
          <w:w w:val="99"/>
          <w:highlight w:val="none"/>
        </w:rPr>
        <w:t>，对区域内的大气环境、地下水环境、土壤环境、生态环境有潜在危害性。在采取一系列风险防范措施和应急措施后，可以控制和降低工程发生事故情况下对周围环境的影响。同时，建设单位应加强突发环境污染事件中的汇报流程、处理过程，避免重大环境污染事故的发生。</w:t>
      </w:r>
    </w:p>
    <w:p>
      <w:pPr>
        <w:pStyle w:val="107"/>
        <w:widowControl w:val="0"/>
        <w:spacing w:line="500" w:lineRule="exact"/>
        <w:jc w:val="both"/>
        <w:rPr>
          <w:rFonts w:ascii="Times New Roman" w:hAnsi="Times New Roman" w:cs="Times New Roman" w:eastAsiaTheme="minorEastAsia"/>
          <w:bCs/>
          <w:color w:val="auto"/>
          <w:w w:val="99"/>
          <w:highlight w:val="none"/>
          <w:lang w:val="en"/>
        </w:rPr>
      </w:pPr>
      <w:r>
        <w:rPr>
          <w:rFonts w:ascii="Times New Roman" w:hAnsi="Times New Roman" w:cs="Times New Roman" w:eastAsiaTheme="minorEastAsia"/>
          <w:bCs/>
          <w:color w:val="auto"/>
          <w:w w:val="99"/>
          <w:highlight w:val="none"/>
        </w:rPr>
        <w:t>根据《大庆市水土保持规划》（2015～2030年）</w:t>
      </w:r>
      <w:r>
        <w:rPr>
          <w:rFonts w:ascii="Times New Roman" w:hAnsi="Times New Roman" w:cs="Times New Roman" w:eastAsiaTheme="minorEastAsia"/>
          <w:bCs/>
          <w:color w:val="auto"/>
          <w:w w:val="99"/>
          <w:highlight w:val="none"/>
          <w:lang w:val="en"/>
        </w:rPr>
        <w:t>，本项目拟钻油井位于</w:t>
      </w:r>
      <w:r>
        <w:rPr>
          <w:rFonts w:hint="eastAsia" w:ascii="Times New Roman" w:hAnsi="Times New Roman" w:cs="Times New Roman" w:eastAsiaTheme="minorEastAsia"/>
          <w:bCs/>
          <w:color w:val="auto"/>
          <w:w w:val="99"/>
          <w:highlight w:val="none"/>
          <w:lang w:val="en"/>
        </w:rPr>
        <w:t>大庆市</w:t>
      </w:r>
      <w:r>
        <w:rPr>
          <w:rFonts w:hint="eastAsia" w:ascii="Times New Roman" w:hAnsi="Times New Roman" w:cs="Times New Roman" w:eastAsiaTheme="minorEastAsia"/>
          <w:bCs/>
          <w:color w:val="auto"/>
          <w:w w:val="99"/>
          <w:highlight w:val="none"/>
          <w:lang w:val="en" w:eastAsia="zh-CN"/>
        </w:rPr>
        <w:t>肇源县</w:t>
      </w:r>
      <w:r>
        <w:rPr>
          <w:rFonts w:ascii="Times New Roman" w:hAnsi="Times New Roman" w:cs="Times New Roman" w:eastAsiaTheme="minorEastAsia"/>
          <w:bCs/>
          <w:color w:val="auto"/>
          <w:w w:val="99"/>
          <w:highlight w:val="none"/>
          <w:lang w:val="en"/>
        </w:rPr>
        <w:t>，</w:t>
      </w:r>
      <w:r>
        <w:rPr>
          <w:rFonts w:hint="eastAsia" w:ascii="Times New Roman" w:hAnsi="Times New Roman" w:cs="Times New Roman" w:eastAsiaTheme="minorEastAsia"/>
          <w:bCs/>
          <w:color w:val="auto"/>
          <w:w w:val="99"/>
          <w:highlight w:val="none"/>
          <w:lang w:val="en" w:eastAsia="zh-CN"/>
        </w:rPr>
        <w:t>不</w:t>
      </w:r>
      <w:r>
        <w:rPr>
          <w:rFonts w:ascii="Times New Roman" w:hAnsi="Times New Roman" w:cs="Times New Roman" w:eastAsiaTheme="minorEastAsia"/>
          <w:bCs/>
          <w:color w:val="auto"/>
          <w:w w:val="99"/>
          <w:highlight w:val="none"/>
          <w:lang w:val="en"/>
        </w:rPr>
        <w:t>属于</w:t>
      </w:r>
      <w:r>
        <w:rPr>
          <w:rFonts w:ascii="Times New Roman" w:hAnsi="Times New Roman"/>
          <w:color w:val="auto"/>
          <w:w w:val="99"/>
          <w:highlight w:val="none"/>
          <w:lang w:val="en"/>
        </w:rPr>
        <w:t>市级水土流失重点预防区和重点治理区</w:t>
      </w:r>
      <w:r>
        <w:rPr>
          <w:rFonts w:ascii="Times New Roman" w:hAnsi="Times New Roman" w:cs="Times New Roman" w:eastAsiaTheme="minorEastAsia"/>
          <w:bCs/>
          <w:color w:val="auto"/>
          <w:w w:val="99"/>
          <w:highlight w:val="none"/>
          <w:lang w:val="en"/>
        </w:rPr>
        <w:t>。</w:t>
      </w:r>
      <w:r>
        <w:rPr>
          <w:rFonts w:hint="eastAsia" w:ascii="Times New Roman" w:hAnsi="Times New Roman" w:cs="Times New Roman" w:eastAsiaTheme="minorEastAsia"/>
          <w:bCs/>
          <w:color w:val="auto"/>
          <w:w w:val="99"/>
          <w:highlight w:val="none"/>
          <w:lang w:val="en"/>
        </w:rPr>
        <w:t>根据现场调查，项目所在区域为耕地，不存在裸露的沙地，无严重的水土流失情况，项目施工期占用土地为耕地，</w:t>
      </w:r>
      <w:r>
        <w:rPr>
          <w:rFonts w:ascii="Times New Roman" w:hAnsi="Times New Roman" w:cs="Times New Roman" w:eastAsiaTheme="minorEastAsia"/>
          <w:bCs/>
          <w:color w:val="auto"/>
          <w:w w:val="99"/>
          <w:highlight w:val="none"/>
          <w:lang w:val="en"/>
        </w:rPr>
        <w:t>临时占用的土地均在施工结束后进行恢复，同时施工期</w:t>
      </w:r>
      <w:r>
        <w:rPr>
          <w:rFonts w:hint="eastAsia" w:ascii="Times New Roman" w:hAnsi="Times New Roman" w:cs="Times New Roman" w:eastAsiaTheme="minorEastAsia"/>
          <w:bCs/>
          <w:color w:val="auto"/>
          <w:w w:val="99"/>
          <w:highlight w:val="none"/>
          <w:lang w:val="en"/>
        </w:rPr>
        <w:t>严格控制作业面积，不占用、碾压临时占地面积外的土地。项目在施工期间定期进行洒水，防止出现土壤沙化起尘。项目永久占地面积较小，永久占地进行铺设防渗布、洒水抑尘、地面硬化等措施，可以有效预防水土流失，因此项目的建设不会造成大范围的水土流失。</w:t>
      </w:r>
    </w:p>
    <w:p>
      <w:pPr>
        <w:pStyle w:val="107"/>
        <w:widowControl w:val="0"/>
        <w:spacing w:line="500" w:lineRule="exact"/>
        <w:jc w:val="both"/>
        <w:rPr>
          <w:rFonts w:ascii="Times New Roman" w:hAnsi="Times New Roman" w:cs="Times New Roman" w:eastAsiaTheme="minorEastAsia"/>
          <w:bCs/>
          <w:color w:val="auto"/>
          <w:w w:val="99"/>
          <w:highlight w:val="none"/>
        </w:rPr>
      </w:pPr>
      <w:r>
        <w:rPr>
          <w:rFonts w:hint="eastAsia" w:ascii="Times New Roman" w:hAnsi="Times New Roman" w:cs="Times New Roman" w:eastAsiaTheme="minorEastAsia"/>
          <w:bCs/>
          <w:color w:val="auto"/>
          <w:w w:val="99"/>
          <w:highlight w:val="none"/>
        </w:rPr>
        <w:t>同时，项目建设符合大庆市土地利用总体规划、黑龙江省生态功能区规划等相关规划要求。工程选址在环境保护方面较合理。</w:t>
      </w:r>
    </w:p>
    <w:bookmarkEnd w:id="59"/>
    <w:bookmarkEnd w:id="60"/>
    <w:bookmarkEnd w:id="61"/>
    <w:bookmarkEnd w:id="62"/>
    <w:bookmarkEnd w:id="63"/>
    <w:p>
      <w:pPr>
        <w:pStyle w:val="5"/>
        <w:keepNext w:val="0"/>
        <w:keepLines w:val="0"/>
        <w:widowControl w:val="0"/>
        <w:jc w:val="both"/>
        <w:rPr>
          <w:rFonts w:ascii="Times New Roman" w:hAnsi="Times New Roman"/>
          <w:b/>
          <w:snapToGrid w:val="0"/>
          <w:color w:val="auto"/>
          <w:w w:val="99"/>
          <w:highlight w:val="none"/>
        </w:rPr>
      </w:pPr>
      <w:bookmarkStart w:id="92" w:name="_Toc61597178"/>
      <w:bookmarkStart w:id="93" w:name="_Toc502736437"/>
      <w:bookmarkStart w:id="94" w:name="_Toc80105101"/>
      <w:r>
        <w:rPr>
          <w:rFonts w:ascii="Times New Roman" w:hAnsi="Times New Roman"/>
          <w:b/>
          <w:snapToGrid w:val="0"/>
          <w:color w:val="auto"/>
          <w:w w:val="99"/>
          <w:highlight w:val="none"/>
        </w:rPr>
        <w:t>1.5关注的主要环境问题及环境影响</w:t>
      </w:r>
      <w:bookmarkEnd w:id="92"/>
      <w:bookmarkEnd w:id="93"/>
      <w:bookmarkEnd w:id="94"/>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为油田钻井工程，环境影响主要来源于钻井施工期污染物排放造成的环境污染影响和占地及施工造成的生态影响。根据现状调查，本区块未在自然保护区、风景名胜区等环境敏感区域内，主要环境敏感保护目标为评价范围内的农田生态环境、区块周边分布的村屯等。重点关注施工过程的各项污染物产生以及可能发生的风险对区域环境产生的影响、施工过程中产生的生态环境问题以及生态恢复措施。</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（1）环境空气</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本项目对空气环境的影响主要是施工活动产生的扬尘、</w:t>
      </w:r>
      <w:r>
        <w:rPr>
          <w:rFonts w:ascii="Times New Roman" w:hAnsi="Times New Roman" w:eastAsiaTheme="minorEastAsia"/>
          <w:bCs/>
          <w:color w:val="auto"/>
          <w:w w:val="99"/>
          <w:kern w:val="21"/>
          <w:highlight w:val="none"/>
        </w:rPr>
        <w:t>各类工程及运输车辆排放的尾气、钻井时柴油机排放的大气污染物</w:t>
      </w:r>
      <w:r>
        <w:rPr>
          <w:rFonts w:ascii="Times New Roman" w:hAnsi="Times New Roman" w:eastAsiaTheme="minorEastAsia"/>
          <w:color w:val="auto"/>
          <w:w w:val="99"/>
          <w:highlight w:val="none"/>
        </w:rPr>
        <w:t>。</w:t>
      </w:r>
      <w:r>
        <w:rPr>
          <w:rFonts w:ascii="Times New Roman" w:hAnsi="Times New Roman" w:eastAsiaTheme="minorEastAsia"/>
          <w:color w:val="auto"/>
          <w:w w:val="99"/>
          <w:kern w:val="2"/>
          <w:szCs w:val="20"/>
          <w:highlight w:val="none"/>
        </w:rPr>
        <w:t>施工扬尘采取施工现场洒水抑尘、运输</w:t>
      </w:r>
      <w:r>
        <w:rPr>
          <w:rFonts w:ascii="Times New Roman" w:hAnsi="Times New Roman" w:eastAsiaTheme="minorEastAsia"/>
          <w:bCs/>
          <w:color w:val="auto"/>
          <w:w w:val="99"/>
          <w:highlight w:val="none"/>
        </w:rPr>
        <w:t>运输</w:t>
      </w:r>
      <w:r>
        <w:rPr>
          <w:rFonts w:ascii="Times New Roman" w:hAnsi="Times New Roman" w:eastAsiaTheme="minorEastAsia"/>
          <w:color w:val="auto"/>
          <w:w w:val="99"/>
          <w:kern w:val="2"/>
          <w:szCs w:val="20"/>
          <w:highlight w:val="none"/>
        </w:rPr>
        <w:t>车辆及物料加盖防尘布等方式降低扬尘污染，采取措施后施工场界颗粒物可以满足</w:t>
      </w:r>
      <w:r>
        <w:rPr>
          <w:rFonts w:ascii="Times New Roman" w:hAnsi="Times New Roman" w:eastAsiaTheme="minorEastAsia"/>
          <w:bCs/>
          <w:color w:val="auto"/>
          <w:w w:val="99"/>
          <w:kern w:val="2"/>
          <w:szCs w:val="20"/>
          <w:highlight w:val="none"/>
        </w:rPr>
        <w:t>《大气污染物综合排放标准》（GB 16297-1996）表2中的无组织排放监控浓度限值</w:t>
      </w:r>
      <w:r>
        <w:rPr>
          <w:rFonts w:ascii="Times New Roman" w:hAnsi="Times New Roman" w:eastAsiaTheme="minorEastAsia"/>
          <w:color w:val="auto"/>
          <w:w w:val="99"/>
          <w:kern w:val="2"/>
          <w:szCs w:val="20"/>
          <w:highlight w:val="none"/>
        </w:rPr>
        <w:t>；柴油机废气采取</w:t>
      </w:r>
      <w:r>
        <w:rPr>
          <w:rFonts w:ascii="Times New Roman" w:hAnsi="Times New Roman" w:eastAsiaTheme="minorEastAsia"/>
          <w:color w:val="auto"/>
          <w:w w:val="99"/>
          <w:highlight w:val="none"/>
        </w:rPr>
        <w:t>施工时使用低标号柴油，调节好柴油机运行工况等措施。采取以上措施后对环境空气影响较小。</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（2）地表水环境</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本项目对地表水环境的影响主要为</w:t>
      </w:r>
      <w:r>
        <w:rPr>
          <w:rFonts w:ascii="Times New Roman" w:hAnsi="Times New Roman" w:eastAsiaTheme="minorEastAsia"/>
          <w:color w:val="auto"/>
          <w:w w:val="99"/>
          <w:kern w:val="21"/>
          <w:highlight w:val="none"/>
        </w:rPr>
        <w:t>钻井过程中冲洗钻台、钻具和设备等生产废水以及钻井人员的生活污水。</w:t>
      </w:r>
      <w:r>
        <w:rPr>
          <w:rFonts w:ascii="Times New Roman" w:hAnsi="Times New Roman" w:eastAsiaTheme="minorEastAsia"/>
          <w:color w:val="auto"/>
          <w:w w:val="99"/>
          <w:highlight w:val="none"/>
        </w:rPr>
        <w:t>生活污水</w:t>
      </w:r>
      <w:r>
        <w:rPr>
          <w:rFonts w:hint="eastAsia" w:ascii="Times New Roman" w:hAnsi="Times New Roman" w:eastAsiaTheme="minorEastAsia"/>
          <w:color w:val="auto"/>
          <w:w w:val="99"/>
          <w:highlight w:val="none"/>
        </w:rPr>
        <w:t>排入施工井场内临时设置的防渗旱厕，定期清掏外运堆肥处理，施工结束后进行卫生处理，场地进行平整</w:t>
      </w:r>
      <w:r>
        <w:rPr>
          <w:rFonts w:ascii="Times New Roman" w:hAnsi="Times New Roman" w:eastAsiaTheme="minorEastAsia"/>
          <w:color w:val="auto"/>
          <w:w w:val="99"/>
          <w:highlight w:val="none"/>
        </w:rPr>
        <w:t>；钻井废水</w:t>
      </w:r>
      <w:r>
        <w:rPr>
          <w:rFonts w:ascii="Times New Roman" w:hAnsi="Times New Roman" w:eastAsiaTheme="minorEastAsia"/>
          <w:bCs/>
          <w:color w:val="auto"/>
          <w:w w:val="99"/>
          <w:highlight w:val="none"/>
        </w:rPr>
        <w:t>排入井场钢制泥浆槽，及时拉运</w:t>
      </w:r>
      <w:r>
        <w:rPr>
          <w:rFonts w:hint="eastAsia" w:ascii="Times New Roman" w:hAnsi="Times New Roman" w:eastAsiaTheme="minorEastAsia"/>
          <w:bCs/>
          <w:color w:val="auto"/>
          <w:w w:val="99"/>
          <w:highlight w:val="none"/>
        </w:rPr>
        <w:t>黑龙江龙之润环保工程有限公司废射孔液处理装置</w:t>
      </w:r>
      <w:r>
        <w:rPr>
          <w:rFonts w:ascii="Times New Roman" w:hAnsi="Times New Roman" w:eastAsiaTheme="minorEastAsia"/>
          <w:bCs/>
          <w:color w:val="auto"/>
          <w:w w:val="99"/>
          <w:highlight w:val="none"/>
        </w:rPr>
        <w:t>处理。采取以上措施后不会对周边地表水体产生影响。</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（3）地下水环境</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本工程施工期可能对地下水产生影响的主要为泥浆槽泄漏、套管破损、柴油罐泄漏等对地下水的影响。</w:t>
      </w:r>
      <w:r>
        <w:rPr>
          <w:rFonts w:ascii="Times New Roman" w:hAnsi="Times New Roman" w:eastAsiaTheme="minorEastAsia"/>
          <w:color w:val="auto"/>
          <w:w w:val="99"/>
          <w:kern w:val="2"/>
          <w:highlight w:val="none"/>
        </w:rPr>
        <w:t>根据《环境影响评价技术导则 地下水环境》（HJ 610-2016）钻井工程的井场地下水环境分区防渗提出如下措施：</w:t>
      </w:r>
      <w:r>
        <w:rPr>
          <w:rFonts w:ascii="Times New Roman" w:hAnsi="Times New Roman" w:eastAsiaTheme="minorEastAsia"/>
          <w:bCs/>
          <w:color w:val="auto"/>
          <w:w w:val="99"/>
          <w:kern w:val="2"/>
          <w:highlight w:val="none"/>
        </w:rPr>
        <w:t>柴油罐区、钻井液罐区、发电机房、钢制泥浆槽、KOH材料房、钻井泵、钻台等处属于重点防渗区，采用地面碾压平整并铺设2mm厚防渗土工布进行防渗，渗透系数</w:t>
      </w:r>
      <w:r>
        <w:rPr>
          <w:rFonts w:hint="eastAsia" w:ascii="Times New Roman" w:hAnsi="Times New Roman" w:eastAsiaTheme="minorEastAsia"/>
          <w:bCs/>
          <w:color w:val="auto"/>
          <w:w w:val="99"/>
          <w:kern w:val="2"/>
          <w:highlight w:val="none"/>
        </w:rPr>
        <w:t>为</w:t>
      </w:r>
      <w:r>
        <w:rPr>
          <w:rFonts w:ascii="Times New Roman" w:hAnsi="Times New Roman" w:eastAsiaTheme="minorEastAsia"/>
          <w:bCs/>
          <w:color w:val="auto"/>
          <w:w w:val="99"/>
          <w:kern w:val="2"/>
          <w:highlight w:val="none"/>
        </w:rPr>
        <w:t>1×10</w:t>
      </w:r>
      <w:r>
        <w:rPr>
          <w:rFonts w:ascii="Times New Roman" w:hAnsi="Times New Roman" w:eastAsiaTheme="minorEastAsia"/>
          <w:bCs/>
          <w:color w:val="auto"/>
          <w:w w:val="99"/>
          <w:kern w:val="2"/>
          <w:highlight w:val="none"/>
          <w:vertAlign w:val="superscript"/>
        </w:rPr>
        <w:t>-10</w:t>
      </w:r>
      <w:r>
        <w:rPr>
          <w:rFonts w:ascii="Times New Roman" w:hAnsi="Times New Roman" w:eastAsiaTheme="minorEastAsia"/>
          <w:bCs/>
          <w:color w:val="auto"/>
          <w:w w:val="99"/>
          <w:kern w:val="2"/>
          <w:highlight w:val="none"/>
        </w:rPr>
        <w:t>cm/s，满足</w:t>
      </w:r>
      <w:r>
        <w:rPr>
          <w:rFonts w:ascii="Times New Roman" w:hAnsi="Times New Roman" w:eastAsiaTheme="minorEastAsia"/>
          <w:bCs/>
          <w:color w:val="auto"/>
          <w:w w:val="99"/>
          <w:highlight w:val="none"/>
        </w:rPr>
        <w:t>导则中关于重点防渗区等效黏土防渗层Mb≥6.0m，K≤1×10</w:t>
      </w:r>
      <w:r>
        <w:rPr>
          <w:rFonts w:ascii="Times New Roman" w:hAnsi="Times New Roman" w:eastAsiaTheme="minorEastAsia"/>
          <w:bCs/>
          <w:color w:val="auto"/>
          <w:w w:val="99"/>
          <w:highlight w:val="none"/>
          <w:vertAlign w:val="superscript"/>
        </w:rPr>
        <w:t>-7</w:t>
      </w:r>
      <w:r>
        <w:rPr>
          <w:rFonts w:ascii="Times New Roman" w:hAnsi="Times New Roman" w:eastAsiaTheme="minorEastAsia"/>
          <w:bCs/>
          <w:color w:val="auto"/>
          <w:w w:val="99"/>
          <w:highlight w:val="none"/>
        </w:rPr>
        <w:t>cm/s防渗技术要求</w:t>
      </w:r>
      <w:r>
        <w:rPr>
          <w:rFonts w:ascii="Times New Roman" w:hAnsi="Times New Roman" w:eastAsiaTheme="minorEastAsia"/>
          <w:bCs/>
          <w:color w:val="auto"/>
          <w:w w:val="99"/>
          <w:kern w:val="2"/>
          <w:highlight w:val="none"/>
        </w:rPr>
        <w:t>；钻井液材料房、其他材料房</w:t>
      </w:r>
      <w:r>
        <w:rPr>
          <w:rFonts w:hint="eastAsia" w:ascii="Times New Roman" w:hAnsi="Times New Roman" w:eastAsiaTheme="minorEastAsia"/>
          <w:bCs/>
          <w:color w:val="auto"/>
          <w:w w:val="99"/>
          <w:kern w:val="2"/>
          <w:highlight w:val="none"/>
        </w:rPr>
        <w:t>、</w:t>
      </w:r>
      <w:r>
        <w:rPr>
          <w:rFonts w:ascii="Times New Roman" w:hAnsi="Times New Roman" w:eastAsiaTheme="minorEastAsia"/>
          <w:bCs/>
          <w:color w:val="auto"/>
          <w:w w:val="99"/>
          <w:kern w:val="2"/>
          <w:highlight w:val="none"/>
        </w:rPr>
        <w:t>临时旱厕做一般防渗处理，采用1.5m厚黏土防渗层，渗透系数</w:t>
      </w:r>
      <w:r>
        <w:rPr>
          <w:rFonts w:hint="eastAsia" w:ascii="Times New Roman" w:hAnsi="Times New Roman" w:eastAsiaTheme="minorEastAsia"/>
          <w:bCs/>
          <w:color w:val="auto"/>
          <w:w w:val="99"/>
          <w:kern w:val="2"/>
          <w:highlight w:val="none"/>
        </w:rPr>
        <w:t>为</w:t>
      </w:r>
      <w:r>
        <w:rPr>
          <w:rFonts w:ascii="Times New Roman" w:hAnsi="Times New Roman" w:eastAsiaTheme="minorEastAsia"/>
          <w:bCs/>
          <w:color w:val="auto"/>
          <w:w w:val="99"/>
          <w:kern w:val="2"/>
          <w:highlight w:val="none"/>
        </w:rPr>
        <w:t>1.0×10</w:t>
      </w:r>
      <w:r>
        <w:rPr>
          <w:rFonts w:ascii="Times New Roman" w:hAnsi="Times New Roman" w:eastAsiaTheme="minorEastAsia"/>
          <w:bCs/>
          <w:color w:val="auto"/>
          <w:w w:val="99"/>
          <w:kern w:val="2"/>
          <w:highlight w:val="none"/>
          <w:vertAlign w:val="superscript"/>
        </w:rPr>
        <w:t>-7</w:t>
      </w:r>
      <w:r>
        <w:rPr>
          <w:rFonts w:ascii="Times New Roman" w:hAnsi="Times New Roman" w:eastAsiaTheme="minorEastAsia"/>
          <w:bCs/>
          <w:color w:val="auto"/>
          <w:w w:val="99"/>
          <w:kern w:val="2"/>
          <w:highlight w:val="none"/>
        </w:rPr>
        <w:t>cm/s，满足</w:t>
      </w:r>
      <w:r>
        <w:rPr>
          <w:rFonts w:ascii="Times New Roman" w:hAnsi="Times New Roman" w:eastAsiaTheme="minorEastAsia"/>
          <w:bCs/>
          <w:color w:val="auto"/>
          <w:w w:val="99"/>
          <w:highlight w:val="none"/>
        </w:rPr>
        <w:t>导则中关于一般防渗区等效黏土防渗层Mb≥1.5m，K≤1×10</w:t>
      </w:r>
      <w:r>
        <w:rPr>
          <w:rFonts w:ascii="Times New Roman" w:hAnsi="Times New Roman" w:eastAsiaTheme="minorEastAsia"/>
          <w:bCs/>
          <w:color w:val="auto"/>
          <w:w w:val="99"/>
          <w:highlight w:val="none"/>
          <w:vertAlign w:val="superscript"/>
        </w:rPr>
        <w:t>-7</w:t>
      </w:r>
      <w:r>
        <w:rPr>
          <w:rFonts w:ascii="Times New Roman" w:hAnsi="Times New Roman" w:eastAsiaTheme="minorEastAsia"/>
          <w:bCs/>
          <w:color w:val="auto"/>
          <w:w w:val="99"/>
          <w:highlight w:val="none"/>
        </w:rPr>
        <w:t>cm/s防渗技术要求</w:t>
      </w:r>
      <w:r>
        <w:rPr>
          <w:rFonts w:ascii="Times New Roman" w:hAnsi="Times New Roman" w:eastAsiaTheme="minorEastAsia"/>
          <w:color w:val="auto"/>
          <w:w w:val="99"/>
          <w:kern w:val="2"/>
          <w:highlight w:val="none"/>
        </w:rPr>
        <w:t>；</w:t>
      </w:r>
      <w:r>
        <w:rPr>
          <w:rFonts w:ascii="Times New Roman" w:hAnsi="Times New Roman" w:eastAsiaTheme="minorEastAsia"/>
          <w:bCs/>
          <w:color w:val="auto"/>
          <w:w w:val="99"/>
          <w:highlight w:val="none"/>
        </w:rPr>
        <w:t>井场其他区域属于简单防渗区，采用地面碾压平整进行防渗，满足导则中关于简单防渗区一般地面硬化防渗技术要求。</w:t>
      </w:r>
      <w:r>
        <w:rPr>
          <w:rFonts w:ascii="Times New Roman" w:hAnsi="Times New Roman" w:eastAsiaTheme="minorEastAsia"/>
          <w:color w:val="auto"/>
          <w:w w:val="99"/>
          <w:highlight w:val="none"/>
        </w:rPr>
        <w:t>定期对油井的套管情况进行检测，发现异常情况及时处理，防止污染地下水。</w:t>
      </w:r>
      <w:r>
        <w:rPr>
          <w:rFonts w:ascii="Times New Roman" w:hAnsi="Times New Roman" w:eastAsiaTheme="minorEastAsia"/>
          <w:bCs/>
          <w:color w:val="auto"/>
          <w:w w:val="99"/>
          <w:highlight w:val="none"/>
        </w:rPr>
        <w:t>在本项目区域上游</w:t>
      </w:r>
      <w:r>
        <w:rPr>
          <w:rFonts w:hint="eastAsia" w:ascii="Times New Roman" w:hAnsi="Times New Roman" w:eastAsiaTheme="minorEastAsia"/>
          <w:bCs/>
          <w:color w:val="auto"/>
          <w:w w:val="99"/>
          <w:highlight w:val="none"/>
          <w:lang w:eastAsia="zh-CN"/>
        </w:rPr>
        <w:t>后仓粮</w:t>
      </w:r>
      <w:r>
        <w:rPr>
          <w:rFonts w:ascii="Times New Roman" w:hAnsi="Times New Roman" w:eastAsiaTheme="minorEastAsia"/>
          <w:bCs/>
          <w:color w:val="auto"/>
          <w:w w:val="99"/>
          <w:highlight w:val="none"/>
        </w:rPr>
        <w:t>水井</w:t>
      </w:r>
      <w:r>
        <w:rPr>
          <w:rFonts w:hint="eastAsia" w:ascii="Times New Roman" w:hAnsi="Times New Roman" w:eastAsiaTheme="minorEastAsia"/>
          <w:bCs/>
          <w:color w:val="auto"/>
          <w:w w:val="99"/>
          <w:highlight w:val="none"/>
        </w:rPr>
        <w:t>（坐标：125.01523018,45.57848391</w:t>
      </w:r>
      <w:r>
        <w:rPr>
          <w:rFonts w:ascii="Times New Roman" w:hAnsi="Times New Roman" w:eastAsiaTheme="minorEastAsia"/>
          <w:bCs/>
          <w:color w:val="auto"/>
          <w:w w:val="99"/>
          <w:highlight w:val="none"/>
        </w:rPr>
        <w:t>）布设1口潜水背景值监测水井，在区域内</w:t>
      </w:r>
      <w:r>
        <w:rPr>
          <w:rFonts w:hint="eastAsia" w:ascii="Times New Roman" w:hAnsi="Times New Roman" w:eastAsiaTheme="minorEastAsia"/>
          <w:bCs/>
          <w:color w:val="auto"/>
          <w:w w:val="99"/>
          <w:highlight w:val="none"/>
          <w:lang w:eastAsia="zh-CN"/>
        </w:rPr>
        <w:t>厢房屯</w:t>
      </w:r>
      <w:r>
        <w:rPr>
          <w:rFonts w:ascii="Times New Roman" w:hAnsi="Times New Roman" w:eastAsiaTheme="minorEastAsia"/>
          <w:bCs/>
          <w:color w:val="auto"/>
          <w:w w:val="99"/>
          <w:highlight w:val="none"/>
        </w:rPr>
        <w:t>水井</w:t>
      </w:r>
      <w:r>
        <w:rPr>
          <w:rFonts w:hint="eastAsia" w:ascii="Times New Roman" w:hAnsi="Times New Roman" w:eastAsiaTheme="minorEastAsia"/>
          <w:bCs/>
          <w:color w:val="auto"/>
          <w:w w:val="99"/>
          <w:highlight w:val="none"/>
        </w:rPr>
        <w:t>（坐标：125.00428677,45.56709843</w:t>
      </w:r>
      <w:r>
        <w:rPr>
          <w:rFonts w:ascii="Times New Roman" w:hAnsi="Times New Roman" w:eastAsiaTheme="minorEastAsia"/>
          <w:bCs/>
          <w:color w:val="auto"/>
          <w:w w:val="99"/>
          <w:highlight w:val="none"/>
        </w:rPr>
        <w:t>）、区域下游</w:t>
      </w:r>
      <w:r>
        <w:rPr>
          <w:rFonts w:hint="eastAsia" w:ascii="Times New Roman" w:hAnsi="Times New Roman" w:eastAsiaTheme="minorEastAsia"/>
          <w:bCs/>
          <w:color w:val="auto"/>
          <w:w w:val="99"/>
          <w:highlight w:val="none"/>
          <w:lang w:eastAsia="zh-CN"/>
        </w:rPr>
        <w:t>后永利村</w:t>
      </w:r>
      <w:r>
        <w:rPr>
          <w:rFonts w:hint="eastAsia" w:ascii="Times New Roman" w:hAnsi="Times New Roman" w:eastAsiaTheme="minorEastAsia"/>
          <w:bCs/>
          <w:color w:val="auto"/>
          <w:w w:val="99"/>
          <w:highlight w:val="none"/>
        </w:rPr>
        <w:t>水井（坐标：124.99969482,45.55114286</w:t>
      </w:r>
      <w:r>
        <w:rPr>
          <w:rFonts w:ascii="Times New Roman" w:hAnsi="Times New Roman" w:eastAsiaTheme="minorEastAsia"/>
          <w:bCs/>
          <w:color w:val="auto"/>
          <w:w w:val="99"/>
          <w:highlight w:val="none"/>
        </w:rPr>
        <w:t>）各布设1口潜水跟踪监测水井）各布设1口潜水跟踪监测水井，定期对地下水进行跟踪监测</w:t>
      </w:r>
      <w:r>
        <w:rPr>
          <w:rFonts w:ascii="Times New Roman" w:hAnsi="Times New Roman" w:eastAsiaTheme="minorEastAsia"/>
          <w:color w:val="auto"/>
          <w:w w:val="99"/>
          <w:highlight w:val="none"/>
        </w:rPr>
        <w:t>，采取以上措施后不会对地下水环境产生影响。</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（4）声环境</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本工程施工期对声环境的影响主要为重型车辆沿途产生的噪声、钻机振动产生的噪声。</w:t>
      </w:r>
      <w:r>
        <w:rPr>
          <w:rFonts w:ascii="Times New Roman" w:hAnsi="Times New Roman" w:eastAsiaTheme="minorEastAsia"/>
          <w:color w:val="auto"/>
          <w:w w:val="99"/>
          <w:kern w:val="2"/>
          <w:szCs w:val="20"/>
          <w:highlight w:val="none"/>
        </w:rPr>
        <w:t>采取</w:t>
      </w:r>
      <w:r>
        <w:rPr>
          <w:rFonts w:ascii="Times New Roman" w:hAnsi="Times New Roman" w:eastAsiaTheme="minorEastAsia"/>
          <w:color w:val="auto"/>
          <w:w w:val="99"/>
          <w:highlight w:val="none"/>
        </w:rPr>
        <w:t>物料及设备等运输车辆应选择合理时间和路线，避开居民休息时段；严格限定施工范围，选用噪音低的设备；注意对设备的维护和保养，合理操作，保证施工机械保持在最佳状态，降低噪声源强度，施工场界可以满足《建筑施工场界环境噪声排放标准》（GB12523-2011）中的标准限值要求。对周边声环境影响较小。</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（5）生态环境</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bCs/>
          <w:color w:val="auto"/>
          <w:w w:val="99"/>
          <w:highlight w:val="none"/>
        </w:rPr>
        <w:t>工程建设对生态的影响主要在施工期，施工过程对环境的影响主要来自井场建设等施工活动中施工机械、车辆、人员践踏等对土壤的扰动和植被的破坏</w:t>
      </w:r>
      <w:r>
        <w:rPr>
          <w:rFonts w:ascii="Times New Roman" w:hAnsi="Times New Roman" w:eastAsiaTheme="minorEastAsia"/>
          <w:color w:val="auto"/>
          <w:w w:val="99"/>
          <w:highlight w:val="none"/>
        </w:rPr>
        <w:t>。本项目采取分层开挖，分层回填，加强管理，施工期间尽量减少占地，施工结束后对全部的临时占地进行平整翻松，以利于植被自然恢复，井场地表恢复原有地貌，对占用的耕地按照占一补一原则缴纳补偿费用。采取以上措施后对周边的生态环境影响较小。</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（6）土壤环境</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工程对土壤环境的影响主要来自钻井过程中各种大型、重型机械的拖拽、碾压，以及施工便道建设等活动破坏土壤层次、结构，降低土壤肥力，沙化加剧。同时钻井过程中排放的废弃泥浆等进入土壤，引起了土壤理化性质的改变、肥力的降低，从而影响地表植被的生长。</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为避免项目建设对土壤的影响，本项目采取</w:t>
      </w:r>
      <w:r>
        <w:rPr>
          <w:rFonts w:ascii="Times New Roman" w:hAnsi="Times New Roman" w:eastAsiaTheme="minorEastAsia"/>
          <w:color w:val="auto"/>
          <w:w w:val="99"/>
          <w:kern w:val="21"/>
          <w:highlight w:val="none"/>
        </w:rPr>
        <w:t>源头控制措施、末端控制措施、污染监控体系、应急响应措施。源头控制措施主要包括在施工工艺、设备、污水储存及处理构筑物采取相应措施，防止和降低污染物跑、冒、滴、漏，将污染物泄漏的环境风险事故降到最低程度。末端控制措施主要包括钻井井场污染区地面的防渗措施和泄漏、渗漏污染物收集措施，即在污染区地面进行防渗处理，防止洒落地面的污染物渗入地下，并把滞留在地面的污染物收集起来集中处理；末端控制采取分区防渗原则。为了及时了解项目场区及周边土壤环境质量状况和土壤中污染物的动态变化，根据《环境影响评价技术导则土壤环境（试行）》（HJ964-2018）、《排污单位自行监测技术指南总则》（HJ819-2017）的相关要求，本项目拟制定土壤环境跟踪监测措施，包括制定跟踪监测计划，科学、合理地设置土壤监测点位，建立完善的跟踪监测制度，配备必要的取样设备，以便及时发现并有效控制。应急响应措施包括一旦发现土壤污染事故，立即采取应急措施控制土壤、地下水污染，并使污染得到治理。</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（7）固体废物</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本工程施工期产生的固体废物包括废弃钻井液、</w:t>
      </w:r>
      <w:r>
        <w:rPr>
          <w:rFonts w:ascii="Times New Roman" w:hAnsi="Times New Roman" w:eastAsiaTheme="minorEastAsia"/>
          <w:color w:val="auto"/>
          <w:w w:val="99"/>
          <w:kern w:val="2"/>
          <w:highlight w:val="none"/>
        </w:rPr>
        <w:t>钻井岩屑</w:t>
      </w:r>
      <w:r>
        <w:rPr>
          <w:rFonts w:ascii="Times New Roman" w:hAnsi="Times New Roman" w:eastAsiaTheme="minorEastAsia"/>
          <w:color w:val="auto"/>
          <w:w w:val="99"/>
          <w:highlight w:val="none"/>
        </w:rPr>
        <w:t>、</w:t>
      </w:r>
      <w:r>
        <w:rPr>
          <w:rFonts w:ascii="Times New Roman" w:hAnsi="Times New Roman" w:eastAsiaTheme="minorEastAsia"/>
          <w:color w:val="auto"/>
          <w:w w:val="99"/>
          <w:kern w:val="2"/>
          <w:highlight w:val="none"/>
        </w:rPr>
        <w:t>废射孔液</w:t>
      </w:r>
      <w:r>
        <w:rPr>
          <w:rFonts w:ascii="Times New Roman" w:hAnsi="Times New Roman" w:eastAsiaTheme="minorEastAsia"/>
          <w:color w:val="auto"/>
          <w:w w:val="99"/>
          <w:highlight w:val="none"/>
        </w:rPr>
        <w:t>、一般固废</w:t>
      </w:r>
      <w:r>
        <w:rPr>
          <w:rFonts w:ascii="Times New Roman" w:hAnsi="Times New Roman" w:eastAsiaTheme="minorEastAsia"/>
          <w:color w:val="auto"/>
          <w:w w:val="99"/>
          <w:kern w:val="2"/>
          <w:highlight w:val="none"/>
        </w:rPr>
        <w:t>废包装袋、废防渗布、KOH废包装袋、生活垃圾</w:t>
      </w:r>
      <w:r>
        <w:rPr>
          <w:rFonts w:ascii="Times New Roman" w:hAnsi="Times New Roman" w:eastAsiaTheme="minorEastAsia"/>
          <w:color w:val="auto"/>
          <w:w w:val="99"/>
          <w:highlight w:val="none"/>
        </w:rPr>
        <w:t>对环境的影响。废钻井液与钻井废水、钻井岩屑等废弃物暂存于井场泥浆槽中，定期由罐车拉运至</w:t>
      </w:r>
      <w:r>
        <w:rPr>
          <w:rFonts w:hint="eastAsia" w:ascii="Times New Roman" w:hAnsi="Times New Roman" w:eastAsiaTheme="minorEastAsia"/>
          <w:color w:val="auto"/>
          <w:w w:val="99"/>
          <w:highlight w:val="none"/>
        </w:rPr>
        <w:t>大庆油田昆仑集团有限公司环保分公司处理；</w:t>
      </w:r>
      <w:r>
        <w:rPr>
          <w:rFonts w:ascii="Times New Roman" w:hAnsi="Times New Roman" w:eastAsiaTheme="minorEastAsia"/>
          <w:color w:val="auto"/>
          <w:w w:val="99"/>
          <w:kern w:val="2"/>
          <w:highlight w:val="none"/>
        </w:rPr>
        <w:t>膨润土、纯碱、重晶石粉废包装袋及废防渗布</w:t>
      </w:r>
      <w:r>
        <w:rPr>
          <w:rFonts w:hint="eastAsia" w:ascii="Times New Roman" w:hAnsi="Times New Roman" w:eastAsiaTheme="minorEastAsia"/>
          <w:bCs/>
          <w:color w:val="auto"/>
          <w:w w:val="99"/>
          <w:kern w:val="2"/>
          <w:highlight w:val="none"/>
        </w:rPr>
        <w:t>由施工单位统一收集后拉运至第八采油厂工业固废填埋场处理</w:t>
      </w:r>
      <w:r>
        <w:rPr>
          <w:rFonts w:ascii="Times New Roman" w:hAnsi="Times New Roman" w:eastAsiaTheme="minorEastAsia"/>
          <w:color w:val="auto"/>
          <w:w w:val="99"/>
          <w:kern w:val="2"/>
          <w:highlight w:val="none"/>
        </w:rPr>
        <w:t>；KOH包装袋属于危险废物，经收集后直接由施工单位委托资质单位处理，不在井场暂存；生活垃圾</w:t>
      </w:r>
      <w:r>
        <w:rPr>
          <w:rFonts w:hint="eastAsia" w:ascii="Times New Roman" w:hAnsi="Times New Roman" w:eastAsiaTheme="minorEastAsia"/>
          <w:color w:val="auto"/>
          <w:w w:val="99"/>
          <w:kern w:val="2"/>
          <w:highlight w:val="none"/>
        </w:rPr>
        <w:t>统一收集后运至生活垃圾综合处理厂处理</w:t>
      </w:r>
      <w:r>
        <w:rPr>
          <w:rFonts w:ascii="Times New Roman" w:hAnsi="Times New Roman" w:eastAsiaTheme="minorEastAsia"/>
          <w:color w:val="auto"/>
          <w:w w:val="99"/>
          <w:kern w:val="2"/>
          <w:highlight w:val="none"/>
        </w:rPr>
        <w:t>。固体废物处理率100%，不会对周边环境产生影响。</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（8）环境风险</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本工程的主要环境风险包括发生井喷、井漏、套管破损、柴油泄漏及KOH泄漏等；可诱发风险事故类型包括火灾、爆炸，伴生/次生环境污染事件。采取加强固井质量，防止井喷、井漏，</w:t>
      </w:r>
      <w:r>
        <w:rPr>
          <w:rFonts w:ascii="Times New Roman" w:hAnsi="Times New Roman" w:eastAsiaTheme="minorEastAsia"/>
          <w:color w:val="auto"/>
          <w:w w:val="99"/>
          <w:kern w:val="21"/>
          <w:szCs w:val="20"/>
          <w:highlight w:val="none"/>
        </w:rPr>
        <w:t>井场柴油罐设置围堰，围堰高度约为0.4m，柴油罐区地面及围堰做重点防渗处理，</w:t>
      </w:r>
      <w:r>
        <w:rPr>
          <w:rFonts w:ascii="Times New Roman" w:hAnsi="Times New Roman" w:eastAsiaTheme="minorEastAsia"/>
          <w:bCs/>
          <w:color w:val="auto"/>
          <w:w w:val="99"/>
          <w:kern w:val="21"/>
          <w:szCs w:val="20"/>
          <w:highlight w:val="none"/>
        </w:rPr>
        <w:t>采用地面碾压平整并铺设2mm厚防渗土工布进行防渗，渗透系数</w:t>
      </w:r>
      <w:r>
        <w:rPr>
          <w:rFonts w:hint="eastAsia" w:ascii="Times New Roman" w:hAnsi="Times New Roman" w:eastAsiaTheme="minorEastAsia"/>
          <w:bCs/>
          <w:color w:val="auto"/>
          <w:w w:val="99"/>
          <w:kern w:val="21"/>
          <w:szCs w:val="20"/>
          <w:highlight w:val="none"/>
        </w:rPr>
        <w:t>为</w:t>
      </w:r>
      <w:r>
        <w:rPr>
          <w:rFonts w:ascii="Times New Roman" w:hAnsi="Times New Roman" w:eastAsiaTheme="minorEastAsia"/>
          <w:bCs/>
          <w:color w:val="auto"/>
          <w:w w:val="99"/>
          <w:kern w:val="21"/>
          <w:szCs w:val="20"/>
          <w:highlight w:val="none"/>
        </w:rPr>
        <w:t>1×10</w:t>
      </w:r>
      <w:r>
        <w:rPr>
          <w:rFonts w:ascii="Times New Roman" w:hAnsi="Times New Roman" w:eastAsiaTheme="minorEastAsia"/>
          <w:bCs/>
          <w:color w:val="auto"/>
          <w:w w:val="99"/>
          <w:kern w:val="21"/>
          <w:szCs w:val="20"/>
          <w:highlight w:val="none"/>
          <w:vertAlign w:val="superscript"/>
        </w:rPr>
        <w:t>-10</w:t>
      </w:r>
      <w:r>
        <w:rPr>
          <w:rFonts w:ascii="Times New Roman" w:hAnsi="Times New Roman" w:eastAsiaTheme="minorEastAsia"/>
          <w:bCs/>
          <w:color w:val="auto"/>
          <w:w w:val="99"/>
          <w:kern w:val="21"/>
          <w:szCs w:val="20"/>
          <w:highlight w:val="none"/>
        </w:rPr>
        <w:t>cm/s；施工井场周围设置截水沟（</w:t>
      </w:r>
      <w:r>
        <w:rPr>
          <w:rFonts w:hint="eastAsia" w:ascii="Times New Roman" w:hAnsi="Times New Roman" w:eastAsiaTheme="minorEastAsia"/>
          <w:bCs/>
          <w:color w:val="auto"/>
          <w:w w:val="99"/>
          <w:kern w:val="21"/>
          <w:szCs w:val="20"/>
          <w:highlight w:val="none"/>
        </w:rPr>
        <w:t>单井长140m×宽0.5m×深0.5m</w:t>
      </w:r>
      <w:r>
        <w:rPr>
          <w:rFonts w:ascii="Times New Roman" w:hAnsi="Times New Roman" w:eastAsiaTheme="minorEastAsia"/>
          <w:bCs/>
          <w:color w:val="auto"/>
          <w:w w:val="99"/>
          <w:kern w:val="21"/>
          <w:szCs w:val="20"/>
          <w:highlight w:val="none"/>
        </w:rPr>
        <w:t>），防止钻井废水溢流污染周边地表水体。采取以上措施后可有效防止环境风险的发生。</w:t>
      </w:r>
    </w:p>
    <w:p>
      <w:pPr>
        <w:pStyle w:val="5"/>
        <w:keepNext w:val="0"/>
        <w:keepLines w:val="0"/>
        <w:widowControl w:val="0"/>
        <w:jc w:val="both"/>
        <w:rPr>
          <w:rFonts w:ascii="Times New Roman" w:hAnsi="Times New Roman"/>
          <w:b/>
          <w:snapToGrid w:val="0"/>
          <w:color w:val="auto"/>
          <w:w w:val="99"/>
          <w:highlight w:val="none"/>
        </w:rPr>
      </w:pPr>
      <w:bookmarkStart w:id="95" w:name="_Toc80105102"/>
      <w:bookmarkStart w:id="96" w:name="_Toc502736438"/>
      <w:r>
        <w:rPr>
          <w:rFonts w:ascii="Times New Roman" w:hAnsi="Times New Roman"/>
          <w:b/>
          <w:snapToGrid w:val="0"/>
          <w:color w:val="auto"/>
          <w:w w:val="99"/>
          <w:highlight w:val="none"/>
        </w:rPr>
        <w:t>1.6环境影响评价主要结论</w:t>
      </w:r>
      <w:bookmarkEnd w:id="95"/>
      <w:bookmarkEnd w:id="96"/>
    </w:p>
    <w:p>
      <w:pPr>
        <w:pStyle w:val="109"/>
        <w:widowControl w:val="0"/>
        <w:ind w:firstLine="473"/>
        <w:jc w:val="both"/>
        <w:rPr>
          <w:rFonts w:ascii="Times New Roman" w:hAnsi="Times New Roman" w:eastAsiaTheme="minorEastAsia"/>
          <w:snapToGrid w:val="0"/>
          <w:color w:val="auto"/>
          <w:w w:val="99"/>
          <w:highlight w:val="none"/>
        </w:rPr>
      </w:pPr>
      <w:bookmarkStart w:id="97" w:name="_Toc502736439"/>
      <w:r>
        <w:rPr>
          <w:rFonts w:ascii="Times New Roman" w:hAnsi="Times New Roman" w:eastAsiaTheme="minorEastAsia"/>
          <w:snapToGrid w:val="0"/>
          <w:color w:val="auto"/>
          <w:w w:val="99"/>
          <w:highlight w:val="none"/>
        </w:rPr>
        <w:t>根据《产业结构调整指导目录（2019 年本）》，石油、天然气勘探及开采属于鼓励类项目，本工程符合国家产业政策。按照《环境影响评价公众参与办法》（生态环境部令第 4 号，2019.1.1）的要求，本项目环评进行的过程中建设单位开展了公众参与调查，具体见《</w:t>
      </w:r>
      <w:r>
        <w:rPr>
          <w:rFonts w:hint="eastAsia" w:ascii="Times New Roman" w:hAnsi="Times New Roman" w:eastAsiaTheme="minorEastAsia"/>
          <w:snapToGrid w:val="0"/>
          <w:color w:val="auto"/>
          <w:w w:val="99"/>
          <w:highlight w:val="none"/>
          <w:lang w:eastAsia="zh-CN"/>
        </w:rPr>
        <w:t>肇源油田源35区块外扩开发钻井工程</w:t>
      </w:r>
      <w:r>
        <w:rPr>
          <w:rFonts w:hint="eastAsia" w:ascii="Times New Roman" w:hAnsi="Times New Roman" w:eastAsiaTheme="minorEastAsia"/>
          <w:snapToGrid w:val="0"/>
          <w:color w:val="auto"/>
          <w:w w:val="99"/>
          <w:highlight w:val="none"/>
        </w:rPr>
        <w:t>项目</w:t>
      </w:r>
      <w:r>
        <w:rPr>
          <w:rFonts w:ascii="Times New Roman" w:hAnsi="Times New Roman" w:eastAsiaTheme="minorEastAsia"/>
          <w:snapToGrid w:val="0"/>
          <w:color w:val="auto"/>
          <w:w w:val="99"/>
          <w:highlight w:val="none"/>
        </w:rPr>
        <w:t>环境影响评价公众参与说明》。</w:t>
      </w:r>
    </w:p>
    <w:p>
      <w:pPr>
        <w:pStyle w:val="109"/>
        <w:widowControl w:val="0"/>
        <w:ind w:firstLine="473"/>
        <w:jc w:val="both"/>
        <w:rPr>
          <w:rFonts w:ascii="Times New Roman" w:hAnsi="Times New Roman" w:eastAsiaTheme="minorEastAsia"/>
          <w:color w:val="auto"/>
          <w:w w:val="99"/>
          <w:highlight w:val="none"/>
        </w:rPr>
        <w:sectPr>
          <w:footerReference r:id="rId5" w:type="default"/>
          <w:pgSz w:w="11906" w:h="16838"/>
          <w:pgMar w:top="1418" w:right="1418" w:bottom="1418" w:left="1418" w:header="851" w:footer="992" w:gutter="0"/>
          <w:pgBorders>
            <w:top w:val="none" w:sz="0" w:space="0"/>
            <w:left w:val="none" w:sz="0" w:space="0"/>
            <w:bottom w:val="none" w:sz="0" w:space="0"/>
            <w:right w:val="none" w:sz="0" w:space="0"/>
          </w:pgBorders>
          <w:pgNumType w:start="1"/>
          <w:cols w:space="720" w:num="1"/>
          <w:docGrid w:type="lines" w:linePitch="312" w:charSpace="0"/>
        </w:sectPr>
      </w:pPr>
      <w:r>
        <w:rPr>
          <w:rFonts w:ascii="Times New Roman" w:hAnsi="Times New Roman" w:eastAsiaTheme="minorEastAsia"/>
          <w:snapToGrid w:val="0"/>
          <w:color w:val="auto"/>
          <w:w w:val="99"/>
          <w:highlight w:val="none"/>
        </w:rPr>
        <w:t>本报告书较为详细地论述了建设项目环境概况、主要环境问题、主要环境影响和拟采取的环保措施。主要结论为：</w:t>
      </w:r>
      <w:r>
        <w:rPr>
          <w:rFonts w:hint="eastAsia" w:ascii="Times New Roman" w:hAnsi="Times New Roman" w:eastAsiaTheme="minorEastAsia"/>
          <w:snapToGrid w:val="0"/>
          <w:color w:val="auto"/>
          <w:w w:val="99"/>
          <w:highlight w:val="none"/>
          <w:lang w:eastAsia="zh-CN"/>
        </w:rPr>
        <w:t>肇源油田源35区块外扩开发钻井工程</w:t>
      </w:r>
      <w:r>
        <w:rPr>
          <w:rFonts w:hint="eastAsia" w:ascii="Times New Roman" w:hAnsi="Times New Roman" w:eastAsiaTheme="minorEastAsia"/>
          <w:snapToGrid w:val="0"/>
          <w:color w:val="auto"/>
          <w:w w:val="99"/>
          <w:highlight w:val="none"/>
        </w:rPr>
        <w:t>项目</w:t>
      </w:r>
      <w:r>
        <w:rPr>
          <w:rFonts w:ascii="Times New Roman" w:hAnsi="Times New Roman" w:eastAsiaTheme="minorEastAsia"/>
          <w:snapToGrid w:val="0"/>
          <w:color w:val="auto"/>
          <w:w w:val="99"/>
          <w:highlight w:val="none"/>
        </w:rPr>
        <w:t>选址于</w:t>
      </w:r>
      <w:r>
        <w:rPr>
          <w:rFonts w:hint="eastAsia" w:ascii="Times New Roman" w:hAnsi="Times New Roman" w:eastAsiaTheme="minorEastAsia"/>
          <w:snapToGrid w:val="0"/>
          <w:color w:val="auto"/>
          <w:w w:val="99"/>
          <w:highlight w:val="none"/>
        </w:rPr>
        <w:t>大庆市</w:t>
      </w:r>
      <w:r>
        <w:rPr>
          <w:rFonts w:hint="eastAsia" w:ascii="Times New Roman" w:hAnsi="Times New Roman" w:eastAsiaTheme="minorEastAsia"/>
          <w:snapToGrid w:val="0"/>
          <w:color w:val="auto"/>
          <w:w w:val="99"/>
          <w:highlight w:val="none"/>
          <w:lang w:eastAsia="zh-CN"/>
        </w:rPr>
        <w:t>肇源县</w:t>
      </w:r>
      <w:r>
        <w:rPr>
          <w:rFonts w:ascii="Times New Roman" w:hAnsi="Times New Roman" w:eastAsiaTheme="minorEastAsia"/>
          <w:snapToGrid w:val="0"/>
          <w:color w:val="auto"/>
          <w:w w:val="99"/>
          <w:highlight w:val="none"/>
        </w:rPr>
        <w:t>，项目选址合理；</w:t>
      </w:r>
      <w:r>
        <w:rPr>
          <w:rFonts w:ascii="Times New Roman" w:hAnsi="Times New Roman" w:cs="Times New Roman" w:eastAsiaTheme="minorEastAsia"/>
          <w:color w:val="auto"/>
          <w:w w:val="99"/>
          <w:kern w:val="2"/>
          <w:highlight w:val="none"/>
        </w:rPr>
        <w:t>根据《黑龙江省人民政府关于实施“三线一单”生态环境分区管控的意见》（黑政发〔2020〕14 号）及《大庆市人民政府关于实施“三线一单”生态环境分区管控的意见》（庆政规〔2021〕3号）本项目拟建油井位于</w:t>
      </w:r>
      <w:r>
        <w:rPr>
          <w:rFonts w:hint="eastAsia" w:ascii="Times New Roman" w:hAnsi="Times New Roman" w:cs="Times New Roman" w:eastAsiaTheme="minorEastAsia"/>
          <w:color w:val="auto"/>
          <w:w w:val="99"/>
          <w:kern w:val="2"/>
          <w:highlight w:val="none"/>
          <w:lang w:eastAsia="zh-CN"/>
        </w:rPr>
        <w:t>一般</w:t>
      </w:r>
      <w:r>
        <w:rPr>
          <w:rFonts w:ascii="Times New Roman" w:hAnsi="Times New Roman" w:cs="Times New Roman" w:eastAsiaTheme="minorEastAsia"/>
          <w:color w:val="auto"/>
          <w:w w:val="99"/>
          <w:kern w:val="2"/>
          <w:highlight w:val="none"/>
        </w:rPr>
        <w:t>管控单元</w:t>
      </w:r>
      <w:r>
        <w:rPr>
          <w:rFonts w:hint="eastAsia" w:ascii="Times New Roman" w:hAnsi="Times New Roman" w:cs="Times New Roman" w:eastAsiaTheme="minorEastAsia"/>
          <w:color w:val="auto"/>
          <w:w w:val="99"/>
          <w:kern w:val="2"/>
          <w:highlight w:val="none"/>
          <w:lang w:eastAsia="zh-CN"/>
        </w:rPr>
        <w:t>，</w:t>
      </w:r>
      <w:r>
        <w:rPr>
          <w:rFonts w:ascii="Times New Roman" w:hAnsi="Times New Roman" w:cs="Times New Roman" w:eastAsiaTheme="minorEastAsia"/>
          <w:color w:val="auto"/>
          <w:w w:val="99"/>
          <w:kern w:val="2"/>
          <w:highlight w:val="none"/>
        </w:rPr>
        <w:t>本项目建设符合环境质量底线要求</w:t>
      </w:r>
      <w:r>
        <w:rPr>
          <w:rFonts w:hint="eastAsia" w:ascii="Times New Roman" w:hAnsi="Times New Roman" w:cs="Times New Roman" w:eastAsiaTheme="minorEastAsia"/>
          <w:color w:val="auto"/>
          <w:w w:val="99"/>
          <w:kern w:val="2"/>
          <w:highlight w:val="none"/>
          <w:lang w:eastAsia="zh-CN"/>
        </w:rPr>
        <w:t>，</w:t>
      </w:r>
      <w:r>
        <w:rPr>
          <w:rFonts w:ascii="Times New Roman" w:hAnsi="Times New Roman" w:cs="Times New Roman" w:eastAsiaTheme="minorEastAsia"/>
          <w:color w:val="auto"/>
          <w:w w:val="99"/>
          <w:kern w:val="2"/>
          <w:highlight w:val="none"/>
        </w:rPr>
        <w:t>项目建设符合资源利用上线要求</w:t>
      </w:r>
      <w:r>
        <w:rPr>
          <w:rFonts w:hint="eastAsia" w:ascii="Times New Roman" w:hAnsi="Times New Roman" w:cs="Times New Roman" w:eastAsiaTheme="minorEastAsia"/>
          <w:color w:val="auto"/>
          <w:w w:val="99"/>
          <w:kern w:val="2"/>
          <w:highlight w:val="none"/>
          <w:lang w:eastAsia="zh-CN"/>
        </w:rPr>
        <w:t>，</w:t>
      </w:r>
      <w:r>
        <w:rPr>
          <w:rFonts w:ascii="Times New Roman" w:hAnsi="Times New Roman" w:cs="Times New Roman" w:eastAsiaTheme="minorEastAsia"/>
          <w:color w:val="auto"/>
          <w:w w:val="99"/>
          <w:kern w:val="2"/>
          <w:highlight w:val="none"/>
        </w:rPr>
        <w:t>符合《大庆市人民政府关于实施“三线一单”生态环境分区管控的意见》（庆政规〔2021〕3号）中生态环境准入清单要求，本项目为环境准入允许类别</w:t>
      </w:r>
      <w:r>
        <w:rPr>
          <w:rFonts w:hint="eastAsia" w:ascii="Times New Roman" w:hAnsi="Times New Roman" w:cs="Times New Roman" w:eastAsiaTheme="minorEastAsia"/>
          <w:color w:val="auto"/>
          <w:w w:val="99"/>
          <w:kern w:val="2"/>
          <w:highlight w:val="none"/>
          <w:lang w:eastAsia="zh-CN"/>
        </w:rPr>
        <w:t>；</w:t>
      </w:r>
      <w:r>
        <w:rPr>
          <w:rFonts w:ascii="Times New Roman" w:hAnsi="Times New Roman" w:eastAsiaTheme="minorEastAsia"/>
          <w:snapToGrid w:val="0"/>
          <w:color w:val="auto"/>
          <w:w w:val="99"/>
          <w:highlight w:val="none"/>
        </w:rPr>
        <w:t>项目符合现行产业政策</w:t>
      </w:r>
      <w:r>
        <w:rPr>
          <w:rFonts w:hint="eastAsia" w:ascii="Times New Roman" w:hAnsi="Times New Roman" w:eastAsiaTheme="minorEastAsia"/>
          <w:snapToGrid w:val="0"/>
          <w:color w:val="auto"/>
          <w:w w:val="99"/>
          <w:highlight w:val="none"/>
          <w:lang w:eastAsia="zh-CN"/>
        </w:rPr>
        <w:t>及相关规划</w:t>
      </w:r>
      <w:r>
        <w:rPr>
          <w:rFonts w:ascii="Times New Roman" w:hAnsi="Times New Roman" w:eastAsiaTheme="minorEastAsia"/>
          <w:snapToGrid w:val="0"/>
          <w:color w:val="auto"/>
          <w:w w:val="99"/>
          <w:highlight w:val="none"/>
        </w:rPr>
        <w:t>；对产生的污染物采取行之有效的环保措施后，可以做到达标排放，对区域环境影响较小</w:t>
      </w:r>
      <w:r>
        <w:rPr>
          <w:rFonts w:hint="eastAsia" w:ascii="Times New Roman" w:hAnsi="Times New Roman" w:eastAsiaTheme="minorEastAsia"/>
          <w:snapToGrid w:val="0"/>
          <w:color w:val="auto"/>
          <w:w w:val="99"/>
          <w:highlight w:val="none"/>
          <w:lang w:eastAsia="zh-CN"/>
        </w:rPr>
        <w:t>环境风险可以防控</w:t>
      </w:r>
      <w:r>
        <w:rPr>
          <w:rFonts w:ascii="Times New Roman" w:hAnsi="Times New Roman" w:eastAsiaTheme="minorEastAsia"/>
          <w:snapToGrid w:val="0"/>
          <w:color w:val="auto"/>
          <w:w w:val="99"/>
          <w:highlight w:val="none"/>
        </w:rPr>
        <w:t>；公众参与调查结果表明，公众参与对该项目无反对意见。在确保落实好各项环保措施并保证其正常运行的前提下，从环境保护角度分析，本项目的建设可行</w:t>
      </w:r>
      <w:r>
        <w:rPr>
          <w:rFonts w:hint="eastAsia" w:ascii="Times New Roman" w:hAnsi="Times New Roman" w:eastAsiaTheme="minorEastAsia"/>
          <w:snapToGrid w:val="0"/>
          <w:color w:val="auto"/>
          <w:w w:val="99"/>
          <w:highlight w:val="none"/>
        </w:rPr>
        <w:t>。</w:t>
      </w:r>
    </w:p>
    <w:p>
      <w:pPr>
        <w:pStyle w:val="4"/>
        <w:widowControl w:val="0"/>
        <w:spacing w:line="500" w:lineRule="exact"/>
        <w:jc w:val="both"/>
        <w:rPr>
          <w:rFonts w:ascii="Times New Roman" w:hAnsi="Times New Roman"/>
          <w:b/>
          <w:snapToGrid w:val="0"/>
          <w:color w:val="auto"/>
          <w:w w:val="99"/>
          <w:sz w:val="30"/>
          <w:szCs w:val="30"/>
          <w:highlight w:val="none"/>
        </w:rPr>
      </w:pPr>
      <w:bookmarkStart w:id="98" w:name="_Toc80105103"/>
      <w:r>
        <w:rPr>
          <w:rFonts w:ascii="Times New Roman" w:hAnsi="Times New Roman"/>
          <w:b/>
          <w:snapToGrid w:val="0"/>
          <w:color w:val="auto"/>
          <w:w w:val="99"/>
          <w:sz w:val="30"/>
          <w:szCs w:val="30"/>
          <w:highlight w:val="none"/>
        </w:rPr>
        <w:t>2总则</w:t>
      </w:r>
      <w:bookmarkEnd w:id="98"/>
    </w:p>
    <w:p>
      <w:pPr>
        <w:pStyle w:val="5"/>
        <w:keepNext w:val="0"/>
        <w:keepLines w:val="0"/>
        <w:widowControl w:val="0"/>
        <w:jc w:val="both"/>
        <w:rPr>
          <w:rFonts w:ascii="Times New Roman" w:hAnsi="Times New Roman"/>
          <w:b/>
          <w:snapToGrid w:val="0"/>
          <w:color w:val="auto"/>
          <w:w w:val="99"/>
          <w:highlight w:val="none"/>
        </w:rPr>
      </w:pPr>
      <w:bookmarkStart w:id="99" w:name="_Toc80105104"/>
      <w:r>
        <w:rPr>
          <w:rFonts w:ascii="Times New Roman" w:hAnsi="Times New Roman"/>
          <w:b/>
          <w:snapToGrid w:val="0"/>
          <w:color w:val="auto"/>
          <w:w w:val="99"/>
          <w:highlight w:val="none"/>
        </w:rPr>
        <w:t>2.1评价目的</w:t>
      </w:r>
      <w:bookmarkEnd w:id="99"/>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根据本工程特性及工程所在地的环境特点，确定建设项目环境影响评价目的：</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（1）贯彻“预防为主，防治结合，综合利用”环境管理方针，要求在开发建设活动实施之前预计可能产生的环境污染与破坏，再据此采取防治对策，做到防患于未然。</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（2）本次环评将在工程分析的基础上，分析论证本项目“三废”排放情况及从环保角度确认工艺过程的先进性，为环境影响预测提供基础数据，并为今后的环境管理工作提供科学依据。</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（3）通过对建设地点及周围环境的综合现状调查和现场监测，了解和掌握该地区的环境质量现状及污染现状，并确定环境保护目标。</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（4）采用适当的预测模式，预测和评价工程投产后对该地区的环境影响程度和范围，提出经济上合理，技术上可行的环境保护措施。</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（5）通过对环境、经济的损益分析，论证本工程社会效益、环境效益和经济效益的统一性。</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（6）从环境功能规划、环境容量及周围环境敏感保护目标等方面，论证本项目选址的合理性，为项目实现优化选址、合理布局、最佳设计提供科学依据。</w:t>
      </w:r>
    </w:p>
    <w:p>
      <w:pPr>
        <w:pStyle w:val="5"/>
        <w:keepNext w:val="0"/>
        <w:keepLines w:val="0"/>
        <w:widowControl w:val="0"/>
        <w:jc w:val="both"/>
        <w:rPr>
          <w:rFonts w:ascii="Times New Roman" w:hAnsi="Times New Roman"/>
          <w:b/>
          <w:snapToGrid w:val="0"/>
          <w:color w:val="auto"/>
          <w:w w:val="99"/>
          <w:highlight w:val="none"/>
        </w:rPr>
      </w:pPr>
      <w:bookmarkStart w:id="100" w:name="_Toc80105105"/>
      <w:r>
        <w:rPr>
          <w:rFonts w:ascii="Times New Roman" w:hAnsi="Times New Roman"/>
          <w:b/>
          <w:snapToGrid w:val="0"/>
          <w:color w:val="auto"/>
          <w:w w:val="99"/>
          <w:highlight w:val="none"/>
        </w:rPr>
        <w:t>2.2评价原则</w:t>
      </w:r>
      <w:bookmarkEnd w:id="100"/>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 xml:space="preserve">突出环境影响评价的源头预防作用，坚持保护和改善环境质量。 </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（1）依法评价</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贯彻执行我国环境保护相关法律法规、标准、政策和规划等，优化项目建设，服务环境管理。</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（2）科学评价</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规范环境影响评价方法，科学分析项目建设对环境质量的影响。</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（3）突出重点</w:t>
      </w:r>
    </w:p>
    <w:p>
      <w:pPr>
        <w:pStyle w:val="109"/>
        <w:widowControl w:val="0"/>
        <w:ind w:firstLine="448"/>
        <w:jc w:val="both"/>
        <w:rPr>
          <w:rFonts w:ascii="Times New Roman" w:hAnsi="Times New Roman" w:eastAsiaTheme="minorEastAsia"/>
          <w:snapToGrid w:val="0"/>
          <w:color w:val="auto"/>
          <w:spacing w:val="-6"/>
          <w:w w:val="99"/>
          <w:highlight w:val="none"/>
        </w:rPr>
      </w:pPr>
      <w:r>
        <w:rPr>
          <w:rFonts w:ascii="Times New Roman" w:hAnsi="Times New Roman" w:eastAsiaTheme="minorEastAsia"/>
          <w:snapToGrid w:val="0"/>
          <w:color w:val="auto"/>
          <w:spacing w:val="-6"/>
          <w:w w:val="99"/>
          <w:highlight w:val="none"/>
        </w:rPr>
        <w:t>根据建设项目的工程内容及其特点，明确与环境要素间的作用效应关系，充分利用符合时效的数据资料及成果，对建设项目主要环境影响予以重点分析和评价。</w:t>
      </w:r>
    </w:p>
    <w:p>
      <w:pPr>
        <w:pStyle w:val="107"/>
        <w:spacing w:line="500" w:lineRule="exact"/>
        <w:jc w:val="both"/>
        <w:rPr>
          <w:rFonts w:ascii="Times New Roman" w:hAnsi="Times New Roman" w:cs="Times New Roman" w:eastAsiaTheme="minorEastAsia"/>
          <w:color w:val="auto"/>
          <w:w w:val="99"/>
          <w:highlight w:val="none"/>
        </w:rPr>
      </w:pPr>
    </w:p>
    <w:p>
      <w:pPr>
        <w:spacing w:line="500" w:lineRule="exact"/>
        <w:jc w:val="both"/>
        <w:rPr>
          <w:rFonts w:ascii="Times New Roman" w:hAnsi="Times New Roman" w:cs="Times New Roman"/>
          <w:color w:val="auto"/>
          <w:w w:val="99"/>
          <w:highlight w:val="none"/>
        </w:rPr>
      </w:pPr>
    </w:p>
    <w:p>
      <w:pPr>
        <w:pStyle w:val="5"/>
        <w:keepNext w:val="0"/>
        <w:keepLines w:val="0"/>
        <w:widowControl w:val="0"/>
        <w:jc w:val="both"/>
        <w:rPr>
          <w:rFonts w:ascii="Times New Roman" w:hAnsi="Times New Roman"/>
          <w:b/>
          <w:snapToGrid w:val="0"/>
          <w:color w:val="auto"/>
          <w:w w:val="99"/>
          <w:highlight w:val="none"/>
        </w:rPr>
      </w:pPr>
      <w:bookmarkStart w:id="101" w:name="_Toc80105106"/>
      <w:r>
        <w:rPr>
          <w:rFonts w:ascii="Times New Roman" w:hAnsi="Times New Roman"/>
          <w:b/>
          <w:snapToGrid w:val="0"/>
          <w:color w:val="auto"/>
          <w:w w:val="99"/>
          <w:highlight w:val="none"/>
        </w:rPr>
        <w:t>2.3编制依据</w:t>
      </w:r>
      <w:bookmarkEnd w:id="101"/>
    </w:p>
    <w:p>
      <w:pPr>
        <w:pStyle w:val="7"/>
        <w:keepNext w:val="0"/>
        <w:keepLines w:val="0"/>
        <w:widowControl w:val="0"/>
        <w:jc w:val="both"/>
        <w:rPr>
          <w:b/>
          <w:color w:val="auto"/>
          <w:w w:val="99"/>
          <w:kern w:val="2"/>
          <w:sz w:val="24"/>
          <w:szCs w:val="24"/>
          <w:highlight w:val="none"/>
        </w:rPr>
      </w:pPr>
      <w:bookmarkStart w:id="102" w:name="_Toc17898130"/>
      <w:bookmarkStart w:id="103" w:name="_Toc9305"/>
      <w:bookmarkStart w:id="104" w:name="_Toc57976640"/>
      <w:bookmarkStart w:id="105" w:name="_Toc57707885"/>
      <w:bookmarkStart w:id="106" w:name="_Toc57203215"/>
      <w:bookmarkStart w:id="107" w:name="_Toc80105107"/>
      <w:bookmarkStart w:id="108" w:name="_Toc77667251"/>
      <w:bookmarkStart w:id="109" w:name="_Toc61597184"/>
      <w:bookmarkStart w:id="110" w:name="_Toc67523556"/>
      <w:bookmarkStart w:id="111" w:name="_Toc71371907"/>
      <w:bookmarkStart w:id="112" w:name="_Toc74812278"/>
      <w:bookmarkStart w:id="113" w:name="_Toc69690774"/>
      <w:r>
        <w:rPr>
          <w:b/>
          <w:color w:val="auto"/>
          <w:w w:val="99"/>
          <w:kern w:val="2"/>
          <w:sz w:val="24"/>
          <w:szCs w:val="24"/>
          <w:highlight w:val="none"/>
        </w:rPr>
        <w:t>2.3.1</w:t>
      </w:r>
      <w:bookmarkEnd w:id="102"/>
      <w:bookmarkEnd w:id="103"/>
      <w:bookmarkEnd w:id="104"/>
      <w:bookmarkEnd w:id="105"/>
      <w:bookmarkEnd w:id="106"/>
      <w:r>
        <w:rPr>
          <w:b/>
          <w:color w:val="auto"/>
          <w:w w:val="99"/>
          <w:kern w:val="2"/>
          <w:sz w:val="24"/>
          <w:szCs w:val="24"/>
          <w:highlight w:val="none"/>
        </w:rPr>
        <w:t>环境保护相关法律</w:t>
      </w:r>
      <w:bookmarkEnd w:id="107"/>
      <w:bookmarkEnd w:id="108"/>
      <w:bookmarkEnd w:id="109"/>
      <w:bookmarkEnd w:id="110"/>
      <w:bookmarkEnd w:id="111"/>
      <w:bookmarkEnd w:id="112"/>
      <w:bookmarkEnd w:id="113"/>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（1）《中华人民共和国环境保护法》，</w:t>
      </w:r>
      <w:r>
        <w:rPr>
          <w:rFonts w:ascii="Times New Roman" w:hAnsi="Times New Roman" w:eastAsiaTheme="minorEastAsia"/>
          <w:color w:val="auto"/>
          <w:w w:val="99"/>
          <w:highlight w:val="none"/>
        </w:rPr>
        <w:t>2015年1月1日</w:t>
      </w:r>
      <w:r>
        <w:rPr>
          <w:rFonts w:ascii="Times New Roman" w:hAnsi="Times New Roman" w:eastAsiaTheme="minorEastAsia"/>
          <w:snapToGrid w:val="0"/>
          <w:color w:val="auto"/>
          <w:w w:val="99"/>
          <w:highlight w:val="none"/>
        </w:rPr>
        <w:t>；</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（2）《中华人民共和国环境影响评价法》（修订），</w:t>
      </w:r>
      <w:r>
        <w:rPr>
          <w:rFonts w:ascii="Times New Roman" w:hAnsi="Times New Roman" w:eastAsiaTheme="minorEastAsia"/>
          <w:color w:val="auto"/>
          <w:w w:val="99"/>
          <w:highlight w:val="none"/>
        </w:rPr>
        <w:t>2018年12月29日</w:t>
      </w:r>
      <w:r>
        <w:rPr>
          <w:rFonts w:ascii="Times New Roman" w:hAnsi="Times New Roman" w:eastAsiaTheme="minorEastAsia"/>
          <w:snapToGrid w:val="0"/>
          <w:color w:val="auto"/>
          <w:w w:val="99"/>
          <w:highlight w:val="none"/>
        </w:rPr>
        <w:t>；</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（3）《中华人民共和国大气污染防治法》，</w:t>
      </w:r>
      <w:r>
        <w:rPr>
          <w:rFonts w:ascii="Times New Roman" w:hAnsi="Times New Roman" w:eastAsiaTheme="minorEastAsia"/>
          <w:color w:val="auto"/>
          <w:w w:val="99"/>
          <w:highlight w:val="none"/>
        </w:rPr>
        <w:t>2018年10月26日</w:t>
      </w:r>
      <w:r>
        <w:rPr>
          <w:rFonts w:ascii="Times New Roman" w:hAnsi="Times New Roman" w:eastAsiaTheme="minorEastAsia"/>
          <w:snapToGrid w:val="0"/>
          <w:color w:val="auto"/>
          <w:w w:val="99"/>
          <w:highlight w:val="none"/>
        </w:rPr>
        <w:t>；</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（4）《中华人民共和国水污染防治法》，2018年1月1日；</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（5）《中华人民共和国环境噪声污染防治法》，</w:t>
      </w:r>
      <w:r>
        <w:rPr>
          <w:rFonts w:ascii="Times New Roman" w:hAnsi="Times New Roman" w:eastAsiaTheme="minorEastAsia"/>
          <w:color w:val="auto"/>
          <w:w w:val="99"/>
          <w:highlight w:val="none"/>
        </w:rPr>
        <w:t>20</w:t>
      </w:r>
      <w:r>
        <w:rPr>
          <w:rFonts w:hint="eastAsia" w:ascii="Times New Roman" w:hAnsi="Times New Roman" w:eastAsiaTheme="minorEastAsia"/>
          <w:color w:val="auto"/>
          <w:w w:val="99"/>
          <w:highlight w:val="none"/>
          <w:lang w:val="en-US" w:eastAsia="zh-CN"/>
        </w:rPr>
        <w:t>22</w:t>
      </w:r>
      <w:r>
        <w:rPr>
          <w:rFonts w:ascii="Times New Roman" w:hAnsi="Times New Roman" w:eastAsiaTheme="minorEastAsia"/>
          <w:color w:val="auto"/>
          <w:w w:val="99"/>
          <w:highlight w:val="none"/>
        </w:rPr>
        <w:t>年</w:t>
      </w:r>
      <w:r>
        <w:rPr>
          <w:rFonts w:hint="eastAsia" w:ascii="Times New Roman" w:hAnsi="Times New Roman" w:eastAsiaTheme="minorEastAsia"/>
          <w:color w:val="auto"/>
          <w:w w:val="99"/>
          <w:highlight w:val="none"/>
          <w:lang w:val="en-US" w:eastAsia="zh-CN"/>
        </w:rPr>
        <w:t>6</w:t>
      </w:r>
      <w:r>
        <w:rPr>
          <w:rFonts w:ascii="Times New Roman" w:hAnsi="Times New Roman" w:eastAsiaTheme="minorEastAsia"/>
          <w:color w:val="auto"/>
          <w:w w:val="99"/>
          <w:highlight w:val="none"/>
        </w:rPr>
        <w:t>月</w:t>
      </w:r>
      <w:r>
        <w:rPr>
          <w:rFonts w:hint="eastAsia" w:ascii="Times New Roman" w:hAnsi="Times New Roman" w:eastAsiaTheme="minorEastAsia"/>
          <w:color w:val="auto"/>
          <w:w w:val="99"/>
          <w:highlight w:val="none"/>
          <w:lang w:val="en-US" w:eastAsia="zh-CN"/>
        </w:rPr>
        <w:t>5</w:t>
      </w:r>
      <w:r>
        <w:rPr>
          <w:rFonts w:ascii="Times New Roman" w:hAnsi="Times New Roman" w:eastAsiaTheme="minorEastAsia"/>
          <w:color w:val="auto"/>
          <w:w w:val="99"/>
          <w:highlight w:val="none"/>
        </w:rPr>
        <w:t>日</w:t>
      </w:r>
      <w:r>
        <w:rPr>
          <w:rFonts w:ascii="Times New Roman" w:hAnsi="Times New Roman" w:eastAsiaTheme="minorEastAsia"/>
          <w:snapToGrid w:val="0"/>
          <w:color w:val="auto"/>
          <w:w w:val="99"/>
          <w:highlight w:val="none"/>
        </w:rPr>
        <w:t>；</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snapToGrid w:val="0"/>
          <w:color w:val="auto"/>
          <w:w w:val="99"/>
          <w:highlight w:val="none"/>
        </w:rPr>
        <w:t>（6）《中华人民共和国土壤污染防治法》，</w:t>
      </w:r>
      <w:r>
        <w:rPr>
          <w:rFonts w:ascii="Times New Roman" w:hAnsi="Times New Roman" w:eastAsiaTheme="minorEastAsia"/>
          <w:color w:val="auto"/>
          <w:w w:val="99"/>
          <w:highlight w:val="none"/>
        </w:rPr>
        <w:t>2019年1月1日</w:t>
      </w:r>
      <w:r>
        <w:rPr>
          <w:rFonts w:ascii="Times New Roman" w:hAnsi="Times New Roman" w:eastAsiaTheme="minorEastAsia"/>
          <w:snapToGrid w:val="0"/>
          <w:color w:val="auto"/>
          <w:w w:val="99"/>
          <w:highlight w:val="none"/>
        </w:rPr>
        <w:t>；</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（7）《中华人民共和国固体废物污染环境防治法》，2020年4月29日修订，2020年9月1日起施行；</w:t>
      </w:r>
    </w:p>
    <w:p>
      <w:pPr>
        <w:pStyle w:val="109"/>
        <w:widowControl w:val="0"/>
        <w:ind w:firstLine="473"/>
        <w:jc w:val="both"/>
        <w:rPr>
          <w:rFonts w:hint="eastAsia" w:ascii="Times New Roman" w:hAnsi="Times New Roman" w:eastAsiaTheme="minorEastAsia"/>
          <w:snapToGrid w:val="0"/>
          <w:color w:val="auto"/>
          <w:w w:val="99"/>
          <w:highlight w:val="none"/>
          <w:lang w:eastAsia="zh-CN"/>
        </w:rPr>
      </w:pPr>
      <w:r>
        <w:rPr>
          <w:rFonts w:ascii="Times New Roman" w:hAnsi="Times New Roman" w:eastAsiaTheme="minorEastAsia"/>
          <w:snapToGrid w:val="0"/>
          <w:color w:val="auto"/>
          <w:w w:val="99"/>
          <w:highlight w:val="none"/>
        </w:rPr>
        <w:t>（8）《中华人民共和国水土保持法》（中华人民共和国主席令第 39 号，2011年3月1日）</w:t>
      </w:r>
      <w:r>
        <w:rPr>
          <w:rFonts w:hint="eastAsia" w:ascii="Times New Roman" w:hAnsi="Times New Roman" w:eastAsiaTheme="minorEastAsia"/>
          <w:snapToGrid w:val="0"/>
          <w:color w:val="auto"/>
          <w:w w:val="99"/>
          <w:highlight w:val="none"/>
          <w:lang w:eastAsia="zh-CN"/>
        </w:rPr>
        <w:t>；</w:t>
      </w:r>
    </w:p>
    <w:p>
      <w:pPr>
        <w:ind w:firstLine="474" w:firstLineChars="200"/>
        <w:rPr>
          <w:rFonts w:ascii="Times New Roman" w:hAnsi="Times New Roman" w:cs="Times New Roman" w:eastAsiaTheme="minorEastAsia"/>
          <w:snapToGrid w:val="0"/>
          <w:color w:val="auto"/>
          <w:w w:val="99"/>
          <w:sz w:val="24"/>
          <w:szCs w:val="24"/>
          <w:highlight w:val="none"/>
          <w:lang w:val="en-US" w:eastAsia="zh-CN" w:bidi="ar-SA"/>
        </w:rPr>
      </w:pPr>
      <w:r>
        <w:rPr>
          <w:rFonts w:ascii="Times New Roman" w:hAnsi="Times New Roman" w:cs="Times New Roman" w:eastAsiaTheme="minorEastAsia"/>
          <w:snapToGrid w:val="0"/>
          <w:color w:val="auto"/>
          <w:w w:val="99"/>
          <w:sz w:val="24"/>
          <w:szCs w:val="24"/>
          <w:highlight w:val="none"/>
          <w:lang w:val="en-US" w:eastAsia="zh-CN" w:bidi="ar-SA"/>
        </w:rPr>
        <w:t>（</w:t>
      </w:r>
      <w:r>
        <w:rPr>
          <w:rFonts w:hint="eastAsia" w:ascii="Times New Roman" w:hAnsi="Times New Roman" w:cs="Times New Roman" w:eastAsiaTheme="minorEastAsia"/>
          <w:snapToGrid w:val="0"/>
          <w:color w:val="auto"/>
          <w:w w:val="99"/>
          <w:sz w:val="24"/>
          <w:szCs w:val="24"/>
          <w:highlight w:val="none"/>
          <w:lang w:val="en-US" w:eastAsia="zh-CN" w:bidi="ar-SA"/>
        </w:rPr>
        <w:t>9</w:t>
      </w:r>
      <w:r>
        <w:rPr>
          <w:rFonts w:ascii="Times New Roman" w:hAnsi="Times New Roman" w:cs="Times New Roman" w:eastAsiaTheme="minorEastAsia"/>
          <w:snapToGrid w:val="0"/>
          <w:color w:val="auto"/>
          <w:w w:val="99"/>
          <w:sz w:val="24"/>
          <w:szCs w:val="24"/>
          <w:highlight w:val="none"/>
          <w:lang w:val="en-US" w:eastAsia="zh-CN" w:bidi="ar-SA"/>
        </w:rPr>
        <w:t>）</w:t>
      </w:r>
      <w:r>
        <w:rPr>
          <w:rFonts w:hint="default" w:ascii="Times New Roman" w:hAnsi="Times New Roman" w:cs="Times New Roman" w:eastAsiaTheme="minorEastAsia"/>
          <w:snapToGrid w:val="0"/>
          <w:color w:val="auto"/>
          <w:w w:val="99"/>
          <w:sz w:val="24"/>
          <w:szCs w:val="24"/>
          <w:highlight w:val="none"/>
          <w:lang w:val="en-US" w:eastAsia="zh-CN" w:bidi="ar-SA"/>
        </w:rPr>
        <w:t>《地下水管理条例》（国令第748号，2021年12月1日修订施行）</w:t>
      </w:r>
      <w:r>
        <w:rPr>
          <w:rFonts w:hint="eastAsia" w:ascii="Times New Roman" w:hAnsi="Times New Roman" w:cs="Times New Roman" w:eastAsiaTheme="minorEastAsia"/>
          <w:snapToGrid w:val="0"/>
          <w:color w:val="auto"/>
          <w:w w:val="99"/>
          <w:sz w:val="24"/>
          <w:szCs w:val="24"/>
          <w:highlight w:val="none"/>
          <w:lang w:val="en-US" w:eastAsia="zh-CN" w:bidi="ar-SA"/>
        </w:rPr>
        <w:t>。</w:t>
      </w:r>
    </w:p>
    <w:p>
      <w:pPr>
        <w:pStyle w:val="7"/>
        <w:keepNext w:val="0"/>
        <w:keepLines w:val="0"/>
        <w:widowControl w:val="0"/>
        <w:jc w:val="both"/>
        <w:rPr>
          <w:b/>
          <w:color w:val="auto"/>
          <w:w w:val="99"/>
          <w:kern w:val="2"/>
          <w:sz w:val="24"/>
          <w:szCs w:val="24"/>
          <w:highlight w:val="none"/>
        </w:rPr>
      </w:pPr>
      <w:bookmarkStart w:id="114" w:name="_Toc61597185"/>
      <w:bookmarkStart w:id="115" w:name="_Toc74812279"/>
      <w:bookmarkStart w:id="116" w:name="_Toc67523557"/>
      <w:bookmarkStart w:id="117" w:name="_Toc69690775"/>
      <w:bookmarkStart w:id="118" w:name="_Toc80105108"/>
      <w:bookmarkStart w:id="119" w:name="_Toc77667252"/>
      <w:bookmarkStart w:id="120" w:name="_Toc71371908"/>
      <w:r>
        <w:rPr>
          <w:b/>
          <w:color w:val="auto"/>
          <w:w w:val="99"/>
          <w:kern w:val="2"/>
          <w:sz w:val="24"/>
          <w:szCs w:val="24"/>
          <w:highlight w:val="none"/>
        </w:rPr>
        <w:t>2.3.2环境保护相关法规</w:t>
      </w:r>
      <w:bookmarkEnd w:id="114"/>
      <w:bookmarkEnd w:id="115"/>
      <w:bookmarkEnd w:id="116"/>
      <w:bookmarkEnd w:id="117"/>
      <w:bookmarkEnd w:id="118"/>
      <w:bookmarkEnd w:id="119"/>
      <w:bookmarkEnd w:id="120"/>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（1）《建设项目环境保护管理条例》（中华人民共和国国务院令第 682号，2017.10.01）；</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（2）《中华人民共和国土地管理法》（2019修订），2019年8月26日修订，2020年1月1日起施行；</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（3）《土地复垦条例》（中华人民共和国国务院令第592号，2011.03.05）；</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（4）《黑龙江省环境保护条例》（2018.06.28）；</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（5）《黑龙江省石油天然气勘探开发环境保护条例》（2018.04.26）；</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（6）《黑龙江省大气污染防治条例》（2018.12.27）。</w:t>
      </w:r>
    </w:p>
    <w:p>
      <w:pPr>
        <w:pStyle w:val="7"/>
        <w:keepNext w:val="0"/>
        <w:keepLines w:val="0"/>
        <w:widowControl w:val="0"/>
        <w:jc w:val="both"/>
        <w:rPr>
          <w:b/>
          <w:color w:val="auto"/>
          <w:w w:val="99"/>
          <w:kern w:val="2"/>
          <w:sz w:val="24"/>
          <w:szCs w:val="24"/>
          <w:highlight w:val="none"/>
        </w:rPr>
      </w:pPr>
      <w:bookmarkStart w:id="121" w:name="_Toc61597186"/>
      <w:bookmarkStart w:id="122" w:name="_Toc69690776"/>
      <w:bookmarkStart w:id="123" w:name="_Toc80105109"/>
      <w:bookmarkStart w:id="124" w:name="_Toc71371909"/>
      <w:bookmarkStart w:id="125" w:name="_Toc74812280"/>
      <w:bookmarkStart w:id="126" w:name="_Toc77667253"/>
      <w:bookmarkStart w:id="127" w:name="_Toc67523558"/>
      <w:r>
        <w:rPr>
          <w:b/>
          <w:color w:val="auto"/>
          <w:w w:val="99"/>
          <w:kern w:val="2"/>
          <w:sz w:val="24"/>
          <w:szCs w:val="24"/>
          <w:highlight w:val="none"/>
        </w:rPr>
        <w:t>2.3.3环境保护相关部门规章及规范性文件</w:t>
      </w:r>
      <w:bookmarkEnd w:id="121"/>
      <w:bookmarkEnd w:id="122"/>
      <w:bookmarkEnd w:id="123"/>
      <w:bookmarkEnd w:id="124"/>
      <w:bookmarkEnd w:id="125"/>
      <w:bookmarkEnd w:id="126"/>
      <w:bookmarkEnd w:id="127"/>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（1）《建设项目环境影响评价分类管理名录（2021年版）》（部令第16号），2021年1月1日起施行；</w:t>
      </w:r>
    </w:p>
    <w:p>
      <w:pPr>
        <w:pStyle w:val="109"/>
        <w:widowControl w:val="0"/>
        <w:ind w:firstLine="473"/>
        <w:jc w:val="both"/>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rPr>
        <w:t>（2）</w:t>
      </w:r>
      <w:r>
        <w:rPr>
          <w:rFonts w:ascii="Times New Roman" w:hAnsi="Times New Roman"/>
          <w:iCs/>
          <w:color w:val="auto"/>
          <w:w w:val="99"/>
          <w:kern w:val="2"/>
          <w:highlight w:val="none"/>
        </w:rPr>
        <w:t>《打赢蓝天保卫战三年行动计划》（国发〔2018〕22 号）</w:t>
      </w:r>
      <w:r>
        <w:rPr>
          <w:rFonts w:hint="eastAsia" w:ascii="Times New Roman" w:hAnsi="Times New Roman"/>
          <w:iCs/>
          <w:color w:val="auto"/>
          <w:w w:val="99"/>
          <w:kern w:val="2"/>
          <w:highlight w:val="none"/>
        </w:rPr>
        <w:t>；</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（3）《国务院关于印发大气污染防治行动计划的通知》（国发〔2013〕37 号，2013.09.10）；</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（4）《国务院关于印发水污染防治行动计划的通知》（国发〔2015〕17号，2015.04.02）；</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（5）《国务院关于印发土壤污染防治行动计划的通知》（国发〔2016〕31 号，2016.05.28）；</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（6）《产业结构调整指导目录（2019 年本）》（发改委29号令）；</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（7）《国家危险废物名录（2021年版）》（部令第15号，2021年1月1日期施行）；</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（8）《关于进一步加强环境影响评价管理防范环境风险的通知》（环发[2012]7</w:t>
      </w:r>
      <w:r>
        <w:rPr>
          <w:rFonts w:hint="eastAsia" w:ascii="Times New Roman" w:hAnsi="Times New Roman" w:eastAsiaTheme="minorEastAsia"/>
          <w:snapToGrid w:val="0"/>
          <w:color w:val="auto"/>
          <w:w w:val="99"/>
          <w:highlight w:val="none"/>
        </w:rPr>
        <w:t>7</w:t>
      </w:r>
      <w:r>
        <w:rPr>
          <w:rFonts w:ascii="Times New Roman" w:hAnsi="Times New Roman" w:eastAsiaTheme="minorEastAsia"/>
          <w:snapToGrid w:val="0"/>
          <w:color w:val="auto"/>
          <w:w w:val="99"/>
          <w:highlight w:val="none"/>
        </w:rPr>
        <w:t>号，2012.07.03）；</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（9）《关于切实加强风险防范严格环境影响评价管理的通知》（环发[2012]9</w:t>
      </w:r>
      <w:r>
        <w:rPr>
          <w:rFonts w:hint="eastAsia" w:ascii="Times New Roman" w:hAnsi="Times New Roman" w:eastAsiaTheme="minorEastAsia"/>
          <w:snapToGrid w:val="0"/>
          <w:color w:val="auto"/>
          <w:w w:val="99"/>
          <w:highlight w:val="none"/>
        </w:rPr>
        <w:t>8</w:t>
      </w:r>
      <w:r>
        <w:rPr>
          <w:rFonts w:ascii="Times New Roman" w:hAnsi="Times New Roman" w:eastAsiaTheme="minorEastAsia"/>
          <w:snapToGrid w:val="0"/>
          <w:color w:val="auto"/>
          <w:w w:val="99"/>
          <w:highlight w:val="none"/>
        </w:rPr>
        <w:t>号，2012.08.07）；</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（10）《环境影响评价公众参与办法》 （生态环境部令第4号，2019.01.01）；</w:t>
      </w:r>
    </w:p>
    <w:p>
      <w:pPr>
        <w:pStyle w:val="109"/>
        <w:ind w:firstLine="473"/>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11</w:t>
      </w: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关于进一步加强石油天然气行业环境影响评价管理的通知》</w:t>
      </w:r>
      <w:r>
        <w:rPr>
          <w:rFonts w:hint="eastAsia" w:ascii="Times New Roman" w:hAnsi="Times New Roman" w:eastAsiaTheme="minorEastAsia"/>
          <w:snapToGrid w:val="0"/>
          <w:color w:val="auto"/>
          <w:w w:val="99"/>
          <w:highlight w:val="none"/>
        </w:rPr>
        <w:t>（环办环评函〔</w:t>
      </w:r>
      <w:r>
        <w:rPr>
          <w:rFonts w:ascii="Times New Roman" w:hAnsi="Times New Roman" w:eastAsiaTheme="minorEastAsia"/>
          <w:snapToGrid w:val="0"/>
          <w:color w:val="auto"/>
          <w:w w:val="99"/>
          <w:highlight w:val="none"/>
        </w:rPr>
        <w:t>2019〕910</w:t>
      </w:r>
      <w:r>
        <w:rPr>
          <w:rFonts w:hint="eastAsia" w:ascii="Times New Roman" w:hAnsi="Times New Roman" w:eastAsiaTheme="minorEastAsia"/>
          <w:snapToGrid w:val="0"/>
          <w:color w:val="auto"/>
          <w:w w:val="99"/>
          <w:highlight w:val="none"/>
        </w:rPr>
        <w:t>号）；</w:t>
      </w:r>
    </w:p>
    <w:p>
      <w:pPr>
        <w:pStyle w:val="109"/>
        <w:widowControl w:val="0"/>
        <w:ind w:firstLine="473"/>
        <w:jc w:val="both"/>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12</w:t>
      </w:r>
      <w:r>
        <w:rPr>
          <w:rFonts w:hint="eastAsia" w:ascii="Times New Roman" w:hAnsi="Times New Roman" w:eastAsiaTheme="minorEastAsia"/>
          <w:snapToGrid w:val="0"/>
          <w:color w:val="auto"/>
          <w:w w:val="99"/>
          <w:highlight w:val="none"/>
        </w:rPr>
        <w:t xml:space="preserve">） </w:t>
      </w:r>
      <w:r>
        <w:rPr>
          <w:rFonts w:ascii="Times New Roman" w:hAnsi="Times New Roman" w:eastAsiaTheme="minorEastAsia"/>
          <w:snapToGrid w:val="0"/>
          <w:color w:val="auto"/>
          <w:w w:val="99"/>
          <w:highlight w:val="none"/>
        </w:rPr>
        <w:t>《石油天然气开采业污染防治技术政策》（环保部公告2012年第18号）</w:t>
      </w:r>
      <w:r>
        <w:rPr>
          <w:rFonts w:hint="eastAsia" w:ascii="Times New Roman" w:hAnsi="Times New Roman" w:eastAsiaTheme="minorEastAsia"/>
          <w:snapToGrid w:val="0"/>
          <w:color w:val="auto"/>
          <w:w w:val="99"/>
          <w:highlight w:val="none"/>
        </w:rPr>
        <w:t>；</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（13）</w:t>
      </w:r>
      <w:r>
        <w:rPr>
          <w:rFonts w:ascii="Times New Roman" w:hAnsi="Times New Roman" w:eastAsiaTheme="minorEastAsia"/>
          <w:color w:val="auto"/>
          <w:w w:val="99"/>
          <w:szCs w:val="21"/>
          <w:highlight w:val="none"/>
        </w:rPr>
        <w:t>《2020年挥发性有机物治理攻坚方案》（环大气〔2020〕33号，2020.06.24）；</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（14）《黑龙江省水污染防治工作方案》 （黑政发[2016]3 号，2016.01.10）；</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（15）《黑龙江省打赢蓝天保卫战三年行动计划的通知》 （黑政规〔2018〕19 号，2018.11.17）；</w:t>
      </w:r>
    </w:p>
    <w:p>
      <w:pPr>
        <w:pStyle w:val="109"/>
        <w:widowControl w:val="0"/>
        <w:ind w:firstLine="473"/>
        <w:jc w:val="both"/>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rPr>
        <w:t>（1</w:t>
      </w:r>
      <w:r>
        <w:rPr>
          <w:rFonts w:ascii="Times New Roman" w:hAnsi="Times New Roman" w:eastAsiaTheme="minorEastAsia"/>
          <w:snapToGrid w:val="0"/>
          <w:color w:val="auto"/>
          <w:w w:val="99"/>
          <w:highlight w:val="none"/>
        </w:rPr>
        <w:t>6</w:t>
      </w:r>
      <w:r>
        <w:rPr>
          <w:rFonts w:hint="eastAsia" w:ascii="Times New Roman" w:hAnsi="Times New Roman" w:eastAsiaTheme="minorEastAsia"/>
          <w:snapToGrid w:val="0"/>
          <w:color w:val="auto"/>
          <w:w w:val="99"/>
          <w:highlight w:val="none"/>
        </w:rPr>
        <w:t>）《黑龙江省重点行业挥发性有机物综合治理行动方案》（黑环发〔</w:t>
      </w:r>
      <w:r>
        <w:rPr>
          <w:rFonts w:ascii="Times New Roman" w:hAnsi="Times New Roman" w:eastAsiaTheme="minorEastAsia"/>
          <w:snapToGrid w:val="0"/>
          <w:color w:val="auto"/>
          <w:w w:val="99"/>
          <w:highlight w:val="none"/>
        </w:rPr>
        <w:t>2019〕153号）</w:t>
      </w:r>
      <w:r>
        <w:rPr>
          <w:rFonts w:hint="eastAsia" w:ascii="Times New Roman" w:hAnsi="Times New Roman" w:eastAsiaTheme="minorEastAsia"/>
          <w:snapToGrid w:val="0"/>
          <w:color w:val="auto"/>
          <w:w w:val="99"/>
          <w:highlight w:val="none"/>
        </w:rPr>
        <w:t>；</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（17）《黑龙江省土壤污染防治实施方案》（黑政发[2016]46 号，2016.12.30）；</w:t>
      </w:r>
    </w:p>
    <w:p>
      <w:pPr>
        <w:pStyle w:val="109"/>
        <w:ind w:firstLine="473"/>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18</w:t>
      </w:r>
      <w:r>
        <w:rPr>
          <w:rFonts w:hint="eastAsia" w:ascii="Times New Roman" w:hAnsi="Times New Roman" w:eastAsiaTheme="minorEastAsia"/>
          <w:snapToGrid w:val="0"/>
          <w:color w:val="auto"/>
          <w:w w:val="99"/>
          <w:highlight w:val="none"/>
        </w:rPr>
        <w:t>）《黑龙江省主体功能区规划》；</w:t>
      </w:r>
    </w:p>
    <w:p>
      <w:pPr>
        <w:pStyle w:val="109"/>
        <w:ind w:firstLine="473"/>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19</w:t>
      </w:r>
      <w:r>
        <w:rPr>
          <w:rFonts w:hint="eastAsia" w:ascii="Times New Roman" w:hAnsi="Times New Roman" w:eastAsiaTheme="minorEastAsia"/>
          <w:snapToGrid w:val="0"/>
          <w:color w:val="auto"/>
          <w:w w:val="99"/>
          <w:highlight w:val="none"/>
        </w:rPr>
        <w:t>）《黑龙江省生态功能区规划》；</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（20）《黑龙江省人民政府关于实施“三线一单”生态环境分区管控的意见》（黑政发〔2020〕14号，2020.12.16）；</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（21）《大庆市打赢蓝天保卫战三年行动计划》（庆政规〔2019〕5 号，2019.03.08）；</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（22）《大庆市加强水污染防治工作实施方案》（庆政办发〔2015〕55号，2015.12.31）；</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（23）《大庆市土壤污染防治实施方案》（庆政规〔2017〕2 号，2017.03.31）；</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（24）《大庆市人民政府关于印发大庆市声环境功能区划分、大庆市环境空气质量功能区划分、大庆市地表水环境功能区划分的通知》（庆政发〔2019〕11号）；</w:t>
      </w:r>
    </w:p>
    <w:p>
      <w:pPr>
        <w:pStyle w:val="109"/>
        <w:widowControl w:val="0"/>
        <w:ind w:firstLine="473"/>
        <w:jc w:val="both"/>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25</w:t>
      </w: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《大庆市人民政府关于实施“三线一单”生态环境分区管控的意见》</w:t>
      </w:r>
      <w:r>
        <w:rPr>
          <w:rFonts w:hint="eastAsia" w:ascii="Times New Roman" w:hAnsi="Times New Roman" w:eastAsiaTheme="minorEastAsia"/>
          <w:snapToGrid w:val="0"/>
          <w:color w:val="auto"/>
          <w:w w:val="99"/>
          <w:highlight w:val="none"/>
        </w:rPr>
        <w:t>（庆政规</w:t>
      </w:r>
      <w:r>
        <w:rPr>
          <w:rFonts w:ascii="Times New Roman" w:hAnsi="Times New Roman" w:eastAsiaTheme="minorEastAsia"/>
          <w:snapToGrid w:val="0"/>
          <w:color w:val="auto"/>
          <w:w w:val="99"/>
          <w:highlight w:val="none"/>
        </w:rPr>
        <w:t>〔2021〕3号</w:t>
      </w: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（26）《大庆市土地利用总体规划》（2006-2020年）；</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（27）《大庆市水土保持规划》（2015～2030年）</w:t>
      </w:r>
      <w:r>
        <w:rPr>
          <w:rFonts w:hint="eastAsia" w:ascii="Times New Roman" w:hAnsi="Times New Roman" w:eastAsiaTheme="minorEastAsia"/>
          <w:snapToGrid w:val="0"/>
          <w:color w:val="auto"/>
          <w:w w:val="99"/>
          <w:highlight w:val="none"/>
        </w:rPr>
        <w:t>；</w:t>
      </w:r>
    </w:p>
    <w:p>
      <w:pPr>
        <w:pStyle w:val="109"/>
        <w:widowControl w:val="0"/>
        <w:ind w:firstLine="473"/>
        <w:jc w:val="both"/>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rPr>
        <w:t>（2</w:t>
      </w:r>
      <w:r>
        <w:rPr>
          <w:rFonts w:ascii="Times New Roman" w:hAnsi="Times New Roman" w:eastAsiaTheme="minorEastAsia"/>
          <w:snapToGrid w:val="0"/>
          <w:color w:val="auto"/>
          <w:w w:val="99"/>
          <w:highlight w:val="none"/>
        </w:rPr>
        <w:t>8</w:t>
      </w: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《大庆油田有限责任公司关于下达&lt;2021年大庆油田生产建设规划&gt;的通知》（庆油发〔2020〕152号）</w:t>
      </w:r>
      <w:r>
        <w:rPr>
          <w:rFonts w:hint="eastAsia" w:ascii="Times New Roman" w:hAnsi="Times New Roman" w:eastAsiaTheme="minorEastAsia"/>
          <w:snapToGrid w:val="0"/>
          <w:color w:val="auto"/>
          <w:w w:val="99"/>
          <w:highlight w:val="none"/>
        </w:rPr>
        <w:t>；</w:t>
      </w:r>
    </w:p>
    <w:p>
      <w:pPr>
        <w:pStyle w:val="109"/>
        <w:ind w:firstLine="473"/>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rPr>
        <w:t>（2</w:t>
      </w:r>
      <w:r>
        <w:rPr>
          <w:rFonts w:ascii="Times New Roman" w:hAnsi="Times New Roman" w:eastAsiaTheme="minorEastAsia"/>
          <w:snapToGrid w:val="0"/>
          <w:color w:val="auto"/>
          <w:w w:val="99"/>
          <w:highlight w:val="none"/>
        </w:rPr>
        <w:t>9</w:t>
      </w:r>
      <w:r>
        <w:rPr>
          <w:rFonts w:hint="eastAsia" w:ascii="Times New Roman" w:hAnsi="Times New Roman" w:eastAsiaTheme="minorEastAsia"/>
          <w:snapToGrid w:val="0"/>
          <w:color w:val="auto"/>
          <w:w w:val="99"/>
          <w:highlight w:val="none"/>
        </w:rPr>
        <w:t>）《大庆油气田地面工程“十四五”规划》</w:t>
      </w:r>
      <w:r>
        <w:rPr>
          <w:rFonts w:ascii="Times New Roman" w:hAnsi="Times New Roman" w:eastAsiaTheme="minorEastAsia"/>
          <w:snapToGrid w:val="0"/>
          <w:color w:val="auto"/>
          <w:w w:val="99"/>
          <w:highlight w:val="none"/>
        </w:rPr>
        <w:t>。</w:t>
      </w:r>
    </w:p>
    <w:p>
      <w:pPr>
        <w:pStyle w:val="7"/>
        <w:keepNext w:val="0"/>
        <w:keepLines w:val="0"/>
        <w:widowControl w:val="0"/>
        <w:jc w:val="both"/>
        <w:rPr>
          <w:b/>
          <w:color w:val="auto"/>
          <w:w w:val="99"/>
          <w:kern w:val="2"/>
          <w:sz w:val="24"/>
          <w:szCs w:val="24"/>
          <w:highlight w:val="none"/>
        </w:rPr>
      </w:pPr>
      <w:bookmarkStart w:id="128" w:name="_Toc57976641"/>
      <w:bookmarkStart w:id="129" w:name="_Toc17898131"/>
      <w:bookmarkStart w:id="130" w:name="_Toc57707886"/>
      <w:bookmarkStart w:id="131" w:name="_Toc8791"/>
      <w:bookmarkStart w:id="132" w:name="_Toc57203216"/>
      <w:bookmarkStart w:id="133" w:name="_Toc80105110"/>
      <w:bookmarkStart w:id="134" w:name="_Toc77667254"/>
      <w:bookmarkStart w:id="135" w:name="_Toc69690777"/>
      <w:bookmarkStart w:id="136" w:name="_Toc67523559"/>
      <w:bookmarkStart w:id="137" w:name="_Toc61597187"/>
      <w:bookmarkStart w:id="138" w:name="_Toc74812281"/>
      <w:bookmarkStart w:id="139" w:name="_Toc71371910"/>
      <w:r>
        <w:rPr>
          <w:b/>
          <w:color w:val="auto"/>
          <w:w w:val="99"/>
          <w:kern w:val="2"/>
          <w:sz w:val="24"/>
          <w:szCs w:val="24"/>
          <w:highlight w:val="none"/>
        </w:rPr>
        <w:t>2.3.4</w:t>
      </w:r>
      <w:bookmarkEnd w:id="128"/>
      <w:bookmarkEnd w:id="129"/>
      <w:bookmarkEnd w:id="130"/>
      <w:bookmarkEnd w:id="131"/>
      <w:bookmarkEnd w:id="132"/>
      <w:r>
        <w:rPr>
          <w:b/>
          <w:color w:val="auto"/>
          <w:w w:val="99"/>
          <w:kern w:val="2"/>
          <w:sz w:val="24"/>
          <w:szCs w:val="24"/>
          <w:highlight w:val="none"/>
        </w:rPr>
        <w:t>技术依据</w:t>
      </w:r>
      <w:bookmarkEnd w:id="133"/>
      <w:bookmarkEnd w:id="134"/>
      <w:bookmarkEnd w:id="135"/>
      <w:bookmarkEnd w:id="136"/>
      <w:bookmarkEnd w:id="137"/>
      <w:bookmarkEnd w:id="138"/>
      <w:bookmarkEnd w:id="139"/>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（1）《建设项目环境影响评价技术导则 总纲》(HJ2.1-2016)；</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（2）《环境影响评价技术导则 大气环境》(HJ2.2-2018)；</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（3）《环境影响评价技术导则 地表水环境》(HJ 2.3-2018)；</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（4）《环境影响评价技术导则 声环境》(HJ2.4-2009)；</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（5）《环境影响评价技术导则 地下水环境》(HJ610-2016)；</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（6）《环境影响评价技术导则 生态影响》(HJ19-2011)；</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（7）《环境影响评价技术导则 土壤环境（试行）》（HJ964-2018）</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（8）《建设项目环境风险评价技术导则》(HJ 169-2018)；</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（9）《环境影响评价技术导则 陆地石油天然气开发建设项目》（HJ/T349-2007）；</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（10）《建设项目危险废物环境影响评价指南》（环境保护部公告2017年第43号，2017.10.1）；</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（11）《一般工业固体废物贮存和填埋污染控制标准》（GB18599-2020）；</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（12）《危险废物贮存污染控制标准》（GB18597-2001）2013 修改；</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（13）《污染源源强核算技术指南 准则》（HJ884-2018）；</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（14）《钻前工程及井场布置技术要求》（SY/T5466-2013）。</w:t>
      </w:r>
    </w:p>
    <w:p>
      <w:pPr>
        <w:pStyle w:val="27"/>
        <w:keepNext w:val="0"/>
        <w:keepLines w:val="0"/>
        <w:pageBreakBefore w:val="0"/>
        <w:widowControl/>
        <w:kinsoku/>
        <w:wordWrap/>
        <w:overflowPunct/>
        <w:topLinePunct w:val="0"/>
        <w:autoSpaceDE/>
        <w:autoSpaceDN/>
        <w:bidi w:val="0"/>
        <w:adjustRightInd/>
        <w:snapToGrid/>
        <w:spacing w:line="440" w:lineRule="exact"/>
        <w:ind w:firstLine="474" w:firstLineChars="200"/>
        <w:textAlignment w:val="auto"/>
        <w:rPr>
          <w:rFonts w:hint="eastAsia" w:ascii="Times New Roman" w:hAnsi="Times New Roman" w:eastAsia="宋体" w:cs="Times New Roman"/>
          <w:snapToGrid w:val="0"/>
          <w:color w:val="auto"/>
          <w:w w:val="99"/>
          <w:highlight w:val="none"/>
          <w:lang w:eastAsia="zh-CN"/>
        </w:rPr>
      </w:pPr>
      <w:r>
        <w:rPr>
          <w:rFonts w:hint="default" w:ascii="Times New Roman" w:hAnsi="Times New Roman" w:eastAsia="宋体" w:cs="Times New Roman"/>
          <w:snapToGrid w:val="0"/>
          <w:color w:val="auto"/>
          <w:w w:val="99"/>
          <w:sz w:val="24"/>
          <w:szCs w:val="24"/>
          <w:highlight w:val="none"/>
          <w:lang w:val="en-US" w:eastAsia="zh-CN" w:bidi="ar-SA"/>
        </w:rPr>
        <w:t>（1</w:t>
      </w:r>
      <w:r>
        <w:rPr>
          <w:rFonts w:hint="eastAsia" w:ascii="Times New Roman" w:hAnsi="Times New Roman" w:eastAsia="宋体" w:cs="Times New Roman"/>
          <w:snapToGrid w:val="0"/>
          <w:color w:val="auto"/>
          <w:w w:val="99"/>
          <w:sz w:val="24"/>
          <w:szCs w:val="24"/>
          <w:highlight w:val="none"/>
          <w:lang w:val="en-US" w:eastAsia="zh-CN" w:bidi="ar-SA"/>
        </w:rPr>
        <w:t>5</w:t>
      </w:r>
      <w:r>
        <w:rPr>
          <w:rFonts w:hint="default" w:ascii="Times New Roman" w:hAnsi="Times New Roman" w:eastAsia="宋体" w:cs="Times New Roman"/>
          <w:snapToGrid w:val="0"/>
          <w:color w:val="auto"/>
          <w:w w:val="99"/>
          <w:sz w:val="24"/>
          <w:szCs w:val="24"/>
          <w:highlight w:val="none"/>
          <w:lang w:val="en-US" w:eastAsia="zh-CN" w:bidi="ar-SA"/>
        </w:rPr>
        <w:t>）《</w:t>
      </w:r>
      <w:r>
        <w:rPr>
          <w:rFonts w:hint="eastAsia" w:ascii="Times New Roman" w:hAnsi="Times New Roman" w:eastAsia="宋体" w:cs="Times New Roman"/>
          <w:snapToGrid w:val="0"/>
          <w:color w:val="auto"/>
          <w:w w:val="99"/>
          <w:sz w:val="24"/>
          <w:szCs w:val="24"/>
          <w:highlight w:val="none"/>
          <w:lang w:val="en-US" w:eastAsia="zh-CN" w:bidi="ar-SA"/>
        </w:rPr>
        <w:t>石油和天然气开采行业清洁生产评价指标体系</w:t>
      </w:r>
      <w:r>
        <w:rPr>
          <w:rFonts w:hint="eastAsia" w:ascii="Times New Roman" w:hAnsi="Times New Roman" w:cs="Times New Roman"/>
          <w:snapToGrid w:val="0"/>
          <w:color w:val="auto"/>
          <w:w w:val="99"/>
          <w:sz w:val="24"/>
          <w:szCs w:val="24"/>
          <w:highlight w:val="none"/>
          <w:lang w:val="en-US" w:eastAsia="zh-CN" w:bidi="ar-SA"/>
        </w:rPr>
        <w:t>（试行）</w:t>
      </w:r>
      <w:r>
        <w:rPr>
          <w:rFonts w:hint="default" w:ascii="Times New Roman" w:hAnsi="Times New Roman" w:eastAsia="宋体" w:cs="Times New Roman"/>
          <w:snapToGrid w:val="0"/>
          <w:color w:val="auto"/>
          <w:w w:val="99"/>
          <w:highlight w:val="none"/>
        </w:rPr>
        <w:t>》</w:t>
      </w:r>
      <w:r>
        <w:rPr>
          <w:rFonts w:hint="eastAsia" w:ascii="Times New Roman" w:hAnsi="Times New Roman" w:cs="Times New Roman"/>
          <w:snapToGrid w:val="0"/>
          <w:color w:val="auto"/>
          <w:w w:val="99"/>
          <w:highlight w:val="none"/>
          <w:lang w:eastAsia="zh-CN"/>
        </w:rPr>
        <w:t>。</w:t>
      </w:r>
    </w:p>
    <w:p>
      <w:pPr>
        <w:pStyle w:val="7"/>
        <w:keepNext w:val="0"/>
        <w:keepLines w:val="0"/>
        <w:widowControl w:val="0"/>
        <w:jc w:val="both"/>
        <w:rPr>
          <w:b/>
          <w:color w:val="auto"/>
          <w:w w:val="99"/>
          <w:kern w:val="2"/>
          <w:sz w:val="24"/>
          <w:szCs w:val="24"/>
          <w:highlight w:val="none"/>
        </w:rPr>
      </w:pPr>
      <w:bookmarkStart w:id="140" w:name="_Toc9176"/>
      <w:bookmarkStart w:id="141" w:name="_Toc17898132"/>
      <w:bookmarkStart w:id="142" w:name="_Toc57203217"/>
      <w:bookmarkStart w:id="143" w:name="_Toc57707887"/>
      <w:bookmarkStart w:id="144" w:name="_Toc57976642"/>
      <w:bookmarkStart w:id="145" w:name="_Toc61597188"/>
      <w:bookmarkStart w:id="146" w:name="_Toc67523560"/>
      <w:bookmarkStart w:id="147" w:name="_Toc77667255"/>
      <w:bookmarkStart w:id="148" w:name="_Toc71371911"/>
      <w:bookmarkStart w:id="149" w:name="_Toc80105111"/>
      <w:bookmarkStart w:id="150" w:name="_Toc69690778"/>
      <w:bookmarkStart w:id="151" w:name="_Toc74812282"/>
      <w:r>
        <w:rPr>
          <w:b/>
          <w:color w:val="auto"/>
          <w:w w:val="99"/>
          <w:kern w:val="2"/>
          <w:sz w:val="24"/>
          <w:szCs w:val="24"/>
          <w:highlight w:val="none"/>
        </w:rPr>
        <w:t>2.3.</w:t>
      </w:r>
      <w:bookmarkEnd w:id="140"/>
      <w:bookmarkEnd w:id="141"/>
      <w:bookmarkEnd w:id="142"/>
      <w:bookmarkEnd w:id="143"/>
      <w:bookmarkEnd w:id="144"/>
      <w:r>
        <w:rPr>
          <w:b/>
          <w:color w:val="auto"/>
          <w:w w:val="99"/>
          <w:kern w:val="2"/>
          <w:sz w:val="24"/>
          <w:szCs w:val="24"/>
          <w:highlight w:val="none"/>
        </w:rPr>
        <w:t>5其它相关依据及支持性文件</w:t>
      </w:r>
      <w:bookmarkEnd w:id="145"/>
      <w:bookmarkEnd w:id="146"/>
      <w:bookmarkEnd w:id="147"/>
      <w:bookmarkEnd w:id="148"/>
      <w:bookmarkEnd w:id="149"/>
      <w:bookmarkEnd w:id="150"/>
      <w:bookmarkEnd w:id="151"/>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w:t>
      </w:r>
      <w:r>
        <w:rPr>
          <w:rFonts w:hint="eastAsia" w:ascii="Times New Roman" w:hAnsi="Times New Roman" w:eastAsiaTheme="minorEastAsia"/>
          <w:snapToGrid w:val="0"/>
          <w:color w:val="auto"/>
          <w:w w:val="99"/>
          <w:highlight w:val="none"/>
        </w:rPr>
        <w:t>肇源油田滚动外扩区</w:t>
      </w:r>
      <w:r>
        <w:rPr>
          <w:rFonts w:ascii="Times New Roman" w:hAnsi="Times New Roman" w:eastAsiaTheme="minorEastAsia"/>
          <w:snapToGrid w:val="0"/>
          <w:color w:val="auto"/>
          <w:w w:val="99"/>
          <w:highlight w:val="none"/>
        </w:rPr>
        <w:t>钻井地质设计》；</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w:t>
      </w:r>
      <w:r>
        <w:rPr>
          <w:rFonts w:hint="eastAsia" w:ascii="Times New Roman" w:hAnsi="Times New Roman" w:eastAsiaTheme="minorEastAsia"/>
          <w:snapToGrid w:val="0"/>
          <w:color w:val="auto"/>
          <w:w w:val="99"/>
          <w:highlight w:val="none"/>
        </w:rPr>
        <w:t>《</w:t>
      </w:r>
      <w:r>
        <w:rPr>
          <w:rFonts w:hint="eastAsia" w:ascii="Times New Roman" w:hAnsi="Times New Roman" w:eastAsiaTheme="minorEastAsia"/>
          <w:snapToGrid w:val="0"/>
          <w:color w:val="auto"/>
          <w:w w:val="99"/>
          <w:highlight w:val="none"/>
          <w:lang w:eastAsia="zh-CN"/>
        </w:rPr>
        <w:t>肇源油田源35区块外扩开发钻井工程</w:t>
      </w:r>
      <w:r>
        <w:rPr>
          <w:rFonts w:ascii="Times New Roman" w:hAnsi="Times New Roman" w:eastAsiaTheme="minorEastAsia"/>
          <w:snapToGrid w:val="0"/>
          <w:color w:val="auto"/>
          <w:w w:val="99"/>
          <w:highlight w:val="none"/>
        </w:rPr>
        <w:t>方案</w:t>
      </w: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w:t>
      </w:r>
    </w:p>
    <w:p>
      <w:pPr>
        <w:pStyle w:val="109"/>
        <w:widowControl w:val="0"/>
        <w:ind w:firstLine="473"/>
        <w:jc w:val="both"/>
        <w:rPr>
          <w:rFonts w:ascii="Times New Roman" w:hAnsi="Times New Roman" w:eastAsiaTheme="minorEastAsia"/>
          <w:color w:val="auto"/>
          <w:w w:val="99"/>
          <w:highlight w:val="none"/>
        </w:rPr>
      </w:pPr>
      <w:r>
        <w:rPr>
          <w:rFonts w:hint="eastAsia" w:ascii="Times New Roman" w:hAnsi="Times New Roman" w:eastAsiaTheme="minorEastAsia"/>
          <w:snapToGrid w:val="0"/>
          <w:color w:val="auto"/>
          <w:w w:val="99"/>
          <w:highlight w:val="none"/>
        </w:rPr>
        <w:t>（3）</w:t>
      </w:r>
      <w:r>
        <w:rPr>
          <w:rFonts w:ascii="Times New Roman" w:hAnsi="Times New Roman" w:eastAsiaTheme="minorEastAsia"/>
          <w:snapToGrid w:val="0"/>
          <w:color w:val="auto"/>
          <w:w w:val="99"/>
          <w:highlight w:val="none"/>
        </w:rPr>
        <w:t>《</w:t>
      </w:r>
      <w:r>
        <w:rPr>
          <w:rFonts w:hint="eastAsia" w:ascii="Times New Roman" w:hAnsi="Times New Roman" w:eastAsiaTheme="minorEastAsia"/>
          <w:snapToGrid w:val="0"/>
          <w:color w:val="auto"/>
          <w:w w:val="99"/>
          <w:highlight w:val="none"/>
          <w:lang w:eastAsia="zh-CN"/>
        </w:rPr>
        <w:t>肇源油田源35区块外扩开发钻井工程</w:t>
      </w:r>
      <w:r>
        <w:rPr>
          <w:rFonts w:hint="eastAsia" w:ascii="Times New Roman" w:hAnsi="Times New Roman" w:eastAsiaTheme="minorEastAsia"/>
          <w:snapToGrid w:val="0"/>
          <w:color w:val="auto"/>
          <w:w w:val="99"/>
          <w:highlight w:val="none"/>
        </w:rPr>
        <w:t>项目</w:t>
      </w:r>
      <w:r>
        <w:rPr>
          <w:rFonts w:ascii="Times New Roman" w:hAnsi="Times New Roman" w:eastAsiaTheme="minorEastAsia"/>
          <w:snapToGrid w:val="0"/>
          <w:color w:val="auto"/>
          <w:w w:val="99"/>
          <w:highlight w:val="none"/>
        </w:rPr>
        <w:t>设计》。</w:t>
      </w:r>
    </w:p>
    <w:p>
      <w:pPr>
        <w:pStyle w:val="5"/>
        <w:keepNext w:val="0"/>
        <w:keepLines w:val="0"/>
        <w:widowControl w:val="0"/>
        <w:jc w:val="both"/>
        <w:rPr>
          <w:rFonts w:ascii="Times New Roman" w:hAnsi="Times New Roman"/>
          <w:b/>
          <w:snapToGrid w:val="0"/>
          <w:color w:val="auto"/>
          <w:w w:val="99"/>
          <w:highlight w:val="none"/>
        </w:rPr>
      </w:pPr>
      <w:bookmarkStart w:id="152" w:name="_Toc80105112"/>
      <w:bookmarkStart w:id="153" w:name="_Toc12054"/>
      <w:r>
        <w:rPr>
          <w:rFonts w:ascii="Times New Roman" w:hAnsi="Times New Roman"/>
          <w:b/>
          <w:snapToGrid w:val="0"/>
          <w:color w:val="auto"/>
          <w:w w:val="99"/>
          <w:highlight w:val="none"/>
        </w:rPr>
        <w:t>2.4环境影响识别与评价因子筛选</w:t>
      </w:r>
      <w:bookmarkEnd w:id="152"/>
      <w:bookmarkEnd w:id="153"/>
    </w:p>
    <w:p>
      <w:pPr>
        <w:pStyle w:val="7"/>
        <w:keepNext w:val="0"/>
        <w:keepLines w:val="0"/>
        <w:widowControl w:val="0"/>
        <w:jc w:val="both"/>
        <w:rPr>
          <w:b/>
          <w:color w:val="auto"/>
          <w:w w:val="99"/>
          <w:kern w:val="2"/>
          <w:sz w:val="24"/>
          <w:szCs w:val="24"/>
          <w:highlight w:val="none"/>
        </w:rPr>
      </w:pPr>
      <w:bookmarkStart w:id="154" w:name="_Toc74812284"/>
      <w:bookmarkStart w:id="155" w:name="_Toc69690780"/>
      <w:bookmarkStart w:id="156" w:name="_Toc61597190"/>
      <w:bookmarkStart w:id="157" w:name="_Toc67523562"/>
      <w:bookmarkStart w:id="158" w:name="_Toc80105113"/>
      <w:bookmarkStart w:id="159" w:name="_Toc77667257"/>
      <w:bookmarkStart w:id="160" w:name="_Toc71371913"/>
      <w:bookmarkStart w:id="161" w:name="_Toc57203219"/>
      <w:bookmarkStart w:id="162" w:name="_Toc6028"/>
      <w:bookmarkStart w:id="163" w:name="_Toc17898134"/>
      <w:bookmarkStart w:id="164" w:name="_Toc57976644"/>
      <w:bookmarkStart w:id="165" w:name="_Toc57707889"/>
      <w:r>
        <w:rPr>
          <w:b/>
          <w:color w:val="auto"/>
          <w:w w:val="99"/>
          <w:kern w:val="2"/>
          <w:sz w:val="24"/>
          <w:szCs w:val="24"/>
          <w:highlight w:val="none"/>
        </w:rPr>
        <w:t>2.4.1评价时段</w:t>
      </w:r>
      <w:bookmarkEnd w:id="154"/>
      <w:bookmarkEnd w:id="155"/>
      <w:bookmarkEnd w:id="156"/>
      <w:bookmarkEnd w:id="157"/>
      <w:bookmarkEnd w:id="158"/>
      <w:bookmarkEnd w:id="159"/>
      <w:bookmarkEnd w:id="160"/>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本项目为油田钻井工程，评价时段主要为施工期，</w:t>
      </w:r>
      <w:r>
        <w:rPr>
          <w:rFonts w:ascii="Times New Roman" w:hAnsi="Times New Roman" w:eastAsiaTheme="minorEastAsia"/>
          <w:bCs/>
          <w:color w:val="auto"/>
          <w:w w:val="99"/>
          <w:highlight w:val="none"/>
        </w:rPr>
        <w:t>包括钻前准备、钻进、录井、测井、固井、射孔完井。</w:t>
      </w:r>
    </w:p>
    <w:p>
      <w:pPr>
        <w:pStyle w:val="7"/>
        <w:keepNext w:val="0"/>
        <w:keepLines w:val="0"/>
        <w:widowControl w:val="0"/>
        <w:jc w:val="both"/>
        <w:rPr>
          <w:b/>
          <w:color w:val="auto"/>
          <w:w w:val="99"/>
          <w:kern w:val="2"/>
          <w:sz w:val="24"/>
          <w:szCs w:val="24"/>
          <w:highlight w:val="none"/>
        </w:rPr>
      </w:pPr>
      <w:bookmarkStart w:id="166" w:name="_Toc69690781"/>
      <w:bookmarkStart w:id="167" w:name="_Toc80105114"/>
      <w:bookmarkStart w:id="168" w:name="_Toc77667258"/>
      <w:bookmarkStart w:id="169" w:name="_Toc61597191"/>
      <w:bookmarkStart w:id="170" w:name="_Toc67523563"/>
      <w:bookmarkStart w:id="171" w:name="_Toc71371914"/>
      <w:bookmarkStart w:id="172" w:name="_Toc74812285"/>
      <w:r>
        <w:rPr>
          <w:b/>
          <w:color w:val="auto"/>
          <w:w w:val="99"/>
          <w:kern w:val="2"/>
          <w:sz w:val="24"/>
          <w:szCs w:val="24"/>
          <w:highlight w:val="none"/>
        </w:rPr>
        <w:t>2.4.2环境影响因素识别</w:t>
      </w:r>
      <w:bookmarkEnd w:id="161"/>
      <w:bookmarkEnd w:id="162"/>
      <w:bookmarkEnd w:id="163"/>
      <w:bookmarkEnd w:id="164"/>
      <w:bookmarkEnd w:id="165"/>
      <w:bookmarkEnd w:id="166"/>
      <w:bookmarkEnd w:id="167"/>
      <w:bookmarkEnd w:id="168"/>
      <w:bookmarkEnd w:id="169"/>
      <w:bookmarkEnd w:id="170"/>
      <w:bookmarkEnd w:id="171"/>
      <w:bookmarkEnd w:id="172"/>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本项目对环境的影响主要表现在施工期，根据本项目的排污特点及污染源分析，本项目环境影响因素如下：</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施工期的环境影响主要为钻井施工过程中施工活动对周围环境产生的不利影响。一种影响是对土壤扰动和自然植被等的破坏，这种影响是比较持久的，在施工完成后的一段时间内仍将存在；另一种是在施工过程中产生的污染物排放对环境造成的不利影响，这种影响是短暂的，待施工结束后将随之消失。</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根据工程实际情况，结合工程区域的自然环境特征，采用矩阵法对工程建设期间和运营期产生的影响进行识别，具体见表2.4-1。</w:t>
      </w:r>
    </w:p>
    <w:p>
      <w:pPr>
        <w:widowControl w:val="0"/>
        <w:spacing w:line="500" w:lineRule="exact"/>
        <w:ind w:firstLine="476" w:firstLineChars="200"/>
        <w:jc w:val="both"/>
        <w:rPr>
          <w:rFonts w:ascii="Times New Roman" w:hAnsi="Times New Roman" w:cs="Times New Roman" w:eastAsiaTheme="minorEastAsia"/>
          <w:b/>
          <w:bCs/>
          <w:color w:val="auto"/>
          <w:w w:val="99"/>
          <w:highlight w:val="none"/>
        </w:rPr>
      </w:pPr>
      <w:r>
        <w:rPr>
          <w:rFonts w:ascii="Times New Roman" w:hAnsi="Times New Roman" w:cs="Times New Roman" w:eastAsiaTheme="minorEastAsia"/>
          <w:b/>
          <w:bCs/>
          <w:color w:val="auto"/>
          <w:w w:val="99"/>
          <w:highlight w:val="none"/>
        </w:rPr>
        <w:t>表2.4-1                环境影响因素矩阵识别表</w:t>
      </w:r>
    </w:p>
    <w:tbl>
      <w:tblPr>
        <w:tblStyle w:val="8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02"/>
        <w:gridCol w:w="724"/>
        <w:gridCol w:w="1306"/>
        <w:gridCol w:w="1016"/>
        <w:gridCol w:w="2034"/>
        <w:gridCol w:w="1163"/>
        <w:gridCol w:w="14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pct"/>
            <w:vMerge w:val="restart"/>
            <w:tcBorders>
              <w:top w:val="single" w:color="auto" w:sz="12" w:space="0"/>
              <w:bottom w:val="single" w:color="auto" w:sz="4" w:space="0"/>
              <w:tl2br w:val="single" w:color="auto" w:sz="4" w:space="0"/>
            </w:tcBorders>
            <w:vAlign w:val="center"/>
          </w:tcPr>
          <w:p>
            <w:pPr>
              <w:widowControl w:val="0"/>
              <w:autoSpaceDE w:val="0"/>
              <w:autoSpaceDN w:val="0"/>
              <w:spacing w:line="360" w:lineRule="exact"/>
              <w:ind w:firstLine="414" w:firstLineChars="200"/>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影响因素</w:t>
            </w:r>
          </w:p>
          <w:p>
            <w:pPr>
              <w:widowControl w:val="0"/>
              <w:autoSpaceDE w:val="0"/>
              <w:autoSpaceDN w:val="0"/>
              <w:spacing w:line="360" w:lineRule="exact"/>
              <w:rPr>
                <w:rFonts w:ascii="Times New Roman" w:hAnsi="Times New Roman" w:cs="Times New Roman" w:eastAsiaTheme="minorEastAsia"/>
                <w:color w:val="auto"/>
                <w:w w:val="99"/>
                <w:kern w:val="2"/>
                <w:sz w:val="21"/>
                <w:szCs w:val="21"/>
                <w:highlight w:val="none"/>
              </w:rPr>
            </w:pPr>
          </w:p>
          <w:p>
            <w:pPr>
              <w:pStyle w:val="103"/>
              <w:spacing w:line="360" w:lineRule="exact"/>
              <w:rPr>
                <w:color w:val="auto"/>
                <w:w w:val="99"/>
                <w:highlight w:val="none"/>
              </w:rPr>
            </w:pPr>
          </w:p>
          <w:p>
            <w:pPr>
              <w:widowControl w:val="0"/>
              <w:autoSpaceDE w:val="0"/>
              <w:autoSpaceDN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环境要素</w:t>
            </w:r>
          </w:p>
        </w:tc>
        <w:tc>
          <w:tcPr>
            <w:tcW w:w="390" w:type="pct"/>
            <w:vMerge w:val="restar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工程</w:t>
            </w:r>
            <w:r>
              <w:rPr>
                <w:rFonts w:ascii="Times New Roman" w:hAnsi="Times New Roman" w:cs="Times New Roman" w:eastAsiaTheme="minorEastAsia"/>
                <w:color w:val="auto"/>
                <w:w w:val="99"/>
                <w:kern w:val="2"/>
                <w:sz w:val="21"/>
                <w:szCs w:val="21"/>
                <w:highlight w:val="none"/>
              </w:rPr>
              <w:t>占地</w:t>
            </w:r>
          </w:p>
        </w:tc>
        <w:tc>
          <w:tcPr>
            <w:tcW w:w="70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废气</w:t>
            </w:r>
          </w:p>
        </w:tc>
        <w:tc>
          <w:tcPr>
            <w:tcW w:w="547"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废水</w:t>
            </w:r>
          </w:p>
        </w:tc>
        <w:tc>
          <w:tcPr>
            <w:tcW w:w="1095"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固体废物</w:t>
            </w:r>
          </w:p>
        </w:tc>
        <w:tc>
          <w:tcPr>
            <w:tcW w:w="626"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噪声</w:t>
            </w:r>
          </w:p>
        </w:tc>
        <w:tc>
          <w:tcPr>
            <w:tcW w:w="777"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环境风险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pct"/>
            <w:vMerge w:val="continue"/>
            <w:tcBorders>
              <w:top w:val="single" w:color="auto" w:sz="4" w:space="0"/>
              <w:bottom w:val="single" w:color="auto" w:sz="4" w:space="0"/>
              <w:tl2br w:val="single" w:color="auto" w:sz="4" w:space="0"/>
            </w:tcBorders>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p>
        </w:tc>
        <w:tc>
          <w:tcPr>
            <w:tcW w:w="390" w:type="pct"/>
            <w:vMerge w:val="continue"/>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p>
        </w:tc>
        <w:tc>
          <w:tcPr>
            <w:tcW w:w="703" w:type="pct"/>
            <w:vAlign w:val="center"/>
          </w:tcPr>
          <w:p>
            <w:pPr>
              <w:widowControl w:val="0"/>
              <w:autoSpaceDE w:val="0"/>
              <w:autoSpaceDN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施工扬尘、车辆尾气、柴油机废气</w:t>
            </w:r>
          </w:p>
        </w:tc>
        <w:tc>
          <w:tcPr>
            <w:tcW w:w="547" w:type="pct"/>
            <w:vAlign w:val="center"/>
          </w:tcPr>
          <w:p>
            <w:pPr>
              <w:widowControl w:val="0"/>
              <w:autoSpaceDE w:val="0"/>
              <w:autoSpaceDN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钻井废水、生活污水</w:t>
            </w:r>
          </w:p>
        </w:tc>
        <w:tc>
          <w:tcPr>
            <w:tcW w:w="1095" w:type="pct"/>
            <w:vAlign w:val="center"/>
          </w:tcPr>
          <w:p>
            <w:pPr>
              <w:widowControl w:val="0"/>
              <w:autoSpaceDE w:val="0"/>
              <w:autoSpaceDN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钻井岩屑、废钻井液、废射孔液、废防渗布、</w:t>
            </w:r>
            <w:r>
              <w:rPr>
                <w:rFonts w:hint="eastAsia" w:ascii="Times New Roman" w:hAnsi="Times New Roman" w:cs="Times New Roman" w:eastAsiaTheme="minorEastAsia"/>
                <w:color w:val="auto"/>
                <w:w w:val="99"/>
                <w:kern w:val="2"/>
                <w:sz w:val="21"/>
                <w:szCs w:val="21"/>
                <w:highlight w:val="none"/>
              </w:rPr>
              <w:t>一般</w:t>
            </w:r>
            <w:r>
              <w:rPr>
                <w:rFonts w:ascii="Times New Roman" w:hAnsi="Times New Roman" w:cs="Times New Roman" w:eastAsiaTheme="minorEastAsia"/>
                <w:color w:val="auto"/>
                <w:w w:val="99"/>
                <w:kern w:val="2"/>
                <w:sz w:val="21"/>
                <w:szCs w:val="21"/>
                <w:highlight w:val="none"/>
              </w:rPr>
              <w:t>固废废包装袋、KOH废包装袋</w:t>
            </w:r>
            <w:r>
              <w:rPr>
                <w:rFonts w:hint="eastAsia" w:ascii="Times New Roman" w:hAnsi="Times New Roman" w:cs="Times New Roman" w:eastAsiaTheme="minor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生活垃圾</w:t>
            </w:r>
          </w:p>
        </w:tc>
        <w:tc>
          <w:tcPr>
            <w:tcW w:w="626" w:type="pct"/>
            <w:vAlign w:val="center"/>
          </w:tcPr>
          <w:p>
            <w:pPr>
              <w:widowControl w:val="0"/>
              <w:autoSpaceDE w:val="0"/>
              <w:autoSpaceDN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施工机械噪声、车辆噪声</w:t>
            </w:r>
          </w:p>
        </w:tc>
        <w:tc>
          <w:tcPr>
            <w:tcW w:w="777" w:type="pct"/>
            <w:vAlign w:val="center"/>
          </w:tcPr>
          <w:p>
            <w:pPr>
              <w:widowControl w:val="0"/>
              <w:autoSpaceDE w:val="0"/>
              <w:autoSpaceDN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井喷、井漏、套管破损、柴油罐泄露、泥浆槽泄露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pct"/>
            <w:tcBorders>
              <w:top w:val="single" w:color="auto" w:sz="4" w:space="0"/>
            </w:tcBorders>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大气环境</w:t>
            </w:r>
          </w:p>
        </w:tc>
        <w:tc>
          <w:tcPr>
            <w:tcW w:w="39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w:t>
            </w:r>
          </w:p>
        </w:tc>
        <w:tc>
          <w:tcPr>
            <w:tcW w:w="70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w:t>
            </w:r>
          </w:p>
        </w:tc>
        <w:tc>
          <w:tcPr>
            <w:tcW w:w="547"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w:t>
            </w:r>
          </w:p>
        </w:tc>
        <w:tc>
          <w:tcPr>
            <w:tcW w:w="1095"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w:t>
            </w:r>
          </w:p>
        </w:tc>
        <w:tc>
          <w:tcPr>
            <w:tcW w:w="626"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w:t>
            </w:r>
          </w:p>
        </w:tc>
        <w:tc>
          <w:tcPr>
            <w:tcW w:w="777"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地表水</w:t>
            </w:r>
          </w:p>
        </w:tc>
        <w:tc>
          <w:tcPr>
            <w:tcW w:w="724"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1306"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1016" w:type="dxa"/>
            <w:vAlign w:val="center"/>
          </w:tcPr>
          <w:p>
            <w:pPr>
              <w:pStyle w:val="27"/>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-S</w:t>
            </w:r>
          </w:p>
        </w:tc>
        <w:tc>
          <w:tcPr>
            <w:tcW w:w="2034"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626"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w:t>
            </w:r>
          </w:p>
        </w:tc>
        <w:tc>
          <w:tcPr>
            <w:tcW w:w="777"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地下水</w:t>
            </w:r>
          </w:p>
        </w:tc>
        <w:tc>
          <w:tcPr>
            <w:tcW w:w="724"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1306"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1016" w:type="dxa"/>
            <w:vAlign w:val="center"/>
          </w:tcPr>
          <w:p>
            <w:pPr>
              <w:pStyle w:val="27"/>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-S</w:t>
            </w:r>
          </w:p>
        </w:tc>
        <w:tc>
          <w:tcPr>
            <w:tcW w:w="2034" w:type="dxa"/>
            <w:vAlign w:val="center"/>
          </w:tcPr>
          <w:p>
            <w:pPr>
              <w:pStyle w:val="27"/>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-S</w:t>
            </w:r>
          </w:p>
        </w:tc>
        <w:tc>
          <w:tcPr>
            <w:tcW w:w="626"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w:t>
            </w:r>
          </w:p>
        </w:tc>
        <w:tc>
          <w:tcPr>
            <w:tcW w:w="777"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声环境</w:t>
            </w:r>
          </w:p>
        </w:tc>
        <w:tc>
          <w:tcPr>
            <w:tcW w:w="724"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1306"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1016"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2034"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626"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w:t>
            </w:r>
          </w:p>
        </w:tc>
        <w:tc>
          <w:tcPr>
            <w:tcW w:w="777"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土壤环境</w:t>
            </w:r>
          </w:p>
        </w:tc>
        <w:tc>
          <w:tcPr>
            <w:tcW w:w="724"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 S</w:t>
            </w:r>
          </w:p>
        </w:tc>
        <w:tc>
          <w:tcPr>
            <w:tcW w:w="1306"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1016"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2034" w:type="dxa"/>
            <w:vAlign w:val="center"/>
          </w:tcPr>
          <w:p>
            <w:pPr>
              <w:pStyle w:val="27"/>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-S</w:t>
            </w:r>
          </w:p>
        </w:tc>
        <w:tc>
          <w:tcPr>
            <w:tcW w:w="626"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w:t>
            </w:r>
          </w:p>
        </w:tc>
        <w:tc>
          <w:tcPr>
            <w:tcW w:w="777"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植被</w:t>
            </w:r>
          </w:p>
        </w:tc>
        <w:tc>
          <w:tcPr>
            <w:tcW w:w="724"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 S</w:t>
            </w:r>
          </w:p>
        </w:tc>
        <w:tc>
          <w:tcPr>
            <w:tcW w:w="1306"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1016"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2034"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626"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w:t>
            </w:r>
          </w:p>
        </w:tc>
        <w:tc>
          <w:tcPr>
            <w:tcW w:w="777"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7"/>
            <w:vAlign w:val="center"/>
          </w:tcPr>
          <w:p>
            <w:pPr>
              <w:widowControl w:val="0"/>
              <w:autoSpaceDE w:val="0"/>
              <w:autoSpaceDN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注：-：不利影响   +：有利影响   L：长期影响   S：短期影响   A：显著影响</w:t>
            </w:r>
          </w:p>
          <w:p>
            <w:pPr>
              <w:widowControl w:val="0"/>
              <w:autoSpaceDE w:val="0"/>
              <w:autoSpaceDN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空白：表示此项环境因子不存在或与工程活动无关</w:t>
            </w:r>
          </w:p>
        </w:tc>
      </w:tr>
    </w:tbl>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从上表可知本工程的主要环境影响表现在</w:t>
      </w:r>
      <w:r>
        <w:rPr>
          <w:rFonts w:hint="eastAsia" w:ascii="Times New Roman" w:hAnsi="Times New Roman" w:eastAsiaTheme="minorEastAsia"/>
          <w:color w:val="auto"/>
          <w:w w:val="99"/>
          <w:highlight w:val="none"/>
        </w:rPr>
        <w:t>工程</w:t>
      </w:r>
      <w:r>
        <w:rPr>
          <w:rFonts w:ascii="Times New Roman" w:hAnsi="Times New Roman" w:eastAsiaTheme="minorEastAsia"/>
          <w:color w:val="auto"/>
          <w:w w:val="99"/>
          <w:highlight w:val="none"/>
        </w:rPr>
        <w:t>占地对土壤植被的影响，废气对大气环境的影响，施工噪声对声环境的影响，环境风险等突发事故对大气环境、地表水环境、地下水环境</w:t>
      </w:r>
      <w:r>
        <w:rPr>
          <w:rFonts w:hint="eastAsia" w:ascii="Times New Roman" w:hAnsi="Times New Roman" w:eastAsiaTheme="minorEastAsia"/>
          <w:color w:val="auto"/>
          <w:w w:val="99"/>
          <w:highlight w:val="none"/>
        </w:rPr>
        <w:t>、</w:t>
      </w:r>
      <w:r>
        <w:rPr>
          <w:rFonts w:ascii="Times New Roman" w:hAnsi="Times New Roman" w:eastAsiaTheme="minorEastAsia"/>
          <w:color w:val="auto"/>
          <w:w w:val="99"/>
          <w:highlight w:val="none"/>
        </w:rPr>
        <w:t>土壤环境及植被的影响。</w:t>
      </w:r>
    </w:p>
    <w:p>
      <w:pPr>
        <w:pStyle w:val="7"/>
        <w:keepNext w:val="0"/>
        <w:keepLines w:val="0"/>
        <w:widowControl w:val="0"/>
        <w:jc w:val="both"/>
        <w:rPr>
          <w:b/>
          <w:color w:val="auto"/>
          <w:w w:val="99"/>
          <w:kern w:val="2"/>
          <w:sz w:val="24"/>
          <w:szCs w:val="24"/>
          <w:highlight w:val="none"/>
        </w:rPr>
      </w:pPr>
      <w:bookmarkStart w:id="173" w:name="_Toc57976645"/>
      <w:bookmarkStart w:id="174" w:name="_Toc74812286"/>
      <w:bookmarkStart w:id="175" w:name="_Toc71371915"/>
      <w:bookmarkStart w:id="176" w:name="_Toc77667259"/>
      <w:bookmarkStart w:id="177" w:name="_Toc61597192"/>
      <w:bookmarkStart w:id="178" w:name="_Toc69690782"/>
      <w:bookmarkStart w:id="179" w:name="_Toc17898135"/>
      <w:bookmarkStart w:id="180" w:name="_Toc67523564"/>
      <w:bookmarkStart w:id="181" w:name="_Toc21320"/>
      <w:bookmarkStart w:id="182" w:name="_Toc80105115"/>
      <w:bookmarkStart w:id="183" w:name="_Toc57707890"/>
      <w:bookmarkStart w:id="184" w:name="_Toc57203220"/>
      <w:r>
        <w:rPr>
          <w:b/>
          <w:color w:val="auto"/>
          <w:w w:val="99"/>
          <w:kern w:val="2"/>
          <w:sz w:val="24"/>
          <w:szCs w:val="24"/>
          <w:highlight w:val="none"/>
        </w:rPr>
        <w:t>2.4.3评价因子筛选</w:t>
      </w:r>
      <w:bookmarkEnd w:id="173"/>
      <w:bookmarkEnd w:id="174"/>
      <w:bookmarkEnd w:id="175"/>
      <w:bookmarkEnd w:id="176"/>
      <w:bookmarkEnd w:id="177"/>
      <w:bookmarkEnd w:id="178"/>
      <w:bookmarkEnd w:id="179"/>
      <w:bookmarkEnd w:id="180"/>
      <w:bookmarkEnd w:id="181"/>
      <w:bookmarkEnd w:id="182"/>
      <w:bookmarkEnd w:id="183"/>
      <w:bookmarkEnd w:id="184"/>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经过对油田产生污染物排放特点及油田周围环境情况进行分析后，确定本工程评价因子详见表 2.4-2。</w:t>
      </w:r>
    </w:p>
    <w:p>
      <w:pPr>
        <w:pStyle w:val="109"/>
        <w:widowControl w:val="0"/>
        <w:ind w:firstLine="473"/>
        <w:jc w:val="both"/>
        <w:rPr>
          <w:rFonts w:ascii="Times New Roman" w:hAnsi="Times New Roman" w:eastAsiaTheme="minorEastAsia"/>
          <w:b/>
          <w:bCs/>
          <w:color w:val="auto"/>
          <w:w w:val="99"/>
          <w:highlight w:val="none"/>
        </w:rPr>
      </w:pPr>
      <w:r>
        <w:rPr>
          <w:rFonts w:ascii="Times New Roman" w:hAnsi="Times New Roman" w:eastAsiaTheme="minorEastAsia"/>
          <w:b/>
          <w:bCs/>
          <w:color w:val="auto"/>
          <w:w w:val="99"/>
          <w:highlight w:val="none"/>
        </w:rPr>
        <w:t>表2.4-2                       评价因子表</w:t>
      </w:r>
    </w:p>
    <w:tbl>
      <w:tblPr>
        <w:tblStyle w:val="82"/>
        <w:tblW w:w="92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1"/>
        <w:gridCol w:w="713"/>
        <w:gridCol w:w="1111"/>
        <w:gridCol w:w="68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4" w:type="dxa"/>
            <w:gridSpan w:val="2"/>
            <w:vAlign w:val="center"/>
          </w:tcPr>
          <w:p>
            <w:pPr>
              <w:pStyle w:val="44"/>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序号</w:t>
            </w:r>
          </w:p>
        </w:tc>
        <w:tc>
          <w:tcPr>
            <w:tcW w:w="1111" w:type="dxa"/>
            <w:vAlign w:val="center"/>
          </w:tcPr>
          <w:p>
            <w:pPr>
              <w:pStyle w:val="44"/>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评价内容</w:t>
            </w:r>
          </w:p>
        </w:tc>
        <w:tc>
          <w:tcPr>
            <w:tcW w:w="6882" w:type="dxa"/>
            <w:vAlign w:val="center"/>
          </w:tcPr>
          <w:p>
            <w:pPr>
              <w:pStyle w:val="44"/>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评价因子名称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restart"/>
            <w:vAlign w:val="center"/>
          </w:tcPr>
          <w:p>
            <w:pPr>
              <w:pStyle w:val="44"/>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现状评价因子</w:t>
            </w:r>
          </w:p>
        </w:tc>
        <w:tc>
          <w:tcPr>
            <w:tcW w:w="713" w:type="dxa"/>
            <w:vAlign w:val="center"/>
          </w:tcPr>
          <w:p>
            <w:pPr>
              <w:pStyle w:val="44"/>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1</w:t>
            </w:r>
          </w:p>
        </w:tc>
        <w:tc>
          <w:tcPr>
            <w:tcW w:w="1111" w:type="dxa"/>
            <w:vAlign w:val="center"/>
          </w:tcPr>
          <w:p>
            <w:pPr>
              <w:pStyle w:val="44"/>
              <w:spacing w:line="320" w:lineRule="exact"/>
              <w:jc w:val="center"/>
              <w:rPr>
                <w:rFonts w:ascii="Times New Roman" w:hAnsi="Times New Roman" w:eastAsiaTheme="minorEastAsia"/>
                <w:color w:val="auto"/>
                <w:w w:val="99"/>
                <w:szCs w:val="21"/>
                <w:highlight w:val="none"/>
              </w:rPr>
            </w:pPr>
            <w:r>
              <w:rPr>
                <w:rFonts w:hint="eastAsia" w:ascii="Times New Roman" w:hAnsi="Times New Roman" w:eastAsiaTheme="minorEastAsia"/>
                <w:color w:val="auto"/>
                <w:w w:val="99"/>
                <w:szCs w:val="21"/>
                <w:highlight w:val="none"/>
              </w:rPr>
              <w:t>环境空气</w:t>
            </w:r>
          </w:p>
        </w:tc>
        <w:tc>
          <w:tcPr>
            <w:tcW w:w="6882" w:type="dxa"/>
            <w:vAlign w:val="center"/>
          </w:tcPr>
          <w:p>
            <w:pPr>
              <w:pStyle w:val="44"/>
              <w:spacing w:line="320" w:lineRule="exact"/>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NO</w:t>
            </w:r>
            <w:r>
              <w:rPr>
                <w:rFonts w:ascii="Times New Roman" w:hAnsi="Times New Roman" w:eastAsiaTheme="minorEastAsia"/>
                <w:color w:val="auto"/>
                <w:w w:val="99"/>
                <w:szCs w:val="21"/>
                <w:highlight w:val="none"/>
                <w:vertAlign w:val="subscript"/>
              </w:rPr>
              <w:t>2</w:t>
            </w:r>
            <w:r>
              <w:rPr>
                <w:rFonts w:ascii="Times New Roman" w:hAnsi="Times New Roman" w:eastAsiaTheme="minorEastAsia"/>
                <w:color w:val="auto"/>
                <w:w w:val="99"/>
                <w:szCs w:val="21"/>
                <w:highlight w:val="none"/>
              </w:rPr>
              <w:t>、SO</w:t>
            </w:r>
            <w:r>
              <w:rPr>
                <w:rFonts w:ascii="Times New Roman" w:hAnsi="Times New Roman" w:eastAsiaTheme="minorEastAsia"/>
                <w:color w:val="auto"/>
                <w:w w:val="99"/>
                <w:szCs w:val="21"/>
                <w:highlight w:val="none"/>
                <w:vertAlign w:val="subscript"/>
              </w:rPr>
              <w:t>2</w:t>
            </w:r>
            <w:r>
              <w:rPr>
                <w:rFonts w:ascii="Times New Roman" w:hAnsi="Times New Roman" w:eastAsiaTheme="minorEastAsia"/>
                <w:color w:val="auto"/>
                <w:w w:val="99"/>
                <w:szCs w:val="21"/>
                <w:highlight w:val="none"/>
              </w:rPr>
              <w:t>、O</w:t>
            </w:r>
            <w:r>
              <w:rPr>
                <w:rFonts w:ascii="Times New Roman" w:hAnsi="Times New Roman" w:eastAsiaTheme="minorEastAsia"/>
                <w:color w:val="auto"/>
                <w:w w:val="99"/>
                <w:szCs w:val="21"/>
                <w:highlight w:val="none"/>
                <w:vertAlign w:val="subscript"/>
              </w:rPr>
              <w:t>3</w:t>
            </w:r>
            <w:r>
              <w:rPr>
                <w:rFonts w:ascii="Times New Roman" w:hAnsi="Times New Roman" w:eastAsiaTheme="minorEastAsia"/>
                <w:color w:val="auto"/>
                <w:w w:val="99"/>
                <w:szCs w:val="21"/>
                <w:highlight w:val="none"/>
              </w:rPr>
              <w:t>、CO、PM</w:t>
            </w:r>
            <w:r>
              <w:rPr>
                <w:rFonts w:ascii="Times New Roman" w:hAnsi="Times New Roman" w:eastAsiaTheme="minorEastAsia"/>
                <w:color w:val="auto"/>
                <w:w w:val="99"/>
                <w:szCs w:val="21"/>
                <w:highlight w:val="none"/>
                <w:vertAlign w:val="subscript"/>
              </w:rPr>
              <w:t>10</w:t>
            </w:r>
            <w:r>
              <w:rPr>
                <w:rFonts w:ascii="Times New Roman" w:hAnsi="Times New Roman" w:eastAsiaTheme="minorEastAsia"/>
                <w:color w:val="auto"/>
                <w:w w:val="99"/>
                <w:szCs w:val="21"/>
                <w:highlight w:val="none"/>
              </w:rPr>
              <w:t>、PM</w:t>
            </w:r>
            <w:r>
              <w:rPr>
                <w:rFonts w:ascii="Times New Roman" w:hAnsi="Times New Roman" w:eastAsiaTheme="minorEastAsia"/>
                <w:color w:val="auto"/>
                <w:w w:val="99"/>
                <w:szCs w:val="21"/>
                <w:highlight w:val="none"/>
                <w:vertAlign w:val="subscript"/>
              </w:rPr>
              <w:t>2.5</w:t>
            </w:r>
            <w:r>
              <w:rPr>
                <w:rFonts w:ascii="Times New Roman" w:hAnsi="Times New Roman" w:eastAsiaTheme="minorEastAsia"/>
                <w:color w:val="auto"/>
                <w:w w:val="99"/>
                <w:szCs w:val="21"/>
                <w:highlight w:val="none"/>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44"/>
              <w:spacing w:line="320" w:lineRule="exact"/>
              <w:jc w:val="center"/>
              <w:rPr>
                <w:rFonts w:ascii="Times New Roman" w:hAnsi="Times New Roman" w:eastAsiaTheme="minorEastAsia"/>
                <w:color w:val="auto"/>
                <w:w w:val="99"/>
                <w:szCs w:val="21"/>
                <w:highlight w:val="none"/>
              </w:rPr>
            </w:pPr>
          </w:p>
        </w:tc>
        <w:tc>
          <w:tcPr>
            <w:tcW w:w="713" w:type="dxa"/>
            <w:vAlign w:val="center"/>
          </w:tcPr>
          <w:p>
            <w:pPr>
              <w:pStyle w:val="44"/>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2</w:t>
            </w:r>
          </w:p>
        </w:tc>
        <w:tc>
          <w:tcPr>
            <w:tcW w:w="1111" w:type="dxa"/>
            <w:vAlign w:val="center"/>
          </w:tcPr>
          <w:p>
            <w:pPr>
              <w:pStyle w:val="44"/>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地表水</w:t>
            </w:r>
          </w:p>
        </w:tc>
        <w:tc>
          <w:tcPr>
            <w:tcW w:w="6882" w:type="dxa"/>
            <w:vAlign w:val="center"/>
          </w:tcPr>
          <w:p>
            <w:pPr>
              <w:pStyle w:val="44"/>
              <w:spacing w:line="320" w:lineRule="exact"/>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0"/>
                <w:highlight w:val="none"/>
              </w:rPr>
              <w:t>pH、</w:t>
            </w:r>
            <w:r>
              <w:rPr>
                <w:rFonts w:hint="eastAsia" w:ascii="Times New Roman" w:hAnsi="Times New Roman" w:eastAsiaTheme="minorEastAsia"/>
                <w:color w:val="auto"/>
                <w:w w:val="99"/>
                <w:szCs w:val="20"/>
                <w:highlight w:val="none"/>
                <w:lang w:eastAsia="zh-CN"/>
              </w:rPr>
              <w:t>耗氧量</w:t>
            </w:r>
            <w:r>
              <w:rPr>
                <w:rFonts w:ascii="Times New Roman" w:hAnsi="Times New Roman" w:eastAsiaTheme="minorEastAsia"/>
                <w:color w:val="auto"/>
                <w:w w:val="99"/>
                <w:szCs w:val="20"/>
                <w:highlight w:val="none"/>
              </w:rPr>
              <w:t>、高锰酸盐指数、氨氮、BOD</w:t>
            </w:r>
            <w:r>
              <w:rPr>
                <w:rFonts w:ascii="Times New Roman" w:hAnsi="Times New Roman" w:eastAsiaTheme="minorEastAsia"/>
                <w:color w:val="auto"/>
                <w:w w:val="99"/>
                <w:szCs w:val="20"/>
                <w:highlight w:val="none"/>
                <w:vertAlign w:val="subscript"/>
              </w:rPr>
              <w:t>5</w:t>
            </w:r>
            <w:r>
              <w:rPr>
                <w:rFonts w:ascii="Times New Roman" w:hAnsi="Times New Roman" w:eastAsiaTheme="minorEastAsia"/>
                <w:color w:val="auto"/>
                <w:w w:val="99"/>
                <w:szCs w:val="20"/>
                <w:highlight w:val="none"/>
              </w:rPr>
              <w:t>、总磷、总氮、石油类、水温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44"/>
              <w:spacing w:line="320" w:lineRule="exact"/>
              <w:jc w:val="center"/>
              <w:rPr>
                <w:rFonts w:ascii="Times New Roman" w:hAnsi="Times New Roman" w:eastAsiaTheme="minorEastAsia"/>
                <w:color w:val="auto"/>
                <w:w w:val="99"/>
                <w:szCs w:val="21"/>
                <w:highlight w:val="none"/>
              </w:rPr>
            </w:pPr>
          </w:p>
        </w:tc>
        <w:tc>
          <w:tcPr>
            <w:tcW w:w="713" w:type="dxa"/>
            <w:vAlign w:val="center"/>
          </w:tcPr>
          <w:p>
            <w:pPr>
              <w:pStyle w:val="44"/>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3</w:t>
            </w:r>
          </w:p>
        </w:tc>
        <w:tc>
          <w:tcPr>
            <w:tcW w:w="1111" w:type="dxa"/>
            <w:vAlign w:val="center"/>
          </w:tcPr>
          <w:p>
            <w:pPr>
              <w:pStyle w:val="44"/>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地下水</w:t>
            </w:r>
          </w:p>
        </w:tc>
        <w:tc>
          <w:tcPr>
            <w:tcW w:w="6882" w:type="dxa"/>
            <w:vAlign w:val="center"/>
          </w:tcPr>
          <w:p>
            <w:pPr>
              <w:pStyle w:val="44"/>
              <w:spacing w:line="320" w:lineRule="exact"/>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K</w:t>
            </w:r>
            <w:r>
              <w:rPr>
                <w:rFonts w:ascii="Times New Roman" w:hAnsi="Times New Roman" w:eastAsiaTheme="minorEastAsia"/>
                <w:color w:val="auto"/>
                <w:w w:val="99"/>
                <w:szCs w:val="21"/>
                <w:highlight w:val="none"/>
                <w:vertAlign w:val="superscript"/>
              </w:rPr>
              <w:t>+</w:t>
            </w:r>
            <w:r>
              <w:rPr>
                <w:rFonts w:ascii="Times New Roman" w:hAnsi="Times New Roman" w:eastAsiaTheme="minorEastAsia"/>
                <w:color w:val="auto"/>
                <w:w w:val="99"/>
                <w:szCs w:val="21"/>
                <w:highlight w:val="none"/>
              </w:rPr>
              <w:t>、Na</w:t>
            </w:r>
            <w:r>
              <w:rPr>
                <w:rFonts w:ascii="Times New Roman" w:hAnsi="Times New Roman" w:eastAsiaTheme="minorEastAsia"/>
                <w:color w:val="auto"/>
                <w:w w:val="99"/>
                <w:szCs w:val="21"/>
                <w:highlight w:val="none"/>
                <w:vertAlign w:val="superscript"/>
              </w:rPr>
              <w:t>+</w:t>
            </w:r>
            <w:r>
              <w:rPr>
                <w:rFonts w:ascii="Times New Roman" w:hAnsi="Times New Roman" w:eastAsiaTheme="minorEastAsia"/>
                <w:color w:val="auto"/>
                <w:w w:val="99"/>
                <w:szCs w:val="21"/>
                <w:highlight w:val="none"/>
              </w:rPr>
              <w:t>、Ca</w:t>
            </w:r>
            <w:r>
              <w:rPr>
                <w:rFonts w:ascii="Times New Roman" w:hAnsi="Times New Roman" w:eastAsiaTheme="minorEastAsia"/>
                <w:color w:val="auto"/>
                <w:w w:val="99"/>
                <w:szCs w:val="21"/>
                <w:highlight w:val="none"/>
                <w:vertAlign w:val="superscript"/>
              </w:rPr>
              <w:t>2+</w:t>
            </w:r>
            <w:r>
              <w:rPr>
                <w:rFonts w:ascii="Times New Roman" w:hAnsi="Times New Roman" w:eastAsiaTheme="minorEastAsia"/>
                <w:color w:val="auto"/>
                <w:w w:val="99"/>
                <w:szCs w:val="21"/>
                <w:highlight w:val="none"/>
              </w:rPr>
              <w:t>、Mg</w:t>
            </w:r>
            <w:r>
              <w:rPr>
                <w:rFonts w:ascii="Times New Roman" w:hAnsi="Times New Roman" w:eastAsiaTheme="minorEastAsia"/>
                <w:color w:val="auto"/>
                <w:w w:val="99"/>
                <w:szCs w:val="21"/>
                <w:highlight w:val="none"/>
                <w:vertAlign w:val="superscript"/>
              </w:rPr>
              <w:t>2+</w:t>
            </w:r>
            <w:r>
              <w:rPr>
                <w:rFonts w:ascii="Times New Roman" w:hAnsi="Times New Roman" w:eastAsiaTheme="minorEastAsia"/>
                <w:color w:val="auto"/>
                <w:w w:val="99"/>
                <w:szCs w:val="21"/>
                <w:highlight w:val="none"/>
              </w:rPr>
              <w:t>、CO</w:t>
            </w:r>
            <w:r>
              <w:rPr>
                <w:rFonts w:ascii="Times New Roman" w:hAnsi="Times New Roman" w:eastAsiaTheme="minorEastAsia"/>
                <w:color w:val="auto"/>
                <w:w w:val="99"/>
                <w:szCs w:val="21"/>
                <w:highlight w:val="none"/>
                <w:vertAlign w:val="subscript"/>
              </w:rPr>
              <w:t>3</w:t>
            </w:r>
            <w:r>
              <w:rPr>
                <w:rFonts w:ascii="Times New Roman" w:hAnsi="Times New Roman" w:eastAsiaTheme="minorEastAsia"/>
                <w:color w:val="auto"/>
                <w:w w:val="99"/>
                <w:szCs w:val="21"/>
                <w:highlight w:val="none"/>
                <w:vertAlign w:val="superscript"/>
              </w:rPr>
              <w:t>2-</w:t>
            </w:r>
            <w:r>
              <w:rPr>
                <w:rFonts w:ascii="Times New Roman" w:hAnsi="Times New Roman" w:eastAsiaTheme="minorEastAsia"/>
                <w:color w:val="auto"/>
                <w:w w:val="99"/>
                <w:szCs w:val="21"/>
                <w:highlight w:val="none"/>
              </w:rPr>
              <w:t>、HCO</w:t>
            </w:r>
            <w:r>
              <w:rPr>
                <w:rFonts w:ascii="Times New Roman" w:hAnsi="Times New Roman" w:eastAsiaTheme="minorEastAsia"/>
                <w:color w:val="auto"/>
                <w:w w:val="99"/>
                <w:szCs w:val="21"/>
                <w:highlight w:val="none"/>
                <w:vertAlign w:val="subscript"/>
              </w:rPr>
              <w:t>3</w:t>
            </w:r>
            <w:r>
              <w:rPr>
                <w:rFonts w:ascii="Times New Roman" w:hAnsi="Times New Roman" w:eastAsiaTheme="minorEastAsia"/>
                <w:color w:val="auto"/>
                <w:w w:val="99"/>
                <w:szCs w:val="21"/>
                <w:highlight w:val="none"/>
                <w:vertAlign w:val="superscript"/>
              </w:rPr>
              <w:t>-</w:t>
            </w:r>
            <w:r>
              <w:rPr>
                <w:rFonts w:ascii="Times New Roman" w:hAnsi="Times New Roman" w:eastAsiaTheme="minorEastAsia"/>
                <w:color w:val="auto"/>
                <w:w w:val="99"/>
                <w:szCs w:val="21"/>
                <w:highlight w:val="none"/>
              </w:rPr>
              <w:t>、Cl</w:t>
            </w:r>
            <w:r>
              <w:rPr>
                <w:rFonts w:ascii="Times New Roman" w:hAnsi="Times New Roman" w:eastAsiaTheme="minorEastAsia"/>
                <w:color w:val="auto"/>
                <w:w w:val="99"/>
                <w:szCs w:val="21"/>
                <w:highlight w:val="none"/>
                <w:vertAlign w:val="superscript"/>
              </w:rPr>
              <w:t>-</w:t>
            </w:r>
            <w:r>
              <w:rPr>
                <w:rFonts w:ascii="Times New Roman" w:hAnsi="Times New Roman" w:eastAsiaTheme="minorEastAsia"/>
                <w:color w:val="auto"/>
                <w:w w:val="99"/>
                <w:szCs w:val="21"/>
                <w:highlight w:val="none"/>
              </w:rPr>
              <w:t>、SO</w:t>
            </w:r>
            <w:r>
              <w:rPr>
                <w:rFonts w:ascii="Times New Roman" w:hAnsi="Times New Roman" w:eastAsiaTheme="minorEastAsia"/>
                <w:color w:val="auto"/>
                <w:w w:val="99"/>
                <w:szCs w:val="21"/>
                <w:highlight w:val="none"/>
                <w:vertAlign w:val="subscript"/>
              </w:rPr>
              <w:t>4</w:t>
            </w:r>
            <w:r>
              <w:rPr>
                <w:rFonts w:ascii="Times New Roman" w:hAnsi="Times New Roman" w:eastAsiaTheme="minorEastAsia"/>
                <w:color w:val="auto"/>
                <w:w w:val="99"/>
                <w:szCs w:val="21"/>
                <w:highlight w:val="none"/>
                <w:vertAlign w:val="superscript"/>
              </w:rPr>
              <w:t>2-</w:t>
            </w:r>
            <w:r>
              <w:rPr>
                <w:rFonts w:ascii="Times New Roman" w:hAnsi="Times New Roman" w:eastAsiaTheme="minorEastAsia"/>
                <w:color w:val="auto"/>
                <w:w w:val="99"/>
                <w:szCs w:val="21"/>
                <w:highlight w:val="none"/>
              </w:rPr>
              <w:t>、pH、氨氮、硝酸盐、亚硝酸盐、挥发酚、氰化物、砷、汞、六价铬、总硬度、铅、氟化物、镉、铁、锰、溶解性总固体、耗氧量、总大肠菌群、菌落总数、石油类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44"/>
              <w:spacing w:line="320" w:lineRule="exact"/>
              <w:jc w:val="center"/>
              <w:rPr>
                <w:rFonts w:ascii="Times New Roman" w:hAnsi="Times New Roman" w:eastAsiaTheme="minorEastAsia"/>
                <w:color w:val="auto"/>
                <w:w w:val="99"/>
                <w:szCs w:val="21"/>
                <w:highlight w:val="none"/>
              </w:rPr>
            </w:pPr>
          </w:p>
        </w:tc>
        <w:tc>
          <w:tcPr>
            <w:tcW w:w="713" w:type="dxa"/>
            <w:vAlign w:val="center"/>
          </w:tcPr>
          <w:p>
            <w:pPr>
              <w:pStyle w:val="44"/>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4</w:t>
            </w:r>
          </w:p>
        </w:tc>
        <w:tc>
          <w:tcPr>
            <w:tcW w:w="1111" w:type="dxa"/>
            <w:vAlign w:val="center"/>
          </w:tcPr>
          <w:p>
            <w:pPr>
              <w:pStyle w:val="44"/>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噪声</w:t>
            </w:r>
          </w:p>
        </w:tc>
        <w:tc>
          <w:tcPr>
            <w:tcW w:w="6882" w:type="dxa"/>
            <w:vAlign w:val="center"/>
          </w:tcPr>
          <w:p>
            <w:pPr>
              <w:pStyle w:val="44"/>
              <w:spacing w:line="320" w:lineRule="exact"/>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 xml:space="preserve">连续等效A声级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44"/>
              <w:spacing w:line="320" w:lineRule="exact"/>
              <w:jc w:val="center"/>
              <w:rPr>
                <w:rFonts w:ascii="Times New Roman" w:hAnsi="Times New Roman" w:eastAsiaTheme="minorEastAsia"/>
                <w:color w:val="auto"/>
                <w:w w:val="99"/>
                <w:szCs w:val="21"/>
                <w:highlight w:val="none"/>
              </w:rPr>
            </w:pPr>
          </w:p>
        </w:tc>
        <w:tc>
          <w:tcPr>
            <w:tcW w:w="713" w:type="dxa"/>
            <w:vMerge w:val="restart"/>
            <w:vAlign w:val="center"/>
          </w:tcPr>
          <w:p>
            <w:pPr>
              <w:pStyle w:val="44"/>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5</w:t>
            </w:r>
          </w:p>
        </w:tc>
        <w:tc>
          <w:tcPr>
            <w:tcW w:w="1111" w:type="dxa"/>
            <w:vMerge w:val="restart"/>
            <w:vAlign w:val="center"/>
          </w:tcPr>
          <w:p>
            <w:pPr>
              <w:pStyle w:val="44"/>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土壤</w:t>
            </w:r>
          </w:p>
        </w:tc>
        <w:tc>
          <w:tcPr>
            <w:tcW w:w="6882" w:type="dxa"/>
            <w:vAlign w:val="center"/>
          </w:tcPr>
          <w:p>
            <w:pPr>
              <w:pStyle w:val="111"/>
              <w:widowControl w:val="0"/>
              <w:spacing w:line="360" w:lineRule="exact"/>
              <w:rPr>
                <w:rFonts w:ascii="Times New Roman" w:hAnsi="Times New Roman" w:eastAsiaTheme="minorEastAsia"/>
                <w:snapToGrid w:val="0"/>
                <w:color w:val="auto"/>
                <w:w w:val="99"/>
                <w:kern w:val="0"/>
                <w:szCs w:val="21"/>
                <w:highlight w:val="none"/>
                <w:lang w:val="en-US"/>
              </w:rPr>
            </w:pPr>
            <w:r>
              <w:rPr>
                <w:rFonts w:hint="eastAsia" w:ascii="Times New Roman" w:hAnsi="Times New Roman" w:eastAsiaTheme="minorEastAsia"/>
                <w:snapToGrid w:val="0"/>
                <w:color w:val="auto"/>
                <w:w w:val="99"/>
                <w:kern w:val="0"/>
                <w:szCs w:val="21"/>
                <w:highlight w:val="none"/>
                <w:lang w:val="en-US"/>
              </w:rPr>
              <w:t>建设</w:t>
            </w:r>
            <w:r>
              <w:rPr>
                <w:rFonts w:ascii="Times New Roman" w:hAnsi="Times New Roman" w:eastAsiaTheme="minorEastAsia"/>
                <w:snapToGrid w:val="0"/>
                <w:color w:val="auto"/>
                <w:w w:val="99"/>
                <w:kern w:val="0"/>
                <w:szCs w:val="21"/>
                <w:highlight w:val="none"/>
                <w:lang w:val="en-US"/>
              </w:rPr>
              <w:t>用地：pH、Cd、Hg、As、Pb、Cr（六价）、Cu、Ni、苯、甲苯、乙苯、氯苯、苯乙烯、间二甲苯+对二甲苯、邻二甲苯、氯乙烯、1,2-二氯苯、1,4-二氯苯、四氯化碳、氯仿、氯甲烷、1,1-二氯乙烷、1,2-二氯乙烷、1,1-二氯乙烯、顺-1,2-二氯乙烯、反-1,2-二氯乙烯、二氯甲烷、1,2-二氯丙烷、1,1,1,2-四氯乙烷、1,1,2,2-四氯乙烷、四氯乙烯、1,1,1-三氯乙烷、1,1,2-三氯乙烷、三氯乙烯、1,2,3- 三氯丙烷、硝基苯、苯胺、2-氯酚、䓛、萘、苯并（a）蒽、苯并（b）荧蒽、苯并（k）荧蒽、苯并(a)芘、茚并（1，2，3-cd）芘、二苯并（a,h）蒽、石油烃（C</w:t>
            </w:r>
            <w:r>
              <w:rPr>
                <w:rFonts w:ascii="Times New Roman" w:hAnsi="Times New Roman" w:eastAsiaTheme="minorEastAsia"/>
                <w:snapToGrid w:val="0"/>
                <w:color w:val="auto"/>
                <w:w w:val="99"/>
                <w:kern w:val="0"/>
                <w:szCs w:val="21"/>
                <w:highlight w:val="none"/>
                <w:vertAlign w:val="subscript"/>
                <w:lang w:val="en-US"/>
              </w:rPr>
              <w:t>10</w:t>
            </w:r>
            <w:r>
              <w:rPr>
                <w:rFonts w:ascii="Times New Roman" w:hAnsi="Times New Roman" w:eastAsiaTheme="minorEastAsia"/>
                <w:snapToGrid w:val="0"/>
                <w:color w:val="auto"/>
                <w:w w:val="99"/>
                <w:kern w:val="0"/>
                <w:szCs w:val="21"/>
                <w:highlight w:val="none"/>
                <w:lang w:val="en-US"/>
              </w:rPr>
              <w:t xml:space="preserve"> -C</w:t>
            </w:r>
            <w:r>
              <w:rPr>
                <w:rFonts w:ascii="Times New Roman" w:hAnsi="Times New Roman" w:eastAsiaTheme="minorEastAsia"/>
                <w:snapToGrid w:val="0"/>
                <w:color w:val="auto"/>
                <w:w w:val="99"/>
                <w:kern w:val="0"/>
                <w:szCs w:val="21"/>
                <w:highlight w:val="none"/>
                <w:vertAlign w:val="subscript"/>
                <w:lang w:val="en-US"/>
              </w:rPr>
              <w:t>40</w:t>
            </w:r>
            <w:r>
              <w:rPr>
                <w:rFonts w:ascii="Times New Roman" w:hAnsi="Times New Roman" w:eastAsiaTheme="minorEastAsia"/>
                <w:snapToGrid w:val="0"/>
                <w:color w:val="auto"/>
                <w:w w:val="99"/>
                <w:kern w:val="0"/>
                <w:szCs w:val="21"/>
                <w:highlight w:val="none"/>
                <w:lang w:val="en-U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44"/>
              <w:spacing w:line="320" w:lineRule="exact"/>
              <w:jc w:val="center"/>
              <w:rPr>
                <w:rFonts w:ascii="Times New Roman" w:hAnsi="Times New Roman" w:eastAsiaTheme="minorEastAsia"/>
                <w:color w:val="auto"/>
                <w:w w:val="99"/>
                <w:szCs w:val="21"/>
                <w:highlight w:val="none"/>
              </w:rPr>
            </w:pPr>
          </w:p>
        </w:tc>
        <w:tc>
          <w:tcPr>
            <w:tcW w:w="713" w:type="dxa"/>
            <w:vMerge w:val="continue"/>
            <w:vAlign w:val="center"/>
          </w:tcPr>
          <w:p>
            <w:pPr>
              <w:pStyle w:val="44"/>
              <w:spacing w:line="320" w:lineRule="exact"/>
              <w:jc w:val="center"/>
              <w:rPr>
                <w:rFonts w:ascii="Times New Roman" w:hAnsi="Times New Roman" w:eastAsiaTheme="minorEastAsia"/>
                <w:color w:val="auto"/>
                <w:w w:val="99"/>
                <w:szCs w:val="21"/>
                <w:highlight w:val="none"/>
              </w:rPr>
            </w:pPr>
          </w:p>
        </w:tc>
        <w:tc>
          <w:tcPr>
            <w:tcW w:w="1111" w:type="dxa"/>
            <w:vMerge w:val="continue"/>
            <w:vAlign w:val="center"/>
          </w:tcPr>
          <w:p>
            <w:pPr>
              <w:pStyle w:val="44"/>
              <w:spacing w:line="320" w:lineRule="exact"/>
              <w:jc w:val="center"/>
              <w:rPr>
                <w:rFonts w:ascii="Times New Roman" w:hAnsi="Times New Roman" w:eastAsiaTheme="minorEastAsia"/>
                <w:color w:val="auto"/>
                <w:w w:val="99"/>
                <w:szCs w:val="21"/>
                <w:highlight w:val="none"/>
              </w:rPr>
            </w:pPr>
          </w:p>
        </w:tc>
        <w:tc>
          <w:tcPr>
            <w:tcW w:w="6882" w:type="dxa"/>
            <w:vAlign w:val="center"/>
          </w:tcPr>
          <w:p>
            <w:pPr>
              <w:pStyle w:val="111"/>
              <w:widowControl w:val="0"/>
              <w:spacing w:line="360" w:lineRule="exact"/>
              <w:rPr>
                <w:rFonts w:ascii="Times New Roman" w:hAnsi="Times New Roman" w:eastAsiaTheme="minorEastAsia"/>
                <w:snapToGrid w:val="0"/>
                <w:color w:val="auto"/>
                <w:w w:val="99"/>
                <w:kern w:val="0"/>
                <w:szCs w:val="21"/>
                <w:highlight w:val="none"/>
                <w:lang w:val="en-US"/>
              </w:rPr>
            </w:pPr>
            <w:r>
              <w:rPr>
                <w:rFonts w:hint="eastAsia" w:ascii="Times New Roman" w:hAnsi="Times New Roman" w:eastAsiaTheme="minorEastAsia"/>
                <w:snapToGrid w:val="0"/>
                <w:color w:val="auto"/>
                <w:w w:val="99"/>
                <w:kern w:val="0"/>
                <w:szCs w:val="21"/>
                <w:highlight w:val="none"/>
                <w:lang w:val="en-US"/>
              </w:rPr>
              <w:t>农用地</w:t>
            </w:r>
            <w:r>
              <w:rPr>
                <w:rFonts w:ascii="Times New Roman" w:hAnsi="Times New Roman" w:eastAsiaTheme="minorEastAsia"/>
                <w:snapToGrid w:val="0"/>
                <w:color w:val="auto"/>
                <w:w w:val="99"/>
                <w:kern w:val="0"/>
                <w:szCs w:val="21"/>
                <w:highlight w:val="none"/>
                <w:lang w:val="en-US"/>
              </w:rPr>
              <w:t>：pH、镉、汞、砷、铅、铬、铜、镍、锌、石油烃（C</w:t>
            </w:r>
            <w:r>
              <w:rPr>
                <w:rFonts w:ascii="Times New Roman" w:hAnsi="Times New Roman" w:eastAsiaTheme="minorEastAsia"/>
                <w:snapToGrid w:val="0"/>
                <w:color w:val="auto"/>
                <w:w w:val="99"/>
                <w:kern w:val="0"/>
                <w:szCs w:val="21"/>
                <w:highlight w:val="none"/>
                <w:vertAlign w:val="subscript"/>
                <w:lang w:val="en-US"/>
              </w:rPr>
              <w:t>10</w:t>
            </w:r>
            <w:r>
              <w:rPr>
                <w:rFonts w:ascii="Times New Roman" w:hAnsi="Times New Roman" w:eastAsiaTheme="minorEastAsia"/>
                <w:snapToGrid w:val="0"/>
                <w:color w:val="auto"/>
                <w:w w:val="99"/>
                <w:kern w:val="0"/>
                <w:szCs w:val="21"/>
                <w:highlight w:val="none"/>
                <w:lang w:val="en-US"/>
              </w:rPr>
              <w:t xml:space="preserve"> -C</w:t>
            </w:r>
            <w:r>
              <w:rPr>
                <w:rFonts w:ascii="Times New Roman" w:hAnsi="Times New Roman" w:eastAsiaTheme="minorEastAsia"/>
                <w:snapToGrid w:val="0"/>
                <w:color w:val="auto"/>
                <w:w w:val="99"/>
                <w:kern w:val="0"/>
                <w:szCs w:val="21"/>
                <w:highlight w:val="none"/>
                <w:vertAlign w:val="subscript"/>
                <w:lang w:val="en-US"/>
              </w:rPr>
              <w:t>40</w:t>
            </w:r>
            <w:r>
              <w:rPr>
                <w:rFonts w:ascii="Times New Roman" w:hAnsi="Times New Roman" w:eastAsiaTheme="minorEastAsia"/>
                <w:snapToGrid w:val="0"/>
                <w:color w:val="auto"/>
                <w:w w:val="99"/>
                <w:kern w:val="0"/>
                <w:szCs w:val="21"/>
                <w:highlight w:val="none"/>
                <w:lang w:val="en-U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44"/>
              <w:spacing w:line="320" w:lineRule="exact"/>
              <w:jc w:val="center"/>
              <w:rPr>
                <w:rFonts w:ascii="Times New Roman" w:hAnsi="Times New Roman" w:eastAsiaTheme="minorEastAsia"/>
                <w:color w:val="auto"/>
                <w:w w:val="99"/>
                <w:szCs w:val="21"/>
                <w:highlight w:val="none"/>
              </w:rPr>
            </w:pPr>
          </w:p>
        </w:tc>
        <w:tc>
          <w:tcPr>
            <w:tcW w:w="713" w:type="dxa"/>
            <w:vAlign w:val="center"/>
          </w:tcPr>
          <w:p>
            <w:pPr>
              <w:pStyle w:val="44"/>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6</w:t>
            </w:r>
          </w:p>
        </w:tc>
        <w:tc>
          <w:tcPr>
            <w:tcW w:w="1111" w:type="dxa"/>
            <w:vAlign w:val="center"/>
          </w:tcPr>
          <w:p>
            <w:pPr>
              <w:pStyle w:val="44"/>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kern w:val="0"/>
                <w:szCs w:val="21"/>
                <w:highlight w:val="none"/>
              </w:rPr>
              <w:t>生态</w:t>
            </w:r>
          </w:p>
        </w:tc>
        <w:tc>
          <w:tcPr>
            <w:tcW w:w="6882" w:type="dxa"/>
            <w:vAlign w:val="center"/>
          </w:tcPr>
          <w:p>
            <w:pPr>
              <w:pStyle w:val="44"/>
              <w:spacing w:line="320" w:lineRule="exact"/>
              <w:rPr>
                <w:rFonts w:ascii="Times New Roman" w:hAnsi="Times New Roman" w:eastAsiaTheme="minorEastAsia"/>
                <w:color w:val="auto"/>
                <w:w w:val="99"/>
                <w:szCs w:val="21"/>
                <w:highlight w:val="none"/>
              </w:rPr>
            </w:pPr>
            <w:r>
              <w:rPr>
                <w:rFonts w:ascii="Times New Roman" w:hAnsi="Times New Roman" w:eastAsiaTheme="minorEastAsia"/>
                <w:color w:val="auto"/>
                <w:w w:val="99"/>
                <w:kern w:val="0"/>
                <w:szCs w:val="21"/>
                <w:highlight w:val="none"/>
              </w:rPr>
              <w:t>植被类型、分布、面积、生物量及群种、优势种群、土地利用状况等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restart"/>
            <w:vAlign w:val="center"/>
          </w:tcPr>
          <w:p>
            <w:pPr>
              <w:pStyle w:val="44"/>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影响预测因子</w:t>
            </w:r>
          </w:p>
        </w:tc>
        <w:tc>
          <w:tcPr>
            <w:tcW w:w="713" w:type="dxa"/>
            <w:vAlign w:val="center"/>
          </w:tcPr>
          <w:p>
            <w:pPr>
              <w:pStyle w:val="44"/>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1</w:t>
            </w:r>
          </w:p>
        </w:tc>
        <w:tc>
          <w:tcPr>
            <w:tcW w:w="1111" w:type="dxa"/>
            <w:vAlign w:val="center"/>
          </w:tcPr>
          <w:p>
            <w:pPr>
              <w:pStyle w:val="44"/>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大气</w:t>
            </w:r>
          </w:p>
        </w:tc>
        <w:tc>
          <w:tcPr>
            <w:tcW w:w="6882" w:type="dxa"/>
            <w:vAlign w:val="center"/>
          </w:tcPr>
          <w:p>
            <w:pPr>
              <w:pStyle w:val="44"/>
              <w:spacing w:line="320" w:lineRule="exact"/>
              <w:rPr>
                <w:rFonts w:ascii="Times New Roman" w:hAnsi="Times New Roman" w:eastAsiaTheme="minorEastAsia"/>
                <w:color w:val="auto"/>
                <w:w w:val="99"/>
                <w:szCs w:val="21"/>
                <w:highlight w:val="none"/>
              </w:rPr>
            </w:pPr>
            <w:r>
              <w:rPr>
                <w:rFonts w:ascii="Times New Roman" w:hAnsi="Times New Roman" w:eastAsiaTheme="minorEastAsia"/>
                <w:bCs/>
                <w:snapToGrid w:val="0"/>
                <w:color w:val="auto"/>
                <w:w w:val="99"/>
                <w:kern w:val="0"/>
                <w:szCs w:val="21"/>
                <w:highlight w:val="none"/>
              </w:rPr>
              <w:t>TSP、SO</w:t>
            </w:r>
            <w:r>
              <w:rPr>
                <w:rFonts w:ascii="Times New Roman" w:hAnsi="Times New Roman" w:eastAsiaTheme="minorEastAsia"/>
                <w:bCs/>
                <w:snapToGrid w:val="0"/>
                <w:color w:val="auto"/>
                <w:w w:val="99"/>
                <w:kern w:val="0"/>
                <w:szCs w:val="21"/>
                <w:highlight w:val="none"/>
                <w:vertAlign w:val="subscript"/>
              </w:rPr>
              <w:t>2</w:t>
            </w:r>
            <w:r>
              <w:rPr>
                <w:rFonts w:ascii="Times New Roman" w:hAnsi="Times New Roman" w:eastAsiaTheme="minorEastAsia"/>
                <w:bCs/>
                <w:snapToGrid w:val="0"/>
                <w:color w:val="auto"/>
                <w:w w:val="99"/>
                <w:kern w:val="0"/>
                <w:szCs w:val="21"/>
                <w:highlight w:val="none"/>
              </w:rPr>
              <w:t>、NO</w:t>
            </w:r>
            <w:r>
              <w:rPr>
                <w:rFonts w:ascii="Times New Roman" w:hAnsi="Times New Roman" w:eastAsiaTheme="minorEastAsia"/>
                <w:bCs/>
                <w:snapToGrid w:val="0"/>
                <w:color w:val="auto"/>
                <w:w w:val="99"/>
                <w:kern w:val="0"/>
                <w:szCs w:val="21"/>
                <w:highlight w:val="none"/>
                <w:vertAlign w:val="subscript"/>
              </w:rPr>
              <w:t>x</w:t>
            </w:r>
            <w:r>
              <w:rPr>
                <w:rFonts w:ascii="Times New Roman" w:hAnsi="Times New Roman" w:eastAsiaTheme="minorEastAsia"/>
                <w:bCs/>
                <w:snapToGrid w:val="0"/>
                <w:color w:val="auto"/>
                <w:w w:val="99"/>
                <w:kern w:val="0"/>
                <w:szCs w:val="21"/>
                <w:highlight w:val="none"/>
              </w:rPr>
              <w:t>、颗粒物、CO和HC</w:t>
            </w:r>
            <w:r>
              <w:rPr>
                <w:rFonts w:ascii="Times New Roman" w:hAnsi="Times New Roman" w:eastAsiaTheme="minorEastAsia"/>
                <w:color w:val="auto"/>
                <w:w w:val="99"/>
                <w:szCs w:val="21"/>
                <w:highlight w:val="none"/>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44"/>
              <w:spacing w:line="320" w:lineRule="exact"/>
              <w:jc w:val="center"/>
              <w:rPr>
                <w:rFonts w:ascii="Times New Roman" w:hAnsi="Times New Roman" w:eastAsiaTheme="minorEastAsia"/>
                <w:color w:val="auto"/>
                <w:w w:val="99"/>
                <w:szCs w:val="21"/>
                <w:highlight w:val="none"/>
              </w:rPr>
            </w:pPr>
          </w:p>
        </w:tc>
        <w:tc>
          <w:tcPr>
            <w:tcW w:w="713" w:type="dxa"/>
            <w:vAlign w:val="center"/>
          </w:tcPr>
          <w:p>
            <w:pPr>
              <w:pStyle w:val="44"/>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2</w:t>
            </w:r>
          </w:p>
        </w:tc>
        <w:tc>
          <w:tcPr>
            <w:tcW w:w="1111" w:type="dxa"/>
            <w:vAlign w:val="center"/>
          </w:tcPr>
          <w:p>
            <w:pPr>
              <w:pStyle w:val="44"/>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地下水</w:t>
            </w:r>
          </w:p>
        </w:tc>
        <w:tc>
          <w:tcPr>
            <w:tcW w:w="6882" w:type="dxa"/>
            <w:vAlign w:val="center"/>
          </w:tcPr>
          <w:p>
            <w:pPr>
              <w:pStyle w:val="44"/>
              <w:spacing w:line="320" w:lineRule="exact"/>
              <w:rPr>
                <w:rFonts w:ascii="Times New Roman" w:hAnsi="Times New Roman" w:eastAsiaTheme="minorEastAsia"/>
                <w:color w:val="auto"/>
                <w:w w:val="99"/>
                <w:szCs w:val="21"/>
                <w:highlight w:val="none"/>
              </w:rPr>
            </w:pPr>
            <w:r>
              <w:rPr>
                <w:rFonts w:hint="eastAsia" w:ascii="Times New Roman" w:hAnsi="Times New Roman" w:eastAsiaTheme="minorEastAsia"/>
                <w:color w:val="auto"/>
                <w:w w:val="99"/>
                <w:szCs w:val="21"/>
                <w:highlight w:val="none"/>
                <w:lang w:eastAsia="zh-CN"/>
              </w:rPr>
              <w:t>耗氧量</w:t>
            </w:r>
            <w:r>
              <w:rPr>
                <w:rFonts w:ascii="Times New Roman" w:hAnsi="Times New Roman" w:eastAsiaTheme="minorEastAsia"/>
                <w:color w:val="auto"/>
                <w:w w:val="99"/>
                <w:szCs w:val="21"/>
                <w:highlight w:val="none"/>
              </w:rPr>
              <w:t>（耗氧量）、石油类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44"/>
              <w:spacing w:line="320" w:lineRule="exact"/>
              <w:jc w:val="center"/>
              <w:rPr>
                <w:rFonts w:ascii="Times New Roman" w:hAnsi="Times New Roman" w:eastAsiaTheme="minorEastAsia"/>
                <w:color w:val="auto"/>
                <w:w w:val="99"/>
                <w:szCs w:val="21"/>
                <w:highlight w:val="none"/>
              </w:rPr>
            </w:pPr>
          </w:p>
        </w:tc>
        <w:tc>
          <w:tcPr>
            <w:tcW w:w="713" w:type="dxa"/>
            <w:vAlign w:val="center"/>
          </w:tcPr>
          <w:p>
            <w:pPr>
              <w:pStyle w:val="44"/>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3</w:t>
            </w:r>
          </w:p>
        </w:tc>
        <w:tc>
          <w:tcPr>
            <w:tcW w:w="1111" w:type="dxa"/>
            <w:vAlign w:val="center"/>
          </w:tcPr>
          <w:p>
            <w:pPr>
              <w:pStyle w:val="44"/>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噪声</w:t>
            </w:r>
          </w:p>
        </w:tc>
        <w:tc>
          <w:tcPr>
            <w:tcW w:w="6882" w:type="dxa"/>
            <w:vAlign w:val="center"/>
          </w:tcPr>
          <w:p>
            <w:pPr>
              <w:pStyle w:val="44"/>
              <w:spacing w:line="320" w:lineRule="exact"/>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 xml:space="preserve">连续等效A声级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44"/>
              <w:spacing w:line="320" w:lineRule="exact"/>
              <w:jc w:val="center"/>
              <w:rPr>
                <w:rFonts w:ascii="Times New Roman" w:hAnsi="Times New Roman" w:eastAsiaTheme="minorEastAsia"/>
                <w:color w:val="auto"/>
                <w:w w:val="99"/>
                <w:szCs w:val="21"/>
                <w:highlight w:val="none"/>
              </w:rPr>
            </w:pPr>
          </w:p>
        </w:tc>
        <w:tc>
          <w:tcPr>
            <w:tcW w:w="713" w:type="dxa"/>
            <w:vAlign w:val="center"/>
          </w:tcPr>
          <w:p>
            <w:pPr>
              <w:pStyle w:val="44"/>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4</w:t>
            </w:r>
          </w:p>
        </w:tc>
        <w:tc>
          <w:tcPr>
            <w:tcW w:w="1111" w:type="dxa"/>
            <w:vAlign w:val="center"/>
          </w:tcPr>
          <w:p>
            <w:pPr>
              <w:pStyle w:val="44"/>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kern w:val="0"/>
                <w:szCs w:val="21"/>
                <w:highlight w:val="none"/>
              </w:rPr>
              <w:t>土壤</w:t>
            </w:r>
          </w:p>
        </w:tc>
        <w:tc>
          <w:tcPr>
            <w:tcW w:w="6882" w:type="dxa"/>
            <w:vAlign w:val="center"/>
          </w:tcPr>
          <w:p>
            <w:pPr>
              <w:pStyle w:val="44"/>
              <w:spacing w:line="320" w:lineRule="exact"/>
              <w:rPr>
                <w:rFonts w:ascii="Times New Roman" w:hAnsi="Times New Roman" w:eastAsiaTheme="minorEastAsia"/>
                <w:color w:val="auto"/>
                <w:w w:val="99"/>
                <w:szCs w:val="21"/>
                <w:highlight w:val="none"/>
              </w:rPr>
            </w:pPr>
            <w:r>
              <w:rPr>
                <w:rFonts w:ascii="Times New Roman" w:hAnsi="Times New Roman" w:eastAsiaTheme="minorEastAsia"/>
                <w:color w:val="auto"/>
                <w:w w:val="99"/>
                <w:kern w:val="0"/>
                <w:szCs w:val="21"/>
                <w:highlight w:val="none"/>
              </w:rPr>
              <w:t>石油烃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44"/>
              <w:spacing w:line="320" w:lineRule="exact"/>
              <w:jc w:val="center"/>
              <w:rPr>
                <w:rFonts w:ascii="Times New Roman" w:hAnsi="Times New Roman" w:eastAsiaTheme="minorEastAsia"/>
                <w:color w:val="auto"/>
                <w:w w:val="99"/>
                <w:szCs w:val="21"/>
                <w:highlight w:val="none"/>
              </w:rPr>
            </w:pPr>
          </w:p>
        </w:tc>
        <w:tc>
          <w:tcPr>
            <w:tcW w:w="713" w:type="dxa"/>
            <w:vAlign w:val="center"/>
          </w:tcPr>
          <w:p>
            <w:pPr>
              <w:pStyle w:val="44"/>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5</w:t>
            </w:r>
          </w:p>
        </w:tc>
        <w:tc>
          <w:tcPr>
            <w:tcW w:w="1111" w:type="dxa"/>
            <w:vAlign w:val="center"/>
          </w:tcPr>
          <w:p>
            <w:pPr>
              <w:pStyle w:val="44"/>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kern w:val="0"/>
                <w:szCs w:val="21"/>
                <w:highlight w:val="none"/>
              </w:rPr>
              <w:t>生态</w:t>
            </w:r>
          </w:p>
        </w:tc>
        <w:tc>
          <w:tcPr>
            <w:tcW w:w="6882" w:type="dxa"/>
            <w:vAlign w:val="center"/>
          </w:tcPr>
          <w:p>
            <w:pPr>
              <w:pStyle w:val="44"/>
              <w:spacing w:line="320" w:lineRule="exact"/>
              <w:rPr>
                <w:rFonts w:ascii="Times New Roman" w:hAnsi="Times New Roman" w:eastAsiaTheme="minorEastAsia"/>
                <w:color w:val="auto"/>
                <w:w w:val="99"/>
                <w:kern w:val="0"/>
                <w:szCs w:val="21"/>
                <w:highlight w:val="none"/>
              </w:rPr>
            </w:pPr>
            <w:r>
              <w:rPr>
                <w:rFonts w:ascii="Times New Roman" w:hAnsi="Times New Roman" w:eastAsiaTheme="minorEastAsia"/>
                <w:color w:val="auto"/>
                <w:w w:val="99"/>
                <w:kern w:val="0"/>
                <w:szCs w:val="21"/>
                <w:highlight w:val="none"/>
              </w:rPr>
              <w:t>动物、植被、生物量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44"/>
              <w:spacing w:line="320" w:lineRule="exact"/>
              <w:jc w:val="center"/>
              <w:rPr>
                <w:rFonts w:ascii="Times New Roman" w:hAnsi="Times New Roman" w:eastAsiaTheme="minorEastAsia"/>
                <w:color w:val="auto"/>
                <w:w w:val="99"/>
                <w:szCs w:val="21"/>
                <w:highlight w:val="none"/>
              </w:rPr>
            </w:pPr>
          </w:p>
        </w:tc>
        <w:tc>
          <w:tcPr>
            <w:tcW w:w="713" w:type="dxa"/>
            <w:vAlign w:val="center"/>
          </w:tcPr>
          <w:p>
            <w:pPr>
              <w:pStyle w:val="44"/>
              <w:spacing w:line="320" w:lineRule="exact"/>
              <w:jc w:val="center"/>
              <w:rPr>
                <w:rFonts w:ascii="Times New Roman" w:hAnsi="Times New Roman" w:eastAsiaTheme="minorEastAsia"/>
                <w:color w:val="auto"/>
                <w:w w:val="99"/>
                <w:szCs w:val="21"/>
                <w:highlight w:val="none"/>
              </w:rPr>
            </w:pPr>
            <w:r>
              <w:rPr>
                <w:rFonts w:hint="eastAsia" w:ascii="Times New Roman" w:hAnsi="Times New Roman" w:eastAsiaTheme="minorEastAsia"/>
                <w:color w:val="auto"/>
                <w:w w:val="99"/>
                <w:szCs w:val="21"/>
                <w:highlight w:val="none"/>
              </w:rPr>
              <w:t>6</w:t>
            </w:r>
          </w:p>
        </w:tc>
        <w:tc>
          <w:tcPr>
            <w:tcW w:w="1111" w:type="dxa"/>
            <w:vAlign w:val="center"/>
          </w:tcPr>
          <w:p>
            <w:pPr>
              <w:pStyle w:val="44"/>
              <w:spacing w:line="320" w:lineRule="exact"/>
              <w:jc w:val="center"/>
              <w:rPr>
                <w:rFonts w:ascii="Times New Roman" w:hAnsi="Times New Roman" w:eastAsiaTheme="minorEastAsia"/>
                <w:color w:val="auto"/>
                <w:w w:val="99"/>
                <w:kern w:val="0"/>
                <w:szCs w:val="21"/>
                <w:highlight w:val="none"/>
              </w:rPr>
            </w:pPr>
            <w:r>
              <w:rPr>
                <w:rFonts w:hint="eastAsia" w:ascii="Times New Roman" w:hAnsi="Times New Roman" w:eastAsiaTheme="minorEastAsia"/>
                <w:color w:val="auto"/>
                <w:w w:val="99"/>
                <w:kern w:val="0"/>
                <w:szCs w:val="21"/>
                <w:highlight w:val="none"/>
              </w:rPr>
              <w:t>环境风险</w:t>
            </w:r>
          </w:p>
        </w:tc>
        <w:tc>
          <w:tcPr>
            <w:tcW w:w="6882" w:type="dxa"/>
            <w:vAlign w:val="center"/>
          </w:tcPr>
          <w:p>
            <w:pPr>
              <w:pStyle w:val="44"/>
              <w:spacing w:line="320" w:lineRule="exact"/>
              <w:rPr>
                <w:rFonts w:ascii="Times New Roman" w:hAnsi="Times New Roman" w:eastAsiaTheme="minorEastAsia"/>
                <w:color w:val="auto"/>
                <w:w w:val="99"/>
                <w:kern w:val="0"/>
                <w:szCs w:val="21"/>
                <w:highlight w:val="none"/>
              </w:rPr>
            </w:pPr>
            <w:r>
              <w:rPr>
                <w:rFonts w:hint="eastAsia" w:ascii="Times New Roman" w:hAnsi="Times New Roman" w:eastAsiaTheme="minorEastAsia"/>
                <w:color w:val="auto"/>
                <w:w w:val="99"/>
                <w:kern w:val="0"/>
                <w:szCs w:val="21"/>
                <w:highlight w:val="none"/>
              </w:rPr>
              <w:t>危险物质泄漏：</w:t>
            </w:r>
            <w:r>
              <w:rPr>
                <w:rFonts w:ascii="Times New Roman" w:hAnsi="Times New Roman" w:eastAsiaTheme="minorEastAsia"/>
                <w:color w:val="auto"/>
                <w:w w:val="99"/>
                <w:kern w:val="0"/>
                <w:szCs w:val="21"/>
                <w:highlight w:val="none"/>
              </w:rPr>
              <w:t>原油、天然气、柴油</w:t>
            </w:r>
            <w:r>
              <w:rPr>
                <w:rFonts w:hint="eastAsia" w:ascii="Times New Roman" w:hAnsi="Times New Roman" w:eastAsiaTheme="minorEastAsia"/>
                <w:color w:val="auto"/>
                <w:w w:val="99"/>
                <w:kern w:val="0"/>
                <w:szCs w:val="21"/>
                <w:highlight w:val="none"/>
              </w:rPr>
              <w:t>、</w:t>
            </w:r>
            <w:r>
              <w:rPr>
                <w:rFonts w:ascii="Times New Roman" w:hAnsi="Times New Roman" w:eastAsiaTheme="minorEastAsia"/>
                <w:color w:val="auto"/>
                <w:w w:val="99"/>
                <w:kern w:val="0"/>
                <w:szCs w:val="21"/>
                <w:highlight w:val="none"/>
              </w:rPr>
              <w:t>钻井液</w:t>
            </w:r>
          </w:p>
          <w:p>
            <w:pPr>
              <w:pStyle w:val="44"/>
              <w:spacing w:line="320" w:lineRule="exact"/>
              <w:rPr>
                <w:rFonts w:ascii="Times New Roman" w:hAnsi="Times New Roman" w:eastAsiaTheme="minorEastAsia"/>
                <w:color w:val="auto"/>
                <w:w w:val="99"/>
                <w:kern w:val="0"/>
                <w:szCs w:val="21"/>
                <w:highlight w:val="none"/>
              </w:rPr>
            </w:pPr>
            <w:r>
              <w:rPr>
                <w:rFonts w:hint="eastAsia" w:ascii="Times New Roman" w:hAnsi="Times New Roman" w:eastAsiaTheme="minorEastAsia"/>
                <w:color w:val="auto"/>
                <w:w w:val="99"/>
                <w:kern w:val="0"/>
                <w:szCs w:val="21"/>
                <w:highlight w:val="none"/>
              </w:rPr>
              <w:t>火灾、爆炸：一氧化碳</w:t>
            </w:r>
          </w:p>
        </w:tc>
      </w:tr>
    </w:tbl>
    <w:p>
      <w:pPr>
        <w:pStyle w:val="5"/>
        <w:keepNext w:val="0"/>
        <w:keepLines w:val="0"/>
        <w:widowControl w:val="0"/>
        <w:jc w:val="both"/>
        <w:rPr>
          <w:rFonts w:ascii="Times New Roman" w:hAnsi="Times New Roman"/>
          <w:b/>
          <w:snapToGrid w:val="0"/>
          <w:color w:val="auto"/>
          <w:w w:val="99"/>
          <w:highlight w:val="none"/>
        </w:rPr>
      </w:pPr>
      <w:bookmarkStart w:id="185" w:name="_Toc80105116"/>
      <w:r>
        <w:rPr>
          <w:rFonts w:ascii="Times New Roman" w:hAnsi="Times New Roman"/>
          <w:b/>
          <w:snapToGrid w:val="0"/>
          <w:color w:val="auto"/>
          <w:w w:val="99"/>
          <w:highlight w:val="none"/>
        </w:rPr>
        <w:t>2.5评价标准</w:t>
      </w:r>
      <w:bookmarkEnd w:id="185"/>
    </w:p>
    <w:p>
      <w:pPr>
        <w:pStyle w:val="7"/>
        <w:keepNext w:val="0"/>
        <w:keepLines w:val="0"/>
        <w:widowControl w:val="0"/>
        <w:jc w:val="both"/>
        <w:rPr>
          <w:b/>
          <w:color w:val="auto"/>
          <w:w w:val="99"/>
          <w:kern w:val="2"/>
          <w:sz w:val="24"/>
          <w:szCs w:val="24"/>
          <w:highlight w:val="none"/>
        </w:rPr>
      </w:pPr>
      <w:bookmarkStart w:id="186" w:name="_Toc74812288"/>
      <w:bookmarkStart w:id="187" w:name="_Toc57707892"/>
      <w:bookmarkStart w:id="188" w:name="_Toc4125"/>
      <w:bookmarkStart w:id="189" w:name="_Toc71371917"/>
      <w:bookmarkStart w:id="190" w:name="_Toc77667261"/>
      <w:bookmarkStart w:id="191" w:name="_Toc61597194"/>
      <w:bookmarkStart w:id="192" w:name="_Toc80105117"/>
      <w:bookmarkStart w:id="193" w:name="_Toc69690784"/>
      <w:bookmarkStart w:id="194" w:name="_Toc17898137"/>
      <w:bookmarkStart w:id="195" w:name="_Toc57203222"/>
      <w:bookmarkStart w:id="196" w:name="_Toc57976647"/>
      <w:bookmarkStart w:id="197" w:name="_Toc67523566"/>
      <w:r>
        <w:rPr>
          <w:b/>
          <w:color w:val="auto"/>
          <w:w w:val="99"/>
          <w:kern w:val="2"/>
          <w:sz w:val="24"/>
          <w:szCs w:val="24"/>
          <w:highlight w:val="none"/>
        </w:rPr>
        <w:t>2.5.1环境质量标准</w:t>
      </w:r>
      <w:bookmarkEnd w:id="186"/>
      <w:bookmarkEnd w:id="187"/>
      <w:bookmarkEnd w:id="188"/>
      <w:bookmarkEnd w:id="189"/>
      <w:bookmarkEnd w:id="190"/>
      <w:bookmarkEnd w:id="191"/>
      <w:bookmarkEnd w:id="192"/>
      <w:bookmarkEnd w:id="193"/>
      <w:bookmarkEnd w:id="194"/>
      <w:bookmarkEnd w:id="195"/>
      <w:bookmarkEnd w:id="196"/>
      <w:bookmarkEnd w:id="197"/>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2.5.1.1环境空气质量标准</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评价区域环境空气质量执行《环境空气质量标准》（GB3095-2012）及其修改单中的二级标准。</w:t>
      </w:r>
    </w:p>
    <w:p>
      <w:pPr>
        <w:widowControl w:val="0"/>
        <w:spacing w:line="500" w:lineRule="exact"/>
        <w:ind w:firstLine="476" w:firstLineChars="200"/>
        <w:jc w:val="both"/>
        <w:rPr>
          <w:rFonts w:ascii="Times New Roman" w:hAnsi="Times New Roman" w:cs="Times New Roman" w:eastAsiaTheme="minorEastAsia"/>
          <w:b/>
          <w:bCs/>
          <w:color w:val="auto"/>
          <w:w w:val="99"/>
          <w:kern w:val="2"/>
          <w:szCs w:val="20"/>
          <w:highlight w:val="none"/>
        </w:rPr>
      </w:pPr>
    </w:p>
    <w:p>
      <w:pPr>
        <w:widowControl w:val="0"/>
        <w:spacing w:line="500" w:lineRule="exact"/>
        <w:ind w:firstLine="476"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b/>
          <w:bCs/>
          <w:color w:val="auto"/>
          <w:w w:val="99"/>
          <w:kern w:val="2"/>
          <w:szCs w:val="20"/>
          <w:highlight w:val="none"/>
        </w:rPr>
        <w:t xml:space="preserve">表2.5-1              评价区域内各项污染物的浓度限值        </w:t>
      </w:r>
      <w:r>
        <w:rPr>
          <w:rFonts w:ascii="Times New Roman" w:hAnsi="Times New Roman" w:cs="Times New Roman" w:eastAsiaTheme="minorEastAsia"/>
          <w:color w:val="auto"/>
          <w:w w:val="99"/>
          <w:kern w:val="2"/>
          <w:szCs w:val="20"/>
          <w:highlight w:val="none"/>
        </w:rPr>
        <w:t xml:space="preserve">          </w:t>
      </w:r>
    </w:p>
    <w:tbl>
      <w:tblPr>
        <w:tblStyle w:val="8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76"/>
        <w:gridCol w:w="1398"/>
        <w:gridCol w:w="821"/>
        <w:gridCol w:w="823"/>
        <w:gridCol w:w="823"/>
        <w:gridCol w:w="823"/>
        <w:gridCol w:w="823"/>
        <w:gridCol w:w="878"/>
        <w:gridCol w:w="8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71" w:type="pct"/>
            <w:gridSpan w:val="2"/>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污染物名称</w:t>
            </w:r>
          </w:p>
        </w:tc>
        <w:tc>
          <w:tcPr>
            <w:tcW w:w="442"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TSP</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PM</w:t>
            </w:r>
            <w:r>
              <w:rPr>
                <w:rFonts w:ascii="Times New Roman" w:hAnsi="Times New Roman" w:cs="Times New Roman" w:eastAsiaTheme="minorEastAsia"/>
                <w:color w:val="auto"/>
                <w:w w:val="99"/>
                <w:kern w:val="2"/>
                <w:sz w:val="21"/>
                <w:szCs w:val="21"/>
                <w:highlight w:val="none"/>
                <w:vertAlign w:val="subscript"/>
              </w:rPr>
              <w:t>10</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PM</w:t>
            </w:r>
            <w:r>
              <w:rPr>
                <w:rFonts w:ascii="Times New Roman" w:hAnsi="Times New Roman" w:cs="Times New Roman" w:eastAsiaTheme="minorEastAsia"/>
                <w:color w:val="auto"/>
                <w:w w:val="99"/>
                <w:kern w:val="2"/>
                <w:sz w:val="21"/>
                <w:szCs w:val="21"/>
                <w:highlight w:val="none"/>
                <w:vertAlign w:val="subscript"/>
              </w:rPr>
              <w:t>2.5</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SO</w:t>
            </w:r>
            <w:r>
              <w:rPr>
                <w:rFonts w:ascii="Times New Roman" w:hAnsi="Times New Roman" w:cs="Times New Roman" w:eastAsiaTheme="minorEastAsia"/>
                <w:color w:val="auto"/>
                <w:w w:val="99"/>
                <w:kern w:val="2"/>
                <w:sz w:val="21"/>
                <w:szCs w:val="21"/>
                <w:highlight w:val="none"/>
                <w:vertAlign w:val="subscript"/>
              </w:rPr>
              <w:t>2</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NO</w:t>
            </w:r>
            <w:r>
              <w:rPr>
                <w:rFonts w:ascii="Times New Roman" w:hAnsi="Times New Roman" w:cs="Times New Roman" w:eastAsiaTheme="minorEastAsia"/>
                <w:color w:val="auto"/>
                <w:w w:val="99"/>
                <w:kern w:val="2"/>
                <w:sz w:val="21"/>
                <w:szCs w:val="21"/>
                <w:highlight w:val="none"/>
                <w:vertAlign w:val="subscript"/>
              </w:rPr>
              <w:t>2</w:t>
            </w:r>
          </w:p>
        </w:tc>
        <w:tc>
          <w:tcPr>
            <w:tcW w:w="47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CO</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O</w:t>
            </w:r>
            <w:r>
              <w:rPr>
                <w:rFonts w:ascii="Times New Roman" w:hAnsi="Times New Roman" w:cs="Times New Roman" w:eastAsiaTheme="minorEastAsia"/>
                <w:color w:val="auto"/>
                <w:w w:val="99"/>
                <w:kern w:val="2"/>
                <w:sz w:val="21"/>
                <w:szCs w:val="21"/>
                <w:highlight w:val="none"/>
                <w:vertAlign w:val="sub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71" w:type="pct"/>
            <w:gridSpan w:val="2"/>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单位</w:t>
            </w:r>
          </w:p>
        </w:tc>
        <w:tc>
          <w:tcPr>
            <w:tcW w:w="442"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μg/m</w:t>
            </w:r>
            <w:r>
              <w:rPr>
                <w:rFonts w:ascii="Times New Roman" w:hAnsi="Times New Roman" w:cs="Times New Roman" w:eastAsiaTheme="minorEastAsia"/>
                <w:bCs/>
                <w:color w:val="auto"/>
                <w:w w:val="99"/>
                <w:kern w:val="2"/>
                <w:sz w:val="21"/>
                <w:szCs w:val="21"/>
                <w:highlight w:val="none"/>
                <w:vertAlign w:val="superscript"/>
              </w:rPr>
              <w:t>3</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μg/m</w:t>
            </w:r>
            <w:r>
              <w:rPr>
                <w:rFonts w:ascii="Times New Roman" w:hAnsi="Times New Roman" w:cs="Times New Roman" w:eastAsiaTheme="minorEastAsia"/>
                <w:bCs/>
                <w:color w:val="auto"/>
                <w:w w:val="99"/>
                <w:kern w:val="2"/>
                <w:sz w:val="21"/>
                <w:szCs w:val="21"/>
                <w:highlight w:val="none"/>
                <w:vertAlign w:val="superscript"/>
              </w:rPr>
              <w:t>3</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μg/m</w:t>
            </w:r>
            <w:r>
              <w:rPr>
                <w:rFonts w:ascii="Times New Roman" w:hAnsi="Times New Roman" w:cs="Times New Roman" w:eastAsiaTheme="minorEastAsia"/>
                <w:bCs/>
                <w:color w:val="auto"/>
                <w:w w:val="99"/>
                <w:kern w:val="2"/>
                <w:sz w:val="21"/>
                <w:szCs w:val="21"/>
                <w:highlight w:val="none"/>
                <w:vertAlign w:val="superscript"/>
              </w:rPr>
              <w:t>3</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μg/m</w:t>
            </w:r>
            <w:r>
              <w:rPr>
                <w:rFonts w:ascii="Times New Roman" w:hAnsi="Times New Roman" w:cs="Times New Roman" w:eastAsiaTheme="minorEastAsia"/>
                <w:bCs/>
                <w:color w:val="auto"/>
                <w:w w:val="99"/>
                <w:kern w:val="2"/>
                <w:sz w:val="21"/>
                <w:szCs w:val="21"/>
                <w:highlight w:val="none"/>
                <w:vertAlign w:val="superscript"/>
              </w:rPr>
              <w:t>3</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μg/m</w:t>
            </w:r>
            <w:r>
              <w:rPr>
                <w:rFonts w:ascii="Times New Roman" w:hAnsi="Times New Roman" w:cs="Times New Roman" w:eastAsiaTheme="minorEastAsia"/>
                <w:bCs/>
                <w:color w:val="auto"/>
                <w:w w:val="99"/>
                <w:kern w:val="2"/>
                <w:sz w:val="21"/>
                <w:szCs w:val="21"/>
                <w:highlight w:val="none"/>
                <w:vertAlign w:val="superscript"/>
              </w:rPr>
              <w:t>3</w:t>
            </w:r>
          </w:p>
        </w:tc>
        <w:tc>
          <w:tcPr>
            <w:tcW w:w="47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mg/m</w:t>
            </w:r>
            <w:r>
              <w:rPr>
                <w:rFonts w:ascii="Times New Roman" w:hAnsi="Times New Roman" w:cs="Times New Roman" w:eastAsiaTheme="minorEastAsia"/>
                <w:bCs/>
                <w:color w:val="auto"/>
                <w:w w:val="99"/>
                <w:kern w:val="2"/>
                <w:sz w:val="21"/>
                <w:szCs w:val="21"/>
                <w:highlight w:val="none"/>
                <w:vertAlign w:val="superscript"/>
              </w:rPr>
              <w:t>3</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μg/m</w:t>
            </w:r>
            <w:r>
              <w:rPr>
                <w:rFonts w:ascii="Times New Roman" w:hAnsi="Times New Roman" w:cs="Times New Roman" w:eastAsiaTheme="minorEastAsia"/>
                <w:bCs/>
                <w:color w:val="auto"/>
                <w:w w:val="99"/>
                <w:kern w:val="2"/>
                <w:sz w:val="21"/>
                <w:szCs w:val="21"/>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18" w:type="pct"/>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（GB3095-2012）中二级浓度限值</w:t>
            </w:r>
          </w:p>
        </w:tc>
        <w:tc>
          <w:tcPr>
            <w:tcW w:w="75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年平均</w:t>
            </w:r>
          </w:p>
        </w:tc>
        <w:tc>
          <w:tcPr>
            <w:tcW w:w="442"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200</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70</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35</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60</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40</w:t>
            </w:r>
          </w:p>
        </w:tc>
        <w:tc>
          <w:tcPr>
            <w:tcW w:w="47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18" w:type="pct"/>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75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24小时平均</w:t>
            </w:r>
          </w:p>
        </w:tc>
        <w:tc>
          <w:tcPr>
            <w:tcW w:w="442"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300</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150</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75</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150</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80</w:t>
            </w:r>
          </w:p>
        </w:tc>
        <w:tc>
          <w:tcPr>
            <w:tcW w:w="47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18" w:type="pct"/>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75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8小时平均</w:t>
            </w:r>
          </w:p>
        </w:tc>
        <w:tc>
          <w:tcPr>
            <w:tcW w:w="442"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7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18" w:type="pct"/>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75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1小时平均</w:t>
            </w:r>
          </w:p>
        </w:tc>
        <w:tc>
          <w:tcPr>
            <w:tcW w:w="442"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500</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200</w:t>
            </w:r>
          </w:p>
        </w:tc>
        <w:tc>
          <w:tcPr>
            <w:tcW w:w="47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10</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200</w:t>
            </w:r>
          </w:p>
        </w:tc>
      </w:tr>
    </w:tbl>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环境空气中非甲烷总烃允许浓度参考执行《大气污染物综合排放标准详解》中非甲烷总烃浓度限值。</w:t>
      </w:r>
    </w:p>
    <w:p>
      <w:pPr>
        <w:widowControl w:val="0"/>
        <w:spacing w:line="500" w:lineRule="exact"/>
        <w:ind w:firstLine="476" w:firstLineChars="200"/>
        <w:rPr>
          <w:rFonts w:ascii="Times New Roman" w:hAnsi="Times New Roman" w:cs="Times New Roman" w:eastAsiaTheme="minorEastAsia"/>
          <w:b/>
          <w:bCs/>
          <w:color w:val="auto"/>
          <w:w w:val="99"/>
          <w:kern w:val="2"/>
          <w:szCs w:val="20"/>
          <w:highlight w:val="none"/>
        </w:rPr>
      </w:pPr>
      <w:r>
        <w:rPr>
          <w:rFonts w:ascii="Times New Roman" w:hAnsi="Times New Roman" w:cs="Times New Roman" w:eastAsiaTheme="minorEastAsia"/>
          <w:b/>
          <w:bCs/>
          <w:color w:val="auto"/>
          <w:w w:val="99"/>
          <w:kern w:val="2"/>
          <w:szCs w:val="20"/>
          <w:highlight w:val="none"/>
        </w:rPr>
        <w:t>表2.5-2              大气污染物综合排放标准详解              单位：</w:t>
      </w:r>
      <w:r>
        <w:rPr>
          <w:rFonts w:ascii="Times New Roman" w:hAnsi="Times New Roman" w:cs="Times New Roman" w:eastAsiaTheme="minorEastAsia"/>
          <w:b/>
          <w:bCs/>
          <w:color w:val="auto"/>
          <w:w w:val="99"/>
          <w:kern w:val="2"/>
          <w:szCs w:val="21"/>
          <w:highlight w:val="none"/>
        </w:rPr>
        <w:t>mg/m</w:t>
      </w:r>
      <w:r>
        <w:rPr>
          <w:rFonts w:ascii="Times New Roman" w:hAnsi="Times New Roman" w:cs="Times New Roman" w:eastAsiaTheme="minorEastAsia"/>
          <w:b/>
          <w:bCs/>
          <w:color w:val="auto"/>
          <w:w w:val="99"/>
          <w:kern w:val="2"/>
          <w:szCs w:val="21"/>
          <w:highlight w:val="none"/>
          <w:vertAlign w:val="superscript"/>
        </w:rPr>
        <w:t>3</w:t>
      </w:r>
    </w:p>
    <w:tbl>
      <w:tblPr>
        <w:tblStyle w:val="8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83"/>
        <w:gridCol w:w="2253"/>
        <w:gridCol w:w="24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标准</w:t>
            </w:r>
          </w:p>
        </w:tc>
        <w:tc>
          <w:tcPr>
            <w:tcW w:w="121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污染物名称</w:t>
            </w:r>
          </w:p>
        </w:tc>
        <w:tc>
          <w:tcPr>
            <w:tcW w:w="1319"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最高允许浓度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《大气污染物综合排放标准详解》</w:t>
            </w:r>
          </w:p>
        </w:tc>
        <w:tc>
          <w:tcPr>
            <w:tcW w:w="121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非甲烷总烃</w:t>
            </w:r>
          </w:p>
        </w:tc>
        <w:tc>
          <w:tcPr>
            <w:tcW w:w="1319"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2.0</w:t>
            </w:r>
          </w:p>
        </w:tc>
      </w:tr>
    </w:tbl>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2.5.1.2声环境</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本项目开发区域执行《声环境质量标准》（GB3096-2008）中的2类区标准，开发区域周边村屯执行《声环境质量标准》（GB3096-2008）中的1类区标准，具体见表2.5-3。</w:t>
      </w:r>
    </w:p>
    <w:p>
      <w:pPr>
        <w:widowControl w:val="0"/>
        <w:spacing w:line="500" w:lineRule="exact"/>
        <w:ind w:firstLine="476" w:firstLineChars="200"/>
        <w:rPr>
          <w:rFonts w:ascii="Times New Roman" w:hAnsi="Times New Roman" w:cs="Times New Roman" w:eastAsiaTheme="minorEastAsia"/>
          <w:b/>
          <w:bCs w:val="0"/>
          <w:color w:val="auto"/>
          <w:w w:val="99"/>
          <w:kern w:val="2"/>
          <w:highlight w:val="none"/>
        </w:rPr>
      </w:pPr>
      <w:r>
        <w:rPr>
          <w:rFonts w:ascii="Times New Roman" w:hAnsi="Times New Roman" w:cs="Times New Roman" w:eastAsiaTheme="minorEastAsia"/>
          <w:b/>
          <w:bCs w:val="0"/>
          <w:color w:val="auto"/>
          <w:w w:val="99"/>
          <w:kern w:val="2"/>
          <w:highlight w:val="none"/>
        </w:rPr>
        <w:t>表2.5-3                   声环境质量标准                 单位：dB（A）</w:t>
      </w:r>
    </w:p>
    <w:tbl>
      <w:tblPr>
        <w:tblStyle w:val="8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44"/>
        <w:gridCol w:w="1291"/>
        <w:gridCol w:w="15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项  目</w:t>
            </w:r>
          </w:p>
        </w:tc>
        <w:tc>
          <w:tcPr>
            <w:tcW w:w="69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昼  间</w:t>
            </w:r>
          </w:p>
        </w:tc>
        <w:tc>
          <w:tcPr>
            <w:tcW w:w="8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夜  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《声环境质量标准》（GB3096-2008）中1类标准</w:t>
            </w:r>
          </w:p>
        </w:tc>
        <w:tc>
          <w:tcPr>
            <w:tcW w:w="69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55</w:t>
            </w:r>
          </w:p>
        </w:tc>
        <w:tc>
          <w:tcPr>
            <w:tcW w:w="8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《声环境质量标准》（GB3096-2008）中2类标准</w:t>
            </w:r>
          </w:p>
        </w:tc>
        <w:tc>
          <w:tcPr>
            <w:tcW w:w="69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60</w:t>
            </w:r>
          </w:p>
        </w:tc>
        <w:tc>
          <w:tcPr>
            <w:tcW w:w="8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50</w:t>
            </w:r>
          </w:p>
        </w:tc>
      </w:tr>
    </w:tbl>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2.5.1.3土壤环境</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本项目拟钻井平台永久占地内土壤评价执行《土壤环境质量 建设用地土壤污染风险管控标准（试行）》（GB36600-2018）表1（基本项目）中第二类用地筛选值标准，以及表2（其他项目）中第二类用地</w:t>
      </w:r>
      <w:r>
        <w:rPr>
          <w:rFonts w:ascii="Times New Roman" w:hAnsi="Times New Roman" w:cs="Times New Roman" w:eastAsiaTheme="minorEastAsia"/>
          <w:color w:val="auto"/>
          <w:w w:val="99"/>
          <w:kern w:val="2"/>
          <w:highlight w:val="none"/>
          <w:lang w:bidi="ar"/>
        </w:rPr>
        <w:t>石油烃</w:t>
      </w:r>
      <w:r>
        <w:rPr>
          <w:rFonts w:ascii="Times New Roman" w:hAnsi="Times New Roman" w:cs="Times New Roman" w:eastAsiaTheme="minorEastAsia"/>
          <w:color w:val="auto"/>
          <w:w w:val="99"/>
          <w:kern w:val="2"/>
          <w:szCs w:val="20"/>
          <w:highlight w:val="none"/>
        </w:rPr>
        <w:t>筛选值标准，</w:t>
      </w:r>
      <w:r>
        <w:rPr>
          <w:rFonts w:hint="eastAsia" w:ascii="Times New Roman" w:hAnsi="Times New Roman" w:cs="Times New Roman" w:eastAsiaTheme="minorEastAsia"/>
          <w:color w:val="auto"/>
          <w:w w:val="99"/>
          <w:kern w:val="2"/>
          <w:szCs w:val="20"/>
          <w:highlight w:val="none"/>
          <w:lang w:eastAsia="zh-CN"/>
        </w:rPr>
        <w:t>评价范围</w:t>
      </w:r>
      <w:r>
        <w:rPr>
          <w:rFonts w:ascii="Times New Roman" w:hAnsi="Times New Roman" w:cs="Times New Roman" w:eastAsiaTheme="minorEastAsia"/>
          <w:color w:val="auto"/>
          <w:w w:val="99"/>
          <w:kern w:val="2"/>
          <w:szCs w:val="20"/>
          <w:highlight w:val="none"/>
        </w:rPr>
        <w:t>内</w:t>
      </w:r>
      <w:r>
        <w:rPr>
          <w:rFonts w:hint="eastAsia" w:ascii="Times New Roman" w:hAnsi="Times New Roman" w:cs="Times New Roman" w:eastAsiaTheme="minorEastAsia"/>
          <w:color w:val="auto"/>
          <w:w w:val="99"/>
          <w:kern w:val="2"/>
          <w:szCs w:val="20"/>
          <w:highlight w:val="none"/>
          <w:lang w:eastAsia="zh-CN"/>
        </w:rPr>
        <w:t>村庄</w:t>
      </w:r>
      <w:r>
        <w:rPr>
          <w:rFonts w:ascii="Times New Roman" w:hAnsi="Times New Roman" w:cs="Times New Roman" w:eastAsiaTheme="minorEastAsia"/>
          <w:color w:val="auto"/>
          <w:w w:val="99"/>
          <w:kern w:val="2"/>
          <w:szCs w:val="20"/>
          <w:highlight w:val="none"/>
        </w:rPr>
        <w:t>土壤执行《土壤环境质量 建设用地土壤污染风险管控标准（试行）》（GB36600-2018）表1（基本项目）中第一类用地筛选值标准，以及表2（其他项目）中第一类用地</w:t>
      </w:r>
      <w:r>
        <w:rPr>
          <w:rFonts w:ascii="Times New Roman" w:hAnsi="Times New Roman" w:cs="Times New Roman" w:eastAsiaTheme="minorEastAsia"/>
          <w:color w:val="auto"/>
          <w:w w:val="99"/>
          <w:kern w:val="2"/>
          <w:highlight w:val="none"/>
          <w:lang w:bidi="ar"/>
        </w:rPr>
        <w:t>石油烃</w:t>
      </w:r>
      <w:r>
        <w:rPr>
          <w:rFonts w:ascii="Times New Roman" w:hAnsi="Times New Roman" w:cs="Times New Roman" w:eastAsiaTheme="minorEastAsia"/>
          <w:color w:val="auto"/>
          <w:w w:val="99"/>
          <w:kern w:val="2"/>
          <w:szCs w:val="20"/>
          <w:highlight w:val="none"/>
        </w:rPr>
        <w:t>筛选值标准，具体见表2.5-</w:t>
      </w:r>
      <w:r>
        <w:rPr>
          <w:rFonts w:hint="eastAsia" w:ascii="Times New Roman" w:hAnsi="Times New Roman" w:cs="Times New Roman" w:eastAsiaTheme="minorEastAsia"/>
          <w:color w:val="auto"/>
          <w:w w:val="99"/>
          <w:kern w:val="2"/>
          <w:szCs w:val="20"/>
          <w:highlight w:val="none"/>
          <w:lang w:val="en-US" w:eastAsia="zh-CN"/>
        </w:rPr>
        <w:t>4</w:t>
      </w:r>
      <w:r>
        <w:rPr>
          <w:rFonts w:ascii="Times New Roman" w:hAnsi="Times New Roman" w:cs="Times New Roman" w:eastAsiaTheme="minorEastAsia"/>
          <w:color w:val="auto"/>
          <w:w w:val="99"/>
          <w:kern w:val="2"/>
          <w:szCs w:val="20"/>
          <w:highlight w:val="none"/>
        </w:rPr>
        <w:t>。</w:t>
      </w:r>
    </w:p>
    <w:p>
      <w:pPr>
        <w:widowControl w:val="0"/>
        <w:spacing w:line="500" w:lineRule="exact"/>
        <w:ind w:firstLine="476" w:firstLineChars="200"/>
        <w:rPr>
          <w:rFonts w:ascii="Times New Roman" w:hAnsi="Times New Roman" w:cs="Times New Roman" w:eastAsiaTheme="minorEastAsia"/>
          <w:bCs/>
          <w:color w:val="auto"/>
          <w:w w:val="99"/>
          <w:kern w:val="2"/>
          <w:highlight w:val="none"/>
        </w:rPr>
      </w:pPr>
      <w:r>
        <w:rPr>
          <w:rFonts w:ascii="Times New Roman" w:hAnsi="Times New Roman" w:cs="Times New Roman" w:eastAsiaTheme="minorEastAsia"/>
          <w:b/>
          <w:bCs/>
          <w:color w:val="auto"/>
          <w:w w:val="99"/>
          <w:kern w:val="2"/>
          <w:szCs w:val="20"/>
          <w:highlight w:val="none"/>
        </w:rPr>
        <w:t>表2.5-</w:t>
      </w:r>
      <w:r>
        <w:rPr>
          <w:rFonts w:hint="eastAsia" w:ascii="Times New Roman" w:hAnsi="Times New Roman" w:cs="Times New Roman" w:eastAsiaTheme="minorEastAsia"/>
          <w:b/>
          <w:bCs/>
          <w:color w:val="auto"/>
          <w:w w:val="99"/>
          <w:kern w:val="2"/>
          <w:szCs w:val="20"/>
          <w:highlight w:val="none"/>
          <w:lang w:val="en-US" w:eastAsia="zh-CN"/>
        </w:rPr>
        <w:t>4</w:t>
      </w:r>
      <w:r>
        <w:rPr>
          <w:rFonts w:ascii="Times New Roman" w:hAnsi="Times New Roman" w:cs="Times New Roman" w:eastAsiaTheme="minorEastAsia"/>
          <w:b/>
          <w:bCs/>
          <w:color w:val="auto"/>
          <w:w w:val="99"/>
          <w:kern w:val="2"/>
          <w:highlight w:val="none"/>
        </w:rPr>
        <w:t xml:space="preserve">                    土壤环境执行标准                单位：mg/kg</w:t>
      </w:r>
    </w:p>
    <w:tbl>
      <w:tblPr>
        <w:tblStyle w:val="8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2439"/>
        <w:gridCol w:w="1476"/>
        <w:gridCol w:w="1618"/>
        <w:gridCol w:w="29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序号</w:t>
            </w:r>
          </w:p>
        </w:tc>
        <w:tc>
          <w:tcPr>
            <w:tcW w:w="1313" w:type="pct"/>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监测项目</w:t>
            </w:r>
          </w:p>
        </w:tc>
        <w:tc>
          <w:tcPr>
            <w:tcW w:w="1666" w:type="pct"/>
            <w:gridSpan w:val="2"/>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筛选值</w:t>
            </w:r>
          </w:p>
        </w:tc>
        <w:tc>
          <w:tcPr>
            <w:tcW w:w="1588" w:type="pct"/>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标准名称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c>
          <w:tcPr>
            <w:tcW w:w="1313"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第一类用地</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第二类用地</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As</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20</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60</w:t>
            </w:r>
          </w:p>
        </w:tc>
        <w:tc>
          <w:tcPr>
            <w:tcW w:w="1588" w:type="pct"/>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《土壤环境质量 建设用地土壤污染风险管控标准（试行）》（GB36600-2018）基本项目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Cd</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20</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65</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Cr（六价）</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3.0</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5.7</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Cu</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2000</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18000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Pb</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400</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800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6</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Hg</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8</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38</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7</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Ni</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150</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900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8</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四氯化碳</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0.9</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2.8</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9</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氯仿</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0.3</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0.9</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10</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氯甲烷</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37</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11</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1,1-二氯乙烷</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9</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1,2-二氯乙烷</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0.52</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13</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1,1-二氯乙烯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66</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14</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顺-1,2-二氯乙烯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66</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596</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15</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反-1,2-二氯乙烯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10</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54</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16</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二氯甲烷</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94</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616</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17</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1,2-二氯丙烷</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18</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1,1,1,2-四氯乙烷</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2.6</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19</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1,1,2,2-四氯乙烷</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1.6</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6.8</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20</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四氯乙烯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11</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53</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21</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1,1,1-三氯乙烷</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701</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840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22</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1,1,2-三氯乙烷</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0.6</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2.8</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23</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三氯乙烯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0.7</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2.8</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24</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1,2,3-三氯丙烷</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0.05</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0.5</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25</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氯乙烯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0.12</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0.43</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26</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27</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氯苯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68</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270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28</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1,2-二氯苯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560</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560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29</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1,4-二氯苯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5.6</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20</w:t>
            </w:r>
          </w:p>
        </w:tc>
        <w:tc>
          <w:tcPr>
            <w:tcW w:w="1588" w:type="pct"/>
            <w:vMerge w:val="continue"/>
            <w:vAlign w:val="center"/>
          </w:tcPr>
          <w:p>
            <w:pPr>
              <w:widowControl w:val="0"/>
              <w:spacing w:line="320" w:lineRule="exact"/>
              <w:jc w:val="both"/>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30</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乙苯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7.2</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28</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31</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苯乙烯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1290</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1290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32</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甲苯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1200</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1200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33</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间二甲苯+对二甲苯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163</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570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34</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邻二甲苯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222</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640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35</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硝基苯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34</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76</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36</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苯胺</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92</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260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37</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2-氯酚</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250</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2256</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38</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苯并［a］蒽</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5.5</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15</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39</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苯并［a］芘</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0.55</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1.5</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40</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苯并［b］荧蒽</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5.5</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15</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41</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苯并［k］荧蒽</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55</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151</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42</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䓛</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490</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1293</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43</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二苯并［a,h］蒽</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0.55</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1.5</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44</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茚并［1,2,3-cd］芘</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5.5</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15</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45</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萘</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25</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70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46</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石油烃（C</w:t>
            </w:r>
            <w:r>
              <w:rPr>
                <w:rFonts w:ascii="Times New Roman" w:hAnsi="Times New Roman" w:cs="Times New Roman" w:eastAsiaTheme="minorEastAsia"/>
                <w:color w:val="auto"/>
                <w:w w:val="99"/>
                <w:kern w:val="2"/>
                <w:sz w:val="21"/>
                <w:szCs w:val="22"/>
                <w:highlight w:val="none"/>
                <w:vertAlign w:val="subscript"/>
                <w:lang w:bidi="ar"/>
              </w:rPr>
              <w:t>10</w:t>
            </w:r>
            <w:r>
              <w:rPr>
                <w:rFonts w:ascii="Times New Roman" w:hAnsi="Times New Roman" w:cs="Times New Roman" w:eastAsiaTheme="minorEastAsia"/>
                <w:color w:val="auto"/>
                <w:w w:val="99"/>
                <w:kern w:val="2"/>
                <w:sz w:val="21"/>
                <w:szCs w:val="22"/>
                <w:highlight w:val="none"/>
                <w:lang w:bidi="ar"/>
              </w:rPr>
              <w:t>-C</w:t>
            </w:r>
            <w:r>
              <w:rPr>
                <w:rFonts w:ascii="Times New Roman" w:hAnsi="Times New Roman" w:cs="Times New Roman" w:eastAsiaTheme="minorEastAsia"/>
                <w:color w:val="auto"/>
                <w:w w:val="99"/>
                <w:kern w:val="2"/>
                <w:sz w:val="21"/>
                <w:szCs w:val="22"/>
                <w:highlight w:val="none"/>
                <w:vertAlign w:val="subscript"/>
                <w:lang w:bidi="ar"/>
              </w:rPr>
              <w:t>40</w:t>
            </w:r>
            <w:r>
              <w:rPr>
                <w:rFonts w:ascii="Times New Roman" w:hAnsi="Times New Roman" w:cs="Times New Roman" w:eastAsiaTheme="minorEastAsia"/>
                <w:color w:val="auto"/>
                <w:w w:val="99"/>
                <w:kern w:val="2"/>
                <w:sz w:val="21"/>
                <w:szCs w:val="22"/>
                <w:highlight w:val="none"/>
                <w:lang w:bidi="ar"/>
              </w:rPr>
              <w:t>）</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826</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4500</w:t>
            </w:r>
          </w:p>
        </w:tc>
        <w:tc>
          <w:tcPr>
            <w:tcW w:w="1588"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《土壤环境质量 建设用地土壤污染风险管控标准（试行）》（GB36600-2018）其他项目</w:t>
            </w:r>
          </w:p>
        </w:tc>
      </w:tr>
    </w:tbl>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本项目开发区域井场周边耕地执行《土壤环境质量 农用地土壤污染风险管控标准（试行）》（GB15618-2018）表1基本项目筛选值标准。具体标准详见表2.5-</w:t>
      </w:r>
      <w:r>
        <w:rPr>
          <w:rFonts w:hint="eastAsia" w:ascii="Times New Roman" w:hAnsi="Times New Roman" w:cs="Times New Roman" w:eastAsiaTheme="minorEastAsia"/>
          <w:color w:val="auto"/>
          <w:w w:val="99"/>
          <w:kern w:val="2"/>
          <w:szCs w:val="20"/>
          <w:highlight w:val="none"/>
          <w:lang w:val="en-US" w:eastAsia="zh-CN"/>
        </w:rPr>
        <w:t>5</w:t>
      </w:r>
      <w:r>
        <w:rPr>
          <w:rFonts w:ascii="Times New Roman" w:hAnsi="Times New Roman" w:cs="Times New Roman" w:eastAsiaTheme="minorEastAsia"/>
          <w:color w:val="auto"/>
          <w:w w:val="99"/>
          <w:kern w:val="2"/>
          <w:szCs w:val="20"/>
          <w:highlight w:val="none"/>
        </w:rPr>
        <w:t>。</w:t>
      </w:r>
    </w:p>
    <w:p>
      <w:pPr>
        <w:widowControl w:val="0"/>
        <w:spacing w:line="500" w:lineRule="exact"/>
        <w:ind w:firstLine="476" w:firstLineChars="200"/>
        <w:rPr>
          <w:rFonts w:ascii="Times New Roman" w:hAnsi="Times New Roman" w:cs="Times New Roman" w:eastAsiaTheme="minorEastAsia"/>
          <w:b/>
          <w:bCs/>
          <w:color w:val="auto"/>
          <w:w w:val="99"/>
          <w:kern w:val="2"/>
          <w:szCs w:val="20"/>
          <w:highlight w:val="none"/>
        </w:rPr>
      </w:pPr>
      <w:r>
        <w:rPr>
          <w:rFonts w:ascii="Times New Roman" w:hAnsi="Times New Roman" w:cs="Times New Roman" w:eastAsiaTheme="minorEastAsia"/>
          <w:b/>
          <w:bCs/>
          <w:color w:val="auto"/>
          <w:w w:val="99"/>
          <w:kern w:val="2"/>
          <w:szCs w:val="20"/>
          <w:highlight w:val="none"/>
        </w:rPr>
        <w:t>表2.5-</w:t>
      </w:r>
      <w:r>
        <w:rPr>
          <w:rFonts w:hint="eastAsia" w:ascii="Times New Roman" w:hAnsi="Times New Roman" w:cs="Times New Roman" w:eastAsiaTheme="minorEastAsia"/>
          <w:b/>
          <w:bCs/>
          <w:color w:val="auto"/>
          <w:w w:val="99"/>
          <w:kern w:val="2"/>
          <w:szCs w:val="20"/>
          <w:highlight w:val="none"/>
          <w:lang w:val="en-US" w:eastAsia="zh-CN"/>
        </w:rPr>
        <w:t>5</w:t>
      </w:r>
      <w:r>
        <w:rPr>
          <w:rFonts w:ascii="Times New Roman" w:hAnsi="Times New Roman" w:cs="Times New Roman" w:eastAsiaTheme="minorEastAsia"/>
          <w:b/>
          <w:bCs/>
          <w:color w:val="auto"/>
          <w:w w:val="99"/>
          <w:kern w:val="2"/>
          <w:szCs w:val="20"/>
          <w:highlight w:val="none"/>
        </w:rPr>
        <w:t xml:space="preserve">                农用地土壤环境执行标准               单位：mg/kg</w:t>
      </w:r>
    </w:p>
    <w:tbl>
      <w:tblPr>
        <w:tblStyle w:val="8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2032"/>
        <w:gridCol w:w="2467"/>
        <w:gridCol w:w="36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pct"/>
            <w:vMerge w:val="restar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序号</w:t>
            </w:r>
          </w:p>
        </w:tc>
        <w:tc>
          <w:tcPr>
            <w:tcW w:w="2422" w:type="pct"/>
            <w:gridSpan w:val="2"/>
            <w:vMerge w:val="restar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污染物项目</w:t>
            </w:r>
          </w:p>
        </w:tc>
        <w:tc>
          <w:tcPr>
            <w:tcW w:w="1953"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筛选值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pct"/>
            <w:vMerge w:val="continue"/>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p>
        </w:tc>
        <w:tc>
          <w:tcPr>
            <w:tcW w:w="2422" w:type="pct"/>
            <w:gridSpan w:val="2"/>
            <w:vMerge w:val="continue"/>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p>
        </w:tc>
        <w:tc>
          <w:tcPr>
            <w:tcW w:w="1953"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pH&gt;7.5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1</w:t>
            </w:r>
          </w:p>
        </w:tc>
        <w:tc>
          <w:tcPr>
            <w:tcW w:w="109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镉</w:t>
            </w:r>
          </w:p>
        </w:tc>
        <w:tc>
          <w:tcPr>
            <w:tcW w:w="1328"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其它</w:t>
            </w:r>
          </w:p>
        </w:tc>
        <w:tc>
          <w:tcPr>
            <w:tcW w:w="1953"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2</w:t>
            </w:r>
          </w:p>
        </w:tc>
        <w:tc>
          <w:tcPr>
            <w:tcW w:w="109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汞</w:t>
            </w:r>
          </w:p>
        </w:tc>
        <w:tc>
          <w:tcPr>
            <w:tcW w:w="1328"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其它</w:t>
            </w:r>
          </w:p>
        </w:tc>
        <w:tc>
          <w:tcPr>
            <w:tcW w:w="1953"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3</w:t>
            </w:r>
          </w:p>
        </w:tc>
        <w:tc>
          <w:tcPr>
            <w:tcW w:w="109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砷</w:t>
            </w:r>
          </w:p>
        </w:tc>
        <w:tc>
          <w:tcPr>
            <w:tcW w:w="1328"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其它</w:t>
            </w:r>
          </w:p>
        </w:tc>
        <w:tc>
          <w:tcPr>
            <w:tcW w:w="1953"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4</w:t>
            </w:r>
          </w:p>
        </w:tc>
        <w:tc>
          <w:tcPr>
            <w:tcW w:w="109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铅</w:t>
            </w:r>
          </w:p>
        </w:tc>
        <w:tc>
          <w:tcPr>
            <w:tcW w:w="1328"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其它</w:t>
            </w:r>
          </w:p>
        </w:tc>
        <w:tc>
          <w:tcPr>
            <w:tcW w:w="1953"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170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5</w:t>
            </w:r>
          </w:p>
        </w:tc>
        <w:tc>
          <w:tcPr>
            <w:tcW w:w="109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铬</w:t>
            </w:r>
          </w:p>
        </w:tc>
        <w:tc>
          <w:tcPr>
            <w:tcW w:w="1328"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其它</w:t>
            </w:r>
          </w:p>
        </w:tc>
        <w:tc>
          <w:tcPr>
            <w:tcW w:w="1953"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6</w:t>
            </w:r>
          </w:p>
        </w:tc>
        <w:tc>
          <w:tcPr>
            <w:tcW w:w="109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铜</w:t>
            </w:r>
          </w:p>
        </w:tc>
        <w:tc>
          <w:tcPr>
            <w:tcW w:w="1328"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其它</w:t>
            </w:r>
          </w:p>
        </w:tc>
        <w:tc>
          <w:tcPr>
            <w:tcW w:w="1953"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7</w:t>
            </w:r>
          </w:p>
        </w:tc>
        <w:tc>
          <w:tcPr>
            <w:tcW w:w="2422" w:type="pct"/>
            <w:gridSpan w:val="2"/>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镍</w:t>
            </w:r>
          </w:p>
        </w:tc>
        <w:tc>
          <w:tcPr>
            <w:tcW w:w="1953"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190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8</w:t>
            </w:r>
          </w:p>
        </w:tc>
        <w:tc>
          <w:tcPr>
            <w:tcW w:w="2422" w:type="pct"/>
            <w:gridSpan w:val="2"/>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锌</w:t>
            </w:r>
          </w:p>
        </w:tc>
        <w:tc>
          <w:tcPr>
            <w:tcW w:w="1953"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300</w:t>
            </w:r>
          </w:p>
        </w:tc>
      </w:tr>
    </w:tbl>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2.5.1.</w:t>
      </w:r>
      <w:r>
        <w:rPr>
          <w:rFonts w:hint="eastAsia" w:ascii="Times New Roman" w:hAnsi="Times New Roman" w:eastAsia="黑体"/>
          <w:b/>
          <w:color w:val="auto"/>
          <w:w w:val="99"/>
          <w:highlight w:val="none"/>
          <w:lang w:val="en-US" w:eastAsia="zh-CN"/>
        </w:rPr>
        <w:t>4</w:t>
      </w:r>
      <w:r>
        <w:rPr>
          <w:rFonts w:ascii="Times New Roman" w:hAnsi="Times New Roman" w:eastAsia="黑体"/>
          <w:b/>
          <w:color w:val="auto"/>
          <w:w w:val="99"/>
          <w:highlight w:val="none"/>
        </w:rPr>
        <w:t>地下水质量标准</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评价区域内地下水质量执行《地下水质量标准》（GB/T14848-2017）III类标准，石油类参考执行《地表水环境质量标准》（GB3838-2002）</w:t>
      </w:r>
      <w:r>
        <w:rPr>
          <w:rFonts w:hint="eastAsia" w:ascii="Times New Roman" w:hAnsi="Times New Roman" w:cs="Times New Roman" w:eastAsiaTheme="minorEastAsia"/>
          <w:color w:val="auto"/>
          <w:w w:val="99"/>
          <w:kern w:val="2"/>
          <w:highlight w:val="none"/>
        </w:rPr>
        <w:t>表</w:t>
      </w:r>
      <w:r>
        <w:rPr>
          <w:rFonts w:ascii="Times New Roman" w:hAnsi="Times New Roman" w:cs="Times New Roman" w:eastAsiaTheme="minorEastAsia"/>
          <w:color w:val="auto"/>
          <w:w w:val="99"/>
          <w:kern w:val="2"/>
          <w:highlight w:val="none"/>
        </w:rPr>
        <w:t>1中III类标准限值要求。</w:t>
      </w:r>
    </w:p>
    <w:p>
      <w:pPr>
        <w:widowControl w:val="0"/>
        <w:spacing w:line="500" w:lineRule="exact"/>
        <w:ind w:firstLine="476" w:firstLineChars="200"/>
        <w:rPr>
          <w:rFonts w:ascii="Times New Roman" w:hAnsi="Times New Roman" w:cs="Times New Roman" w:eastAsiaTheme="minorEastAsia"/>
          <w:b/>
          <w:bCs/>
          <w:color w:val="auto"/>
          <w:w w:val="99"/>
          <w:kern w:val="2"/>
          <w:highlight w:val="none"/>
        </w:rPr>
      </w:pPr>
      <w:r>
        <w:rPr>
          <w:rFonts w:ascii="Times New Roman" w:hAnsi="Times New Roman" w:cs="Times New Roman" w:eastAsiaTheme="minorEastAsia"/>
          <w:b/>
          <w:bCs/>
          <w:color w:val="auto"/>
          <w:w w:val="99"/>
          <w:kern w:val="2"/>
          <w:szCs w:val="20"/>
          <w:highlight w:val="none"/>
        </w:rPr>
        <w:t>表2.5-</w:t>
      </w:r>
      <w:r>
        <w:rPr>
          <w:rFonts w:hint="eastAsia" w:ascii="Times New Roman" w:hAnsi="Times New Roman" w:cs="Times New Roman" w:eastAsiaTheme="minorEastAsia"/>
          <w:b/>
          <w:bCs/>
          <w:color w:val="auto"/>
          <w:w w:val="99"/>
          <w:kern w:val="2"/>
          <w:szCs w:val="20"/>
          <w:highlight w:val="none"/>
          <w:lang w:val="en-US" w:eastAsia="zh-CN"/>
        </w:rPr>
        <w:t>6</w:t>
      </w:r>
      <w:r>
        <w:rPr>
          <w:rFonts w:ascii="Times New Roman" w:hAnsi="Times New Roman" w:cs="Times New Roman" w:eastAsiaTheme="minorEastAsia"/>
          <w:b/>
          <w:bCs/>
          <w:color w:val="auto"/>
          <w:w w:val="99"/>
          <w:kern w:val="2"/>
          <w:highlight w:val="none"/>
        </w:rPr>
        <w:t xml:space="preserve">                    地下水质量标准</w:t>
      </w:r>
    </w:p>
    <w:tbl>
      <w:tblPr>
        <w:tblStyle w:val="8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5"/>
        <w:gridCol w:w="2457"/>
        <w:gridCol w:w="3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12" w:space="0"/>
              <w:left w:val="nil"/>
              <w:bottom w:val="single" w:color="auto" w:sz="6" w:space="0"/>
              <w:right w:val="single" w:color="auto" w:sz="6" w:space="0"/>
              <w:tl2br w:val="single" w:color="auto" w:sz="4" w:space="0"/>
            </w:tcBorders>
            <w:vAlign w:val="center"/>
          </w:tcPr>
          <w:p>
            <w:pPr>
              <w:spacing w:line="360" w:lineRule="exact"/>
              <w:jc w:val="center"/>
              <w:rPr>
                <w:rFonts w:ascii="Times New Roman"/>
                <w:bCs/>
                <w:color w:val="auto"/>
                <w:w w:val="99"/>
                <w:kern w:val="2"/>
                <w:sz w:val="21"/>
                <w:szCs w:val="21"/>
                <w:highlight w:val="none"/>
              </w:rPr>
            </w:pPr>
            <w:bookmarkStart w:id="198" w:name="_Toc57203223"/>
            <w:bookmarkStart w:id="199" w:name="_Toc67523567"/>
            <w:bookmarkStart w:id="200" w:name="_Toc57976648"/>
            <w:bookmarkStart w:id="201" w:name="_Toc69690785"/>
            <w:bookmarkStart w:id="202" w:name="_Toc21176"/>
            <w:bookmarkStart w:id="203" w:name="_Toc71371918"/>
            <w:bookmarkStart w:id="204" w:name="_Toc57707893"/>
            <w:bookmarkStart w:id="205" w:name="_Toc61597195"/>
            <w:bookmarkStart w:id="206" w:name="_Toc17898138"/>
            <w:bookmarkStart w:id="207" w:name="_Toc74812289"/>
            <w:r>
              <w:rPr>
                <w:rFonts w:ascii="Times New Roman"/>
                <w:bCs/>
                <w:color w:val="auto"/>
                <w:w w:val="99"/>
                <w:kern w:val="2"/>
                <w:sz w:val="21"/>
                <w:szCs w:val="21"/>
                <w:highlight w:val="none"/>
              </w:rPr>
              <w:t xml:space="preserve">     类别</w:t>
            </w:r>
          </w:p>
          <w:p>
            <w:pPr>
              <w:spacing w:line="360" w:lineRule="exact"/>
              <w:ind w:firstLine="414" w:firstLineChars="200"/>
              <w:jc w:val="center"/>
              <w:rPr>
                <w:rFonts w:ascii="Times New Roman"/>
                <w:bCs/>
                <w:color w:val="auto"/>
                <w:w w:val="99"/>
                <w:kern w:val="2"/>
                <w:sz w:val="21"/>
                <w:szCs w:val="21"/>
                <w:highlight w:val="none"/>
              </w:rPr>
            </w:pPr>
            <w:r>
              <w:rPr>
                <w:rFonts w:ascii="Times New Roman"/>
                <w:bCs/>
                <w:color w:val="auto"/>
                <w:w w:val="99"/>
                <w:kern w:val="2"/>
                <w:sz w:val="21"/>
                <w:szCs w:val="21"/>
                <w:highlight w:val="none"/>
              </w:rPr>
              <w:t>项目</w:t>
            </w:r>
          </w:p>
        </w:tc>
        <w:tc>
          <w:tcPr>
            <w:tcW w:w="1323" w:type="pct"/>
            <w:tcBorders>
              <w:top w:val="single" w:color="auto" w:sz="12" w:space="0"/>
              <w:left w:val="single" w:color="auto" w:sz="6" w:space="0"/>
              <w:bottom w:val="single" w:color="auto" w:sz="6" w:space="0"/>
              <w:right w:val="single" w:color="auto" w:sz="6" w:space="0"/>
            </w:tcBorders>
            <w:vAlign w:val="center"/>
          </w:tcPr>
          <w:p>
            <w:pPr>
              <w:spacing w:line="360" w:lineRule="exact"/>
              <w:jc w:val="center"/>
              <w:rPr>
                <w:rFonts w:ascii="Times New Roman"/>
                <w:bCs/>
                <w:color w:val="auto"/>
                <w:w w:val="99"/>
                <w:kern w:val="2"/>
                <w:sz w:val="21"/>
                <w:szCs w:val="21"/>
                <w:highlight w:val="none"/>
              </w:rPr>
            </w:pPr>
            <w:r>
              <w:rPr>
                <w:rFonts w:ascii="Times New Roman"/>
                <w:bCs/>
                <w:color w:val="auto"/>
                <w:w w:val="99"/>
                <w:kern w:val="2"/>
                <w:sz w:val="21"/>
                <w:szCs w:val="21"/>
                <w:highlight w:val="none"/>
              </w:rPr>
              <w:t>标准</w:t>
            </w:r>
          </w:p>
        </w:tc>
        <w:tc>
          <w:tcPr>
            <w:tcW w:w="1989" w:type="pct"/>
            <w:tcBorders>
              <w:top w:val="single" w:color="auto" w:sz="12" w:space="0"/>
              <w:left w:val="single" w:color="auto" w:sz="6" w:space="0"/>
              <w:bottom w:val="single" w:color="auto" w:sz="6" w:space="0"/>
              <w:right w:val="nil"/>
            </w:tcBorders>
            <w:vAlign w:val="center"/>
          </w:tcPr>
          <w:p>
            <w:pPr>
              <w:spacing w:line="360" w:lineRule="exact"/>
              <w:jc w:val="center"/>
              <w:rPr>
                <w:rFonts w:ascii="Times New Roman"/>
                <w:bCs/>
                <w:color w:val="auto"/>
                <w:w w:val="99"/>
                <w:kern w:val="2"/>
                <w:sz w:val="21"/>
                <w:szCs w:val="21"/>
                <w:highlight w:val="none"/>
              </w:rPr>
            </w:pPr>
            <w:r>
              <w:rPr>
                <w:rFonts w:ascii="Times New Roman"/>
                <w:bCs/>
                <w:color w:val="auto"/>
                <w:w w:val="99"/>
                <w:kern w:val="2"/>
                <w:sz w:val="21"/>
                <w:szCs w:val="21"/>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pH</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6.5～8.5（无纲量）</w:t>
            </w:r>
          </w:p>
        </w:tc>
        <w:tc>
          <w:tcPr>
            <w:tcW w:w="1989" w:type="pct"/>
            <w:vMerge w:val="restart"/>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《地下水质量标准》（GB/T14848-2017）中</w:t>
            </w:r>
            <w:r>
              <w:rPr>
                <w:rFonts w:hint="eastAsia"/>
                <w:color w:val="auto"/>
                <w:w w:val="99"/>
                <w:kern w:val="2"/>
                <w:sz w:val="21"/>
                <w:szCs w:val="21"/>
                <w:highlight w:val="none"/>
              </w:rPr>
              <w:t>Ⅲ</w:t>
            </w:r>
            <w:r>
              <w:rPr>
                <w:rFonts w:ascii="Times New Roman"/>
                <w:color w:val="auto"/>
                <w:w w:val="99"/>
                <w:kern w:val="2"/>
                <w:sz w:val="21"/>
                <w:szCs w:val="21"/>
                <w:highlight w:val="non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氨氮（mg/L）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0.5</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硝酸盐(以N计)（mg/L）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20</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亚硝酸盐(以N计)（mg/L）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1.0</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挥发性酚类（mg/L）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0.002</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氰化物（mg/L）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0.05</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砷（mg/L）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0.01</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汞（mg/L）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0.001</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铬（六价）（mg/L）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0.05</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总硬度（mg/L）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450</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铅（mg/L）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0.01</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氟化物（mg/L）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1.0</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镉（mg/L）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0.005</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钠（mg/L）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200</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铁（mg/L）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0.3</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锰（mg/L）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0.1</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溶解性总固体（mg/L）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1000</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耗氧量（mg/L）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3.0</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硫酸盐（mg/L）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250</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氯化物（mg/L）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250</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总大肠菌群（MPN/100mL）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3.0</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菌落总数（CFU/mL）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100</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12"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石油类</w:t>
            </w:r>
          </w:p>
        </w:tc>
        <w:tc>
          <w:tcPr>
            <w:tcW w:w="1323" w:type="pct"/>
            <w:tcBorders>
              <w:top w:val="single" w:color="auto" w:sz="6" w:space="0"/>
              <w:left w:val="single" w:color="auto" w:sz="6" w:space="0"/>
              <w:bottom w:val="single" w:color="auto" w:sz="12"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0.05</w:t>
            </w:r>
          </w:p>
        </w:tc>
        <w:tc>
          <w:tcPr>
            <w:tcW w:w="1989" w:type="pct"/>
            <w:tcBorders>
              <w:top w:val="single" w:color="auto" w:sz="6" w:space="0"/>
              <w:left w:val="single" w:color="auto" w:sz="6" w:space="0"/>
              <w:bottom w:val="single" w:color="auto" w:sz="12" w:space="0"/>
              <w:right w:val="nil"/>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《地表水环境质量标准》（GB3838-2002）</w:t>
            </w:r>
            <w:r>
              <w:rPr>
                <w:rFonts w:hint="eastAsia" w:ascii="Times New Roman"/>
                <w:color w:val="auto"/>
                <w:w w:val="99"/>
                <w:kern w:val="2"/>
                <w:sz w:val="21"/>
                <w:szCs w:val="21"/>
                <w:highlight w:val="none"/>
              </w:rPr>
              <w:t>表</w:t>
            </w:r>
            <w:r>
              <w:rPr>
                <w:rFonts w:ascii="Times New Roman"/>
                <w:color w:val="auto"/>
                <w:w w:val="99"/>
                <w:kern w:val="2"/>
                <w:sz w:val="21"/>
                <w:szCs w:val="21"/>
                <w:highlight w:val="none"/>
              </w:rPr>
              <w:t>1中III类标准限值要求</w:t>
            </w:r>
          </w:p>
        </w:tc>
      </w:tr>
    </w:tbl>
    <w:p>
      <w:pPr>
        <w:pStyle w:val="7"/>
        <w:keepNext w:val="0"/>
        <w:keepLines w:val="0"/>
        <w:widowControl w:val="0"/>
        <w:rPr>
          <w:b/>
          <w:color w:val="auto"/>
          <w:w w:val="99"/>
          <w:kern w:val="2"/>
          <w:sz w:val="24"/>
          <w:szCs w:val="24"/>
          <w:highlight w:val="none"/>
        </w:rPr>
      </w:pPr>
      <w:bookmarkStart w:id="208" w:name="_Toc77667262"/>
      <w:bookmarkStart w:id="209" w:name="_Toc80105118"/>
      <w:r>
        <w:rPr>
          <w:b/>
          <w:color w:val="auto"/>
          <w:w w:val="99"/>
          <w:kern w:val="2"/>
          <w:sz w:val="24"/>
          <w:szCs w:val="24"/>
          <w:highlight w:val="none"/>
        </w:rPr>
        <w:t>2.5.2污染物排放标准</w:t>
      </w:r>
      <w:bookmarkEnd w:id="198"/>
      <w:bookmarkEnd w:id="199"/>
      <w:bookmarkEnd w:id="200"/>
      <w:bookmarkEnd w:id="201"/>
      <w:bookmarkEnd w:id="202"/>
      <w:bookmarkEnd w:id="203"/>
      <w:bookmarkEnd w:id="204"/>
      <w:bookmarkEnd w:id="205"/>
      <w:bookmarkEnd w:id="206"/>
      <w:bookmarkEnd w:id="207"/>
      <w:bookmarkEnd w:id="208"/>
      <w:bookmarkEnd w:id="209"/>
    </w:p>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2.5.2.1废气</w:t>
      </w:r>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项目施工期扬尘（颗粒物）执行《大气污染物综合排放标准》(GB16297-1996）表2中无组织排放监控浓度限值，见</w:t>
      </w:r>
      <w:r>
        <w:rPr>
          <w:rFonts w:ascii="Times New Roman" w:hAnsi="Times New Roman" w:cs="Times New Roman" w:eastAsiaTheme="minorEastAsia"/>
          <w:color w:val="auto"/>
          <w:w w:val="99"/>
          <w:kern w:val="2"/>
          <w:szCs w:val="20"/>
          <w:highlight w:val="none"/>
        </w:rPr>
        <w:t>表2.5-8</w:t>
      </w:r>
      <w:r>
        <w:rPr>
          <w:rFonts w:ascii="Times New Roman" w:hAnsi="Times New Roman" w:cs="Times New Roman" w:eastAsiaTheme="minorEastAsia"/>
          <w:bCs/>
          <w:color w:val="auto"/>
          <w:w w:val="99"/>
          <w:kern w:val="21"/>
          <w:highlight w:val="none"/>
        </w:rPr>
        <w:t>。</w:t>
      </w:r>
    </w:p>
    <w:p>
      <w:pPr>
        <w:widowControl w:val="0"/>
        <w:tabs>
          <w:tab w:val="left" w:pos="5262"/>
        </w:tabs>
        <w:spacing w:line="500" w:lineRule="exact"/>
        <w:ind w:firstLine="476" w:firstLineChars="200"/>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
          <w:szCs w:val="20"/>
          <w:highlight w:val="none"/>
        </w:rPr>
        <w:t>表2.5-</w:t>
      </w:r>
      <w:r>
        <w:rPr>
          <w:rFonts w:hint="eastAsia" w:ascii="Times New Roman" w:hAnsi="Times New Roman" w:cs="Times New Roman" w:eastAsiaTheme="minorEastAsia"/>
          <w:b/>
          <w:bCs/>
          <w:color w:val="auto"/>
          <w:w w:val="99"/>
          <w:kern w:val="2"/>
          <w:szCs w:val="20"/>
          <w:highlight w:val="none"/>
          <w:lang w:val="en-US" w:eastAsia="zh-CN"/>
        </w:rPr>
        <w:t>7</w:t>
      </w:r>
      <w:r>
        <w:rPr>
          <w:rFonts w:ascii="Times New Roman" w:hAnsi="Times New Roman" w:cs="Times New Roman" w:eastAsiaTheme="minorEastAsia"/>
          <w:b/>
          <w:bCs/>
          <w:color w:val="auto"/>
          <w:w w:val="99"/>
          <w:kern w:val="21"/>
          <w:highlight w:val="none"/>
        </w:rPr>
        <w:t xml:space="preserve">                  大气污染物综合排放标准             单位：mg/m</w:t>
      </w:r>
      <w:r>
        <w:rPr>
          <w:rFonts w:ascii="Times New Roman" w:hAnsi="Times New Roman" w:cs="Times New Roman" w:eastAsiaTheme="minorEastAsia"/>
          <w:b/>
          <w:bCs/>
          <w:color w:val="auto"/>
          <w:w w:val="99"/>
          <w:kern w:val="21"/>
          <w:highlight w:val="none"/>
          <w:vertAlign w:val="superscript"/>
        </w:rPr>
        <w:t>3</w:t>
      </w:r>
    </w:p>
    <w:tbl>
      <w:tblPr>
        <w:tblStyle w:val="8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54"/>
        <w:gridCol w:w="3035"/>
        <w:gridCol w:w="32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1" w:type="pct"/>
            <w:vMerge w:val="restart"/>
            <w:vAlign w:val="center"/>
          </w:tcPr>
          <w:p>
            <w:pPr>
              <w:widowControl w:val="0"/>
              <w:tabs>
                <w:tab w:val="left" w:pos="5262"/>
              </w:tabs>
              <w:spacing w:line="320" w:lineRule="exact"/>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污染物</w:t>
            </w:r>
          </w:p>
        </w:tc>
        <w:tc>
          <w:tcPr>
            <w:tcW w:w="3409" w:type="pct"/>
            <w:gridSpan w:val="2"/>
            <w:vAlign w:val="center"/>
          </w:tcPr>
          <w:p>
            <w:pPr>
              <w:widowControl w:val="0"/>
              <w:tabs>
                <w:tab w:val="left" w:pos="5262"/>
              </w:tabs>
              <w:spacing w:line="320" w:lineRule="exact"/>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1" w:type="pct"/>
            <w:vMerge w:val="continue"/>
            <w:vAlign w:val="center"/>
          </w:tcPr>
          <w:p>
            <w:pPr>
              <w:widowControl w:val="0"/>
              <w:tabs>
                <w:tab w:val="left" w:pos="5262"/>
              </w:tabs>
              <w:spacing w:line="320" w:lineRule="exact"/>
              <w:jc w:val="center"/>
              <w:rPr>
                <w:rFonts w:ascii="Times New Roman" w:hAnsi="Times New Roman" w:cs="Times New Roman" w:eastAsiaTheme="minorEastAsia"/>
                <w:bCs/>
                <w:color w:val="auto"/>
                <w:w w:val="99"/>
                <w:kern w:val="21"/>
                <w:sz w:val="21"/>
                <w:szCs w:val="21"/>
                <w:highlight w:val="none"/>
              </w:rPr>
            </w:pPr>
          </w:p>
        </w:tc>
        <w:tc>
          <w:tcPr>
            <w:tcW w:w="1634" w:type="pct"/>
            <w:vAlign w:val="center"/>
          </w:tcPr>
          <w:p>
            <w:pPr>
              <w:widowControl w:val="0"/>
              <w:tabs>
                <w:tab w:val="left" w:pos="5262"/>
              </w:tabs>
              <w:spacing w:line="320" w:lineRule="exact"/>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监控点</w:t>
            </w:r>
          </w:p>
        </w:tc>
        <w:tc>
          <w:tcPr>
            <w:tcW w:w="1775" w:type="pct"/>
            <w:vAlign w:val="center"/>
          </w:tcPr>
          <w:p>
            <w:pPr>
              <w:widowControl w:val="0"/>
              <w:tabs>
                <w:tab w:val="left" w:pos="5262"/>
              </w:tabs>
              <w:spacing w:line="320" w:lineRule="exact"/>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1" w:type="pct"/>
            <w:vAlign w:val="center"/>
          </w:tcPr>
          <w:p>
            <w:pPr>
              <w:widowControl w:val="0"/>
              <w:tabs>
                <w:tab w:val="left" w:pos="5262"/>
              </w:tabs>
              <w:spacing w:line="320" w:lineRule="exact"/>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颗粒物</w:t>
            </w:r>
          </w:p>
        </w:tc>
        <w:tc>
          <w:tcPr>
            <w:tcW w:w="1634" w:type="pct"/>
            <w:vAlign w:val="center"/>
          </w:tcPr>
          <w:p>
            <w:pPr>
              <w:widowControl w:val="0"/>
              <w:tabs>
                <w:tab w:val="left" w:pos="5262"/>
              </w:tabs>
              <w:spacing w:line="320" w:lineRule="exact"/>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周界外浓度最高点</w:t>
            </w:r>
          </w:p>
        </w:tc>
        <w:tc>
          <w:tcPr>
            <w:tcW w:w="1775" w:type="pct"/>
            <w:vAlign w:val="center"/>
          </w:tcPr>
          <w:p>
            <w:pPr>
              <w:widowControl w:val="0"/>
              <w:tabs>
                <w:tab w:val="left" w:pos="5262"/>
              </w:tabs>
              <w:spacing w:line="320" w:lineRule="exact"/>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1.0</w:t>
            </w:r>
          </w:p>
        </w:tc>
      </w:tr>
    </w:tbl>
    <w:p>
      <w:pPr>
        <w:widowControl w:val="0"/>
        <w:spacing w:line="44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施工期柴油发电机燃烧废气排放标准执行《非道路移动机械用柴油机排气污染物排放限值及测量方法》（中国第三、四阶段）（GB20891-2014）及2020修改单中第三阶段标准限值，具体见表2.5-9。</w:t>
      </w:r>
    </w:p>
    <w:p>
      <w:pPr>
        <w:pStyle w:val="1681"/>
        <w:adjustRightInd/>
        <w:snapToGrid/>
        <w:spacing w:after="0" w:line="440" w:lineRule="exact"/>
        <w:ind w:firstLine="436" w:firstLineChars="200"/>
        <w:jc w:val="both"/>
        <w:textAlignment w:val="auto"/>
        <w:rPr>
          <w:rFonts w:ascii="Times New Roman" w:hAnsi="Times New Roman" w:cs="Times New Roman" w:eastAsiaTheme="minorEastAsia"/>
          <w:b/>
          <w:bCs w:val="0"/>
          <w:color w:val="auto"/>
          <w:w w:val="99"/>
          <w:kern w:val="2"/>
          <w:sz w:val="24"/>
          <w:szCs w:val="20"/>
          <w:highlight w:val="none"/>
          <w:lang w:val="en-US" w:eastAsia="zh-CN" w:bidi="ar-SA"/>
        </w:rPr>
      </w:pPr>
      <w:r>
        <w:rPr>
          <w:rFonts w:ascii="Times New Roman" w:hAnsi="Times New Roman" w:cs="Times New Roman" w:eastAsiaTheme="minorEastAsia"/>
          <w:b/>
          <w:bCs w:val="0"/>
          <w:color w:val="auto"/>
          <w:w w:val="99"/>
          <w:kern w:val="2"/>
          <w:sz w:val="24"/>
          <w:szCs w:val="20"/>
          <w:highlight w:val="none"/>
          <w:lang w:val="en-US" w:eastAsia="zh-CN" w:bidi="ar-SA"/>
        </w:rPr>
        <w:t>表2.5-</w:t>
      </w:r>
      <w:r>
        <w:rPr>
          <w:rFonts w:hint="eastAsia" w:cs="Times New Roman" w:eastAsiaTheme="minorEastAsia"/>
          <w:b/>
          <w:bCs w:val="0"/>
          <w:color w:val="auto"/>
          <w:w w:val="99"/>
          <w:kern w:val="2"/>
          <w:sz w:val="24"/>
          <w:szCs w:val="20"/>
          <w:highlight w:val="none"/>
          <w:lang w:val="en-US" w:eastAsia="zh-CN" w:bidi="ar-SA"/>
        </w:rPr>
        <w:t>8</w:t>
      </w:r>
      <w:r>
        <w:rPr>
          <w:rFonts w:ascii="Times New Roman" w:hAnsi="Times New Roman" w:cs="Times New Roman" w:eastAsiaTheme="minorEastAsia"/>
          <w:b/>
          <w:bCs w:val="0"/>
          <w:color w:val="auto"/>
          <w:w w:val="99"/>
          <w:kern w:val="2"/>
          <w:sz w:val="24"/>
          <w:szCs w:val="20"/>
          <w:highlight w:val="none"/>
          <w:lang w:val="en-US" w:eastAsia="zh-CN" w:bidi="ar-SA"/>
        </w:rPr>
        <w:t xml:space="preserve">    </w:t>
      </w:r>
      <w:r>
        <w:rPr>
          <w:rFonts w:hint="eastAsia" w:cs="Times New Roman" w:eastAsiaTheme="minorEastAsia"/>
          <w:b/>
          <w:bCs w:val="0"/>
          <w:color w:val="auto"/>
          <w:w w:val="99"/>
          <w:kern w:val="2"/>
          <w:sz w:val="24"/>
          <w:szCs w:val="20"/>
          <w:highlight w:val="none"/>
          <w:lang w:val="en-US" w:eastAsia="zh-CN" w:bidi="ar-SA"/>
        </w:rPr>
        <w:t xml:space="preserve">           </w:t>
      </w:r>
      <w:r>
        <w:rPr>
          <w:rFonts w:ascii="Times New Roman" w:hAnsi="Times New Roman" w:cs="Times New Roman" w:eastAsiaTheme="minorEastAsia"/>
          <w:b/>
          <w:bCs w:val="0"/>
          <w:color w:val="auto"/>
          <w:w w:val="99"/>
          <w:kern w:val="2"/>
          <w:sz w:val="24"/>
          <w:szCs w:val="20"/>
          <w:highlight w:val="none"/>
          <w:lang w:val="en-US" w:eastAsia="zh-CN" w:bidi="ar-SA"/>
        </w:rPr>
        <w:t>非道路移动机械用柴油机排气污染物排放限值</w:t>
      </w:r>
    </w:p>
    <w:tbl>
      <w:tblPr>
        <w:tblStyle w:val="82"/>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2899"/>
        <w:gridCol w:w="2132"/>
        <w:gridCol w:w="1824"/>
        <w:gridCol w:w="153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阶段</w:t>
            </w:r>
          </w:p>
        </w:tc>
        <w:tc>
          <w:tcPr>
            <w:tcW w:w="1561"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额定净功率</w:t>
            </w:r>
          </w:p>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（max）（kW）</w:t>
            </w:r>
          </w:p>
        </w:tc>
        <w:tc>
          <w:tcPr>
            <w:tcW w:w="1148"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CO</w:t>
            </w:r>
          </w:p>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(g/kWh)</w:t>
            </w:r>
          </w:p>
        </w:tc>
        <w:tc>
          <w:tcPr>
            <w:tcW w:w="982"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HC+ NOx</w:t>
            </w:r>
          </w:p>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(g/kWh)</w:t>
            </w:r>
          </w:p>
        </w:tc>
        <w:tc>
          <w:tcPr>
            <w:tcW w:w="827"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PM</w:t>
            </w:r>
          </w:p>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(g/kW)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pct"/>
            <w:vMerge w:val="restar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第三</w:t>
            </w:r>
          </w:p>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阶段</w:t>
            </w:r>
          </w:p>
        </w:tc>
        <w:tc>
          <w:tcPr>
            <w:tcW w:w="1561"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Pmax＞560</w:t>
            </w:r>
          </w:p>
        </w:tc>
        <w:tc>
          <w:tcPr>
            <w:tcW w:w="1148"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3.5</w:t>
            </w:r>
          </w:p>
        </w:tc>
        <w:tc>
          <w:tcPr>
            <w:tcW w:w="982"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6.4</w:t>
            </w:r>
          </w:p>
        </w:tc>
        <w:tc>
          <w:tcPr>
            <w:tcW w:w="827"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pct"/>
            <w:vMerge w:val="continue"/>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p>
        </w:tc>
        <w:tc>
          <w:tcPr>
            <w:tcW w:w="1561"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130≤Pmax≤560</w:t>
            </w:r>
          </w:p>
        </w:tc>
        <w:tc>
          <w:tcPr>
            <w:tcW w:w="1148"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3.5</w:t>
            </w:r>
          </w:p>
        </w:tc>
        <w:tc>
          <w:tcPr>
            <w:tcW w:w="982"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4.0</w:t>
            </w:r>
          </w:p>
        </w:tc>
        <w:tc>
          <w:tcPr>
            <w:tcW w:w="827"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pct"/>
            <w:vMerge w:val="continue"/>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p>
        </w:tc>
        <w:tc>
          <w:tcPr>
            <w:tcW w:w="1561"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75≤Pmax＜130</w:t>
            </w:r>
          </w:p>
        </w:tc>
        <w:tc>
          <w:tcPr>
            <w:tcW w:w="1148"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5.0</w:t>
            </w:r>
          </w:p>
        </w:tc>
        <w:tc>
          <w:tcPr>
            <w:tcW w:w="982"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4.0</w:t>
            </w:r>
          </w:p>
        </w:tc>
        <w:tc>
          <w:tcPr>
            <w:tcW w:w="827"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pct"/>
            <w:vMerge w:val="continue"/>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p>
        </w:tc>
        <w:tc>
          <w:tcPr>
            <w:tcW w:w="1561"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37≤Pmax＜75</w:t>
            </w:r>
          </w:p>
        </w:tc>
        <w:tc>
          <w:tcPr>
            <w:tcW w:w="1148"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5.0</w:t>
            </w:r>
          </w:p>
        </w:tc>
        <w:tc>
          <w:tcPr>
            <w:tcW w:w="982"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4.7</w:t>
            </w:r>
          </w:p>
        </w:tc>
        <w:tc>
          <w:tcPr>
            <w:tcW w:w="827"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pct"/>
            <w:vMerge w:val="continue"/>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p>
        </w:tc>
        <w:tc>
          <w:tcPr>
            <w:tcW w:w="1561"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Pmax＜37</w:t>
            </w:r>
          </w:p>
        </w:tc>
        <w:tc>
          <w:tcPr>
            <w:tcW w:w="1148"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5.5</w:t>
            </w:r>
          </w:p>
        </w:tc>
        <w:tc>
          <w:tcPr>
            <w:tcW w:w="982"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7.5</w:t>
            </w:r>
          </w:p>
        </w:tc>
        <w:tc>
          <w:tcPr>
            <w:tcW w:w="827"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0.6</w:t>
            </w:r>
          </w:p>
        </w:tc>
      </w:tr>
    </w:tbl>
    <w:p>
      <w:pPr>
        <w:keepNext w:val="0"/>
        <w:keepLines w:val="0"/>
        <w:pageBreakBefore w:val="0"/>
        <w:widowControl w:val="0"/>
        <w:kinsoku/>
        <w:wordWrap/>
        <w:overflowPunct/>
        <w:topLinePunct w:val="0"/>
        <w:autoSpaceDE/>
        <w:autoSpaceDN/>
        <w:bidi w:val="0"/>
        <w:adjustRightInd/>
        <w:snapToGrid/>
        <w:spacing w:line="500" w:lineRule="exact"/>
        <w:ind w:firstLine="474" w:firstLineChars="200"/>
        <w:jc w:val="both"/>
        <w:textAlignment w:val="auto"/>
        <w:rPr>
          <w:color w:val="auto"/>
          <w:highlight w:val="none"/>
        </w:rPr>
      </w:pPr>
      <w:r>
        <w:rPr>
          <w:rFonts w:hint="default" w:ascii="Times New Roman" w:hAnsi="Times New Roman" w:eastAsia="宋体" w:cs="Times New Roman"/>
          <w:bCs/>
          <w:color w:val="auto"/>
          <w:w w:val="99"/>
          <w:kern w:val="21"/>
          <w:sz w:val="24"/>
          <w:szCs w:val="24"/>
          <w:highlight w:val="none"/>
          <w:lang w:val="en-US" w:eastAsia="zh-CN" w:bidi="ar-SA"/>
        </w:rPr>
        <w:t>施工期柴油储罐挥发少量的非甲烷总烃，执行《陆上石油天然气开采工业大气污染物排放标准》（GB39728-2020）中的相关标准要求。具体见表2.5-10。</w:t>
      </w:r>
    </w:p>
    <w:p>
      <w:pPr>
        <w:widowControl w:val="0"/>
        <w:tabs>
          <w:tab w:val="left" w:pos="5262"/>
        </w:tabs>
        <w:spacing w:line="500" w:lineRule="exact"/>
        <w:ind w:firstLine="476" w:firstLineChars="200"/>
        <w:rPr>
          <w:rFonts w:hint="default" w:ascii="Times New Roman" w:hAnsi="Times New Roman" w:eastAsia="宋体" w:cs="Times New Roman"/>
          <w:b/>
          <w:bCs/>
          <w:color w:val="auto"/>
          <w:w w:val="99"/>
          <w:kern w:val="21"/>
          <w:highlight w:val="none"/>
        </w:rPr>
      </w:pPr>
      <w:r>
        <w:rPr>
          <w:rFonts w:hint="default" w:ascii="Times New Roman" w:hAnsi="Times New Roman" w:eastAsia="宋体" w:cs="Times New Roman"/>
          <w:b/>
          <w:bCs/>
          <w:color w:val="auto"/>
          <w:w w:val="99"/>
          <w:kern w:val="21"/>
          <w:highlight w:val="none"/>
        </w:rPr>
        <w:t>表2.5-</w:t>
      </w:r>
      <w:r>
        <w:rPr>
          <w:rFonts w:hint="eastAsia" w:ascii="Times New Roman" w:hAnsi="Times New Roman" w:cs="Times New Roman"/>
          <w:b/>
          <w:bCs/>
          <w:color w:val="auto"/>
          <w:w w:val="99"/>
          <w:kern w:val="21"/>
          <w:highlight w:val="none"/>
          <w:lang w:val="en-US" w:eastAsia="zh-CN"/>
        </w:rPr>
        <w:t>9</w:t>
      </w:r>
      <w:r>
        <w:rPr>
          <w:rFonts w:hint="default" w:ascii="Times New Roman" w:hAnsi="Times New Roman" w:eastAsia="宋体" w:cs="Times New Roman"/>
          <w:b/>
          <w:bCs/>
          <w:color w:val="auto"/>
          <w:w w:val="99"/>
          <w:kern w:val="21"/>
          <w:highlight w:val="none"/>
          <w:lang w:val="en-US" w:eastAsia="zh-CN"/>
        </w:rPr>
        <w:t xml:space="preserve">    </w:t>
      </w:r>
      <w:r>
        <w:rPr>
          <w:rFonts w:hint="default" w:ascii="Times New Roman" w:hAnsi="Times New Roman" w:eastAsia="宋体" w:cs="Times New Roman"/>
          <w:b/>
          <w:bCs/>
          <w:color w:val="auto"/>
          <w:w w:val="99"/>
          <w:kern w:val="21"/>
          <w:highlight w:val="none"/>
        </w:rPr>
        <w:t xml:space="preserve">非甲烷总烃排放浓度限值  </w:t>
      </w:r>
      <w:r>
        <w:rPr>
          <w:rFonts w:hint="default" w:ascii="Times New Roman" w:hAnsi="Times New Roman" w:eastAsia="宋体" w:cs="Times New Roman"/>
          <w:b/>
          <w:bCs/>
          <w:color w:val="auto"/>
          <w:w w:val="99"/>
          <w:kern w:val="21"/>
          <w:highlight w:val="none"/>
          <w:lang w:val="en-US" w:eastAsia="zh-CN"/>
        </w:rPr>
        <w:t xml:space="preserve">  </w:t>
      </w:r>
      <w:r>
        <w:rPr>
          <w:rFonts w:hint="default" w:ascii="Times New Roman" w:hAnsi="Times New Roman" w:eastAsia="宋体" w:cs="Times New Roman"/>
          <w:b/>
          <w:bCs/>
          <w:color w:val="auto"/>
          <w:w w:val="99"/>
          <w:kern w:val="21"/>
          <w:highlight w:val="none"/>
        </w:rPr>
        <w:t>单位：mg/m</w:t>
      </w:r>
      <w:r>
        <w:rPr>
          <w:rFonts w:hint="default" w:ascii="Times New Roman" w:hAnsi="Times New Roman" w:eastAsia="宋体" w:cs="Times New Roman"/>
          <w:b/>
          <w:bCs/>
          <w:color w:val="auto"/>
          <w:w w:val="99"/>
          <w:kern w:val="21"/>
          <w:highlight w:val="none"/>
          <w:vertAlign w:val="superscript"/>
        </w:rPr>
        <w:t>3</w:t>
      </w:r>
    </w:p>
    <w:tbl>
      <w:tblPr>
        <w:tblStyle w:val="8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2864"/>
        <w:gridCol w:w="47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7" w:type="pct"/>
            <w:tcBorders>
              <w:top w:val="single" w:color="auto" w:sz="2" w:space="0"/>
              <w:left w:val="single" w:color="auto" w:sz="2" w:space="0"/>
            </w:tcBorders>
            <w:noWrap w:val="0"/>
            <w:vAlign w:val="center"/>
          </w:tcPr>
          <w:p>
            <w:pPr>
              <w:keepNext w:val="0"/>
              <w:keepLines w:val="0"/>
              <w:pageBreakBefore w:val="0"/>
              <w:widowControl w:val="0"/>
              <w:tabs>
                <w:tab w:val="left" w:pos="5262"/>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w w:val="99"/>
                <w:kern w:val="21"/>
                <w:sz w:val="21"/>
                <w:szCs w:val="21"/>
                <w:highlight w:val="none"/>
              </w:rPr>
            </w:pPr>
            <w:r>
              <w:rPr>
                <w:rFonts w:hint="default" w:ascii="Times New Roman" w:hAnsi="Times New Roman" w:eastAsia="宋体" w:cs="Times New Roman"/>
                <w:bCs/>
                <w:color w:val="auto"/>
                <w:w w:val="99"/>
                <w:kern w:val="21"/>
                <w:sz w:val="21"/>
                <w:szCs w:val="21"/>
                <w:highlight w:val="none"/>
              </w:rPr>
              <w:t>污染物项目</w:t>
            </w:r>
          </w:p>
        </w:tc>
        <w:tc>
          <w:tcPr>
            <w:tcW w:w="4082" w:type="pct"/>
            <w:gridSpan w:val="2"/>
            <w:tcBorders>
              <w:top w:val="single" w:color="auto" w:sz="2" w:space="0"/>
              <w:right w:val="single" w:color="auto" w:sz="2" w:space="0"/>
            </w:tcBorders>
            <w:noWrap w:val="0"/>
            <w:vAlign w:val="center"/>
          </w:tcPr>
          <w:p>
            <w:pPr>
              <w:keepNext w:val="0"/>
              <w:keepLines w:val="0"/>
              <w:pageBreakBefore w:val="0"/>
              <w:widowControl w:val="0"/>
              <w:tabs>
                <w:tab w:val="left" w:pos="5262"/>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w w:val="99"/>
                <w:kern w:val="21"/>
                <w:sz w:val="21"/>
                <w:szCs w:val="21"/>
                <w:highlight w:val="none"/>
              </w:rPr>
            </w:pPr>
            <w:r>
              <w:rPr>
                <w:rFonts w:hint="default" w:ascii="Times New Roman" w:hAnsi="Times New Roman" w:eastAsia="宋体" w:cs="Times New Roman"/>
                <w:bCs/>
                <w:color w:val="auto"/>
                <w:w w:val="99"/>
                <w:kern w:val="21"/>
                <w:sz w:val="21"/>
                <w:szCs w:val="21"/>
                <w:highlight w:val="none"/>
                <w:lang w:val="en-US" w:eastAsia="zh-CN"/>
              </w:rPr>
              <w:t>无组织排放</w:t>
            </w:r>
            <w:r>
              <w:rPr>
                <w:rFonts w:hint="default" w:ascii="Times New Roman" w:hAnsi="Times New Roman" w:eastAsia="宋体" w:cs="Times New Roman"/>
                <w:bCs/>
                <w:color w:val="auto"/>
                <w:w w:val="99"/>
                <w:kern w:val="21"/>
                <w:sz w:val="21"/>
                <w:szCs w:val="21"/>
                <w:highlight w:val="none"/>
              </w:rPr>
              <w:t>排放</w:t>
            </w:r>
            <w:r>
              <w:rPr>
                <w:rFonts w:hint="default" w:ascii="Times New Roman" w:hAnsi="Times New Roman" w:eastAsia="宋体" w:cs="Times New Roman"/>
                <w:bCs/>
                <w:color w:val="auto"/>
                <w:w w:val="99"/>
                <w:kern w:val="21"/>
                <w:sz w:val="21"/>
                <w:szCs w:val="21"/>
                <w:highlight w:val="none"/>
                <w:lang w:val="en-US" w:eastAsia="zh-CN"/>
              </w:rPr>
              <w:t>监控浓度</w:t>
            </w:r>
            <w:r>
              <w:rPr>
                <w:rFonts w:hint="default" w:ascii="Times New Roman" w:hAnsi="Times New Roman" w:eastAsia="宋体" w:cs="Times New Roman"/>
                <w:bCs/>
                <w:color w:val="auto"/>
                <w:w w:val="99"/>
                <w:kern w:val="21"/>
                <w:sz w:val="21"/>
                <w:szCs w:val="21"/>
                <w:highlight w:val="none"/>
              </w:rPr>
              <w:t>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7" w:type="pct"/>
            <w:vMerge w:val="restart"/>
            <w:tcBorders>
              <w:left w:val="single" w:color="auto" w:sz="2" w:space="0"/>
            </w:tcBorders>
            <w:noWrap w:val="0"/>
            <w:vAlign w:val="center"/>
          </w:tcPr>
          <w:p>
            <w:pPr>
              <w:keepNext w:val="0"/>
              <w:keepLines w:val="0"/>
              <w:pageBreakBefore w:val="0"/>
              <w:widowControl w:val="0"/>
              <w:tabs>
                <w:tab w:val="left" w:pos="5262"/>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w w:val="99"/>
                <w:kern w:val="21"/>
                <w:sz w:val="21"/>
                <w:szCs w:val="21"/>
                <w:highlight w:val="none"/>
              </w:rPr>
            </w:pPr>
            <w:r>
              <w:rPr>
                <w:rFonts w:hint="default" w:ascii="Times New Roman" w:hAnsi="Times New Roman" w:eastAsia="宋体" w:cs="Times New Roman"/>
                <w:bCs/>
                <w:color w:val="auto"/>
                <w:w w:val="99"/>
                <w:kern w:val="21"/>
                <w:sz w:val="21"/>
                <w:szCs w:val="21"/>
                <w:highlight w:val="none"/>
              </w:rPr>
              <w:t>非甲烷总烃</w:t>
            </w:r>
          </w:p>
        </w:tc>
        <w:tc>
          <w:tcPr>
            <w:tcW w:w="1542" w:type="pct"/>
            <w:noWrap w:val="0"/>
            <w:vAlign w:val="center"/>
          </w:tcPr>
          <w:p>
            <w:pPr>
              <w:keepNext w:val="0"/>
              <w:keepLines w:val="0"/>
              <w:pageBreakBefore w:val="0"/>
              <w:widowControl w:val="0"/>
              <w:tabs>
                <w:tab w:val="left" w:pos="5262"/>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w w:val="99"/>
                <w:kern w:val="21"/>
                <w:sz w:val="21"/>
                <w:szCs w:val="21"/>
                <w:highlight w:val="none"/>
                <w:lang w:val="en-US" w:eastAsia="zh-CN"/>
              </w:rPr>
            </w:pPr>
            <w:r>
              <w:rPr>
                <w:rFonts w:hint="default" w:ascii="Times New Roman" w:hAnsi="Times New Roman" w:eastAsia="宋体" w:cs="Times New Roman"/>
                <w:bCs/>
                <w:color w:val="auto"/>
                <w:w w:val="99"/>
                <w:kern w:val="21"/>
                <w:sz w:val="21"/>
                <w:szCs w:val="21"/>
                <w:highlight w:val="none"/>
                <w:lang w:val="en-US" w:eastAsia="zh-CN"/>
              </w:rPr>
              <w:t>监控点</w:t>
            </w:r>
          </w:p>
        </w:tc>
        <w:tc>
          <w:tcPr>
            <w:tcW w:w="2540" w:type="pct"/>
            <w:tcBorders>
              <w:right w:val="single" w:color="auto" w:sz="2" w:space="0"/>
            </w:tcBorders>
            <w:noWrap w:val="0"/>
            <w:vAlign w:val="center"/>
          </w:tcPr>
          <w:p>
            <w:pPr>
              <w:keepNext w:val="0"/>
              <w:keepLines w:val="0"/>
              <w:pageBreakBefore w:val="0"/>
              <w:widowControl w:val="0"/>
              <w:tabs>
                <w:tab w:val="left" w:pos="5262"/>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w w:val="99"/>
                <w:kern w:val="21"/>
                <w:sz w:val="21"/>
                <w:szCs w:val="21"/>
                <w:highlight w:val="none"/>
                <w:lang w:val="en-US" w:eastAsia="zh-CN"/>
              </w:rPr>
            </w:pPr>
            <w:r>
              <w:rPr>
                <w:rFonts w:hint="default" w:ascii="Times New Roman" w:hAnsi="Times New Roman" w:eastAsia="宋体" w:cs="Times New Roman"/>
                <w:bCs/>
                <w:color w:val="auto"/>
                <w:w w:val="99"/>
                <w:kern w:val="21"/>
                <w:sz w:val="21"/>
                <w:szCs w:val="21"/>
                <w:highlight w:val="none"/>
                <w:lang w:val="en-US" w:eastAsia="zh-CN"/>
              </w:rPr>
              <w:t>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7" w:type="pct"/>
            <w:vMerge w:val="continue"/>
            <w:tcBorders>
              <w:left w:val="single" w:color="auto" w:sz="2" w:space="0"/>
              <w:bottom w:val="single" w:color="auto" w:sz="2" w:space="0"/>
            </w:tcBorders>
            <w:noWrap w:val="0"/>
            <w:vAlign w:val="center"/>
          </w:tcPr>
          <w:p>
            <w:pPr>
              <w:keepNext w:val="0"/>
              <w:keepLines w:val="0"/>
              <w:pageBreakBefore w:val="0"/>
              <w:widowControl w:val="0"/>
              <w:tabs>
                <w:tab w:val="left" w:pos="5262"/>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w w:val="99"/>
                <w:kern w:val="21"/>
                <w:sz w:val="21"/>
                <w:szCs w:val="21"/>
                <w:highlight w:val="none"/>
              </w:rPr>
            </w:pPr>
          </w:p>
        </w:tc>
        <w:tc>
          <w:tcPr>
            <w:tcW w:w="1542" w:type="pct"/>
            <w:tcBorders>
              <w:bottom w:val="single" w:color="auto" w:sz="2" w:space="0"/>
            </w:tcBorders>
            <w:noWrap w:val="0"/>
            <w:vAlign w:val="center"/>
          </w:tcPr>
          <w:p>
            <w:pPr>
              <w:keepNext w:val="0"/>
              <w:keepLines w:val="0"/>
              <w:pageBreakBefore w:val="0"/>
              <w:widowControl w:val="0"/>
              <w:tabs>
                <w:tab w:val="left" w:pos="5262"/>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w w:val="99"/>
                <w:kern w:val="21"/>
                <w:sz w:val="21"/>
                <w:szCs w:val="21"/>
                <w:highlight w:val="none"/>
                <w:lang w:val="en-US" w:eastAsia="zh-CN"/>
              </w:rPr>
            </w:pPr>
            <w:r>
              <w:rPr>
                <w:rFonts w:hint="default" w:ascii="Times New Roman" w:hAnsi="Times New Roman" w:eastAsia="宋体" w:cs="Times New Roman"/>
                <w:bCs/>
                <w:color w:val="auto"/>
                <w:w w:val="99"/>
                <w:kern w:val="21"/>
                <w:sz w:val="21"/>
                <w:szCs w:val="21"/>
                <w:highlight w:val="none"/>
                <w:lang w:val="en-US" w:eastAsia="zh-CN"/>
              </w:rPr>
              <w:t>周界外浓度最高点</w:t>
            </w:r>
          </w:p>
        </w:tc>
        <w:tc>
          <w:tcPr>
            <w:tcW w:w="2540" w:type="pct"/>
            <w:tcBorders>
              <w:bottom w:val="single" w:color="auto" w:sz="2" w:space="0"/>
              <w:right w:val="single" w:color="auto" w:sz="2" w:space="0"/>
            </w:tcBorders>
            <w:noWrap w:val="0"/>
            <w:vAlign w:val="center"/>
          </w:tcPr>
          <w:p>
            <w:pPr>
              <w:keepNext w:val="0"/>
              <w:keepLines w:val="0"/>
              <w:pageBreakBefore w:val="0"/>
              <w:widowControl w:val="0"/>
              <w:tabs>
                <w:tab w:val="left" w:pos="5262"/>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w w:val="99"/>
                <w:kern w:val="21"/>
                <w:sz w:val="21"/>
                <w:szCs w:val="21"/>
                <w:highlight w:val="none"/>
                <w:lang w:val="en-US" w:eastAsia="zh-CN"/>
              </w:rPr>
            </w:pPr>
            <w:r>
              <w:rPr>
                <w:rFonts w:hint="default" w:ascii="Times New Roman" w:hAnsi="Times New Roman" w:eastAsia="宋体" w:cs="Times New Roman"/>
                <w:bCs/>
                <w:color w:val="auto"/>
                <w:w w:val="99"/>
                <w:kern w:val="21"/>
                <w:sz w:val="21"/>
                <w:szCs w:val="21"/>
                <w:highlight w:val="none"/>
                <w:lang w:val="en-US" w:eastAsia="zh-CN"/>
              </w:rPr>
              <w:t>4.0</w:t>
            </w:r>
          </w:p>
        </w:tc>
      </w:tr>
    </w:tbl>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2.5.2.1废</w:t>
      </w:r>
      <w:r>
        <w:rPr>
          <w:rFonts w:hint="eastAsia" w:ascii="Times New Roman" w:hAnsi="Times New Roman" w:eastAsia="黑体"/>
          <w:b/>
          <w:color w:val="auto"/>
          <w:w w:val="99"/>
          <w:highlight w:val="none"/>
        </w:rPr>
        <w:t>水</w:t>
      </w:r>
    </w:p>
    <w:p>
      <w:pPr>
        <w:widowControl w:val="0"/>
        <w:tabs>
          <w:tab w:val="left" w:pos="5262"/>
        </w:tabs>
        <w:spacing w:line="500" w:lineRule="exact"/>
        <w:ind w:firstLine="474" w:firstLineChars="200"/>
        <w:jc w:val="both"/>
        <w:rPr>
          <w:rFonts w:ascii="Times New Roman" w:hAnsi="Times New Roman" w:cs="Times New Roman" w:eastAsiaTheme="minorEastAsia"/>
          <w:snapToGrid w:val="0"/>
          <w:color w:val="auto"/>
          <w:w w:val="99"/>
          <w:highlight w:val="none"/>
        </w:rPr>
      </w:pPr>
      <w:r>
        <w:rPr>
          <w:rFonts w:ascii="Times New Roman" w:hAnsi="Times New Roman" w:cs="Times New Roman" w:eastAsiaTheme="minorEastAsia"/>
          <w:bCs/>
          <w:color w:val="auto"/>
          <w:w w:val="99"/>
          <w:kern w:val="21"/>
          <w:highlight w:val="none"/>
          <w:lang w:bidi="zh-CN"/>
        </w:rPr>
        <w:t>本工程钻井废水</w:t>
      </w:r>
      <w:r>
        <w:rPr>
          <w:rFonts w:hint="eastAsia" w:ascii="Times New Roman" w:hAnsi="Times New Roman" w:cs="Times New Roman" w:eastAsiaTheme="minorEastAsia"/>
          <w:bCs/>
          <w:color w:val="auto"/>
          <w:w w:val="99"/>
          <w:kern w:val="21"/>
          <w:highlight w:val="none"/>
          <w:lang w:bidi="zh-CN"/>
        </w:rPr>
        <w:t>、</w:t>
      </w:r>
      <w:r>
        <w:rPr>
          <w:rFonts w:ascii="Times New Roman" w:hAnsi="Times New Roman" w:cs="Times New Roman" w:eastAsiaTheme="minorEastAsia"/>
          <w:bCs/>
          <w:color w:val="auto"/>
          <w:w w:val="99"/>
          <w:kern w:val="21"/>
          <w:highlight w:val="none"/>
          <w:lang w:bidi="zh-CN"/>
        </w:rPr>
        <w:t>废钻井液、钻井岩屑依托</w:t>
      </w:r>
      <w:r>
        <w:rPr>
          <w:rFonts w:hint="eastAsia" w:ascii="Times New Roman" w:hAnsi="Times New Roman" w:cs="Times New Roman" w:eastAsiaTheme="minorEastAsia"/>
          <w:snapToGrid w:val="0"/>
          <w:color w:val="auto"/>
          <w:w w:val="99"/>
          <w:highlight w:val="none"/>
        </w:rPr>
        <w:t>大庆油田昆仑集团有限公司环保分公司</w:t>
      </w:r>
      <w:r>
        <w:rPr>
          <w:rFonts w:ascii="Times New Roman" w:hAnsi="Times New Roman" w:cs="Times New Roman" w:eastAsiaTheme="minorEastAsia"/>
          <w:snapToGrid w:val="0"/>
          <w:color w:val="auto"/>
          <w:w w:val="99"/>
          <w:highlight w:val="none"/>
        </w:rPr>
        <w:t>处理，处理后的压滤水由</w:t>
      </w:r>
      <w:r>
        <w:rPr>
          <w:rFonts w:hint="eastAsia" w:ascii="Times New Roman" w:hAnsi="Times New Roman" w:cs="Times New Roman" w:eastAsiaTheme="minorEastAsia"/>
          <w:snapToGrid w:val="0"/>
          <w:color w:val="auto"/>
          <w:w w:val="99"/>
          <w:highlight w:val="none"/>
        </w:rPr>
        <w:t>大庆油田昆仑集团有限公司环保分公司</w:t>
      </w:r>
      <w:r>
        <w:rPr>
          <w:rFonts w:ascii="Times New Roman" w:hAnsi="Times New Roman" w:cs="Times New Roman" w:eastAsiaTheme="minorEastAsia"/>
          <w:snapToGrid w:val="0"/>
          <w:color w:val="auto"/>
          <w:w w:val="99"/>
          <w:highlight w:val="none"/>
        </w:rPr>
        <w:t>送往</w:t>
      </w:r>
      <w:r>
        <w:rPr>
          <w:rFonts w:hint="eastAsia" w:ascii="Times New Roman" w:hAnsi="Times New Roman" w:cs="Times New Roman" w:eastAsiaTheme="minorEastAsia"/>
          <w:snapToGrid w:val="0"/>
          <w:color w:val="auto"/>
          <w:w w:val="99"/>
          <w:highlight w:val="none"/>
        </w:rPr>
        <w:t>第十采油厂朝一联合站</w:t>
      </w:r>
      <w:r>
        <w:rPr>
          <w:rFonts w:ascii="Times New Roman" w:hAnsi="Times New Roman" w:cs="Times New Roman" w:eastAsiaTheme="minorEastAsia"/>
          <w:snapToGrid w:val="0"/>
          <w:color w:val="auto"/>
          <w:w w:val="99"/>
          <w:highlight w:val="none"/>
        </w:rPr>
        <w:t>处理</w:t>
      </w:r>
      <w:r>
        <w:rPr>
          <w:rFonts w:hint="eastAsia" w:ascii="Times New Roman" w:hAnsi="Times New Roman" w:cs="Times New Roman" w:eastAsiaTheme="minorEastAsia"/>
          <w:snapToGrid w:val="0"/>
          <w:color w:val="auto"/>
          <w:w w:val="99"/>
          <w:highlight w:val="none"/>
        </w:rPr>
        <w:t>达标</w:t>
      </w:r>
      <w:r>
        <w:rPr>
          <w:rFonts w:ascii="Times New Roman" w:hAnsi="Times New Roman" w:cs="Times New Roman" w:eastAsiaTheme="minorEastAsia"/>
          <w:snapToGrid w:val="0"/>
          <w:color w:val="auto"/>
          <w:w w:val="99"/>
          <w:highlight w:val="none"/>
        </w:rPr>
        <w:t>后回注油层</w:t>
      </w:r>
      <w:r>
        <w:rPr>
          <w:rFonts w:hint="eastAsia" w:ascii="Times New Roman" w:hAnsi="Times New Roman" w:cs="Times New Roman" w:eastAsiaTheme="minorEastAsia"/>
          <w:snapToGrid w:val="0"/>
          <w:color w:val="auto"/>
          <w:w w:val="99"/>
          <w:highlight w:val="none"/>
        </w:rPr>
        <w:t>，</w:t>
      </w:r>
      <w:r>
        <w:rPr>
          <w:rFonts w:ascii="Times New Roman" w:hAnsi="Times New Roman" w:cs="Times New Roman" w:eastAsiaTheme="minorEastAsia"/>
          <w:snapToGrid w:val="0"/>
          <w:color w:val="auto"/>
          <w:w w:val="99"/>
          <w:highlight w:val="none"/>
        </w:rPr>
        <w:t>处理后的水质执行《大庆油田地面工程建设设计规定》（Q/SYDQ0639-2015）限值要求：“含油量≤</w:t>
      </w:r>
      <w:r>
        <w:rPr>
          <w:rFonts w:hint="eastAsia" w:ascii="Times New Roman" w:hAnsi="Times New Roman" w:cs="Times New Roman" w:eastAsiaTheme="minorEastAsia"/>
          <w:snapToGrid w:val="0"/>
          <w:color w:val="auto"/>
          <w:w w:val="99"/>
          <w:highlight w:val="none"/>
        </w:rPr>
        <w:t>5</w:t>
      </w:r>
      <w:r>
        <w:rPr>
          <w:rFonts w:ascii="Times New Roman" w:hAnsi="Times New Roman" w:cs="Times New Roman" w:eastAsiaTheme="minorEastAsia"/>
          <w:snapToGrid w:val="0"/>
          <w:color w:val="auto"/>
          <w:w w:val="99"/>
          <w:highlight w:val="none"/>
        </w:rPr>
        <w:t>mg/L、悬浮固体含量≤</w:t>
      </w:r>
      <w:r>
        <w:rPr>
          <w:rFonts w:hint="eastAsia" w:ascii="Times New Roman" w:hAnsi="Times New Roman" w:cs="Times New Roman" w:eastAsiaTheme="minorEastAsia"/>
          <w:snapToGrid w:val="0"/>
          <w:color w:val="auto"/>
          <w:w w:val="99"/>
          <w:highlight w:val="none"/>
        </w:rPr>
        <w:t>1</w:t>
      </w:r>
      <w:r>
        <w:rPr>
          <w:rFonts w:ascii="Times New Roman" w:hAnsi="Times New Roman" w:cs="Times New Roman" w:eastAsiaTheme="minorEastAsia"/>
          <w:snapToGrid w:val="0"/>
          <w:color w:val="auto"/>
          <w:w w:val="99"/>
          <w:highlight w:val="none"/>
        </w:rPr>
        <w:t>mg/L、粒径中值</w:t>
      </w:r>
      <w:r>
        <w:rPr>
          <w:rFonts w:hint="eastAsia" w:ascii="Times New Roman" w:hAnsi="Times New Roman" w:cs="Times New Roman" w:eastAsiaTheme="minorEastAsia"/>
          <w:snapToGrid w:val="0"/>
          <w:color w:val="auto"/>
          <w:w w:val="99"/>
          <w:highlight w:val="none"/>
        </w:rPr>
        <w:t>1</w:t>
      </w:r>
      <w:r>
        <w:rPr>
          <w:rFonts w:ascii="Times New Roman" w:hAnsi="Times New Roman" w:cs="Times New Roman" w:eastAsiaTheme="minorEastAsia"/>
          <w:snapToGrid w:val="0"/>
          <w:color w:val="auto"/>
          <w:w w:val="99"/>
          <w:highlight w:val="none"/>
        </w:rPr>
        <w:t>μm”。</w:t>
      </w:r>
    </w:p>
    <w:p>
      <w:pPr>
        <w:widowControl w:val="0"/>
        <w:tabs>
          <w:tab w:val="left" w:pos="5262"/>
        </w:tabs>
        <w:spacing w:line="500" w:lineRule="exact"/>
        <w:rPr>
          <w:rFonts w:ascii="Times New Roman" w:hAnsi="Times New Roman" w:eastAsia="黑体" w:cs="Times New Roman"/>
          <w:b/>
          <w:color w:val="auto"/>
          <w:w w:val="99"/>
          <w:highlight w:val="none"/>
        </w:rPr>
      </w:pPr>
      <w:r>
        <w:rPr>
          <w:rFonts w:ascii="Times New Roman" w:hAnsi="Times New Roman" w:eastAsia="黑体" w:cs="Times New Roman"/>
          <w:b/>
          <w:color w:val="auto"/>
          <w:w w:val="99"/>
          <w:highlight w:val="none"/>
        </w:rPr>
        <w:t>2.5.2.3噪声</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项目施工期噪声排放执行《建筑施工场界环境噪声排放标准》（GB12523-2011），见表2.5-9。</w:t>
      </w:r>
    </w:p>
    <w:p>
      <w:pPr>
        <w:pStyle w:val="109"/>
        <w:widowControl w:val="0"/>
        <w:ind w:firstLine="473"/>
        <w:rPr>
          <w:rFonts w:ascii="Times New Roman" w:hAnsi="Times New Roman" w:eastAsiaTheme="minorEastAsia"/>
          <w:b/>
          <w:bCs/>
          <w:snapToGrid w:val="0"/>
          <w:color w:val="auto"/>
          <w:w w:val="99"/>
          <w:highlight w:val="none"/>
        </w:rPr>
      </w:pPr>
      <w:r>
        <w:rPr>
          <w:rFonts w:ascii="Times New Roman" w:hAnsi="Times New Roman" w:eastAsiaTheme="minorEastAsia"/>
          <w:b/>
          <w:bCs/>
          <w:snapToGrid w:val="0"/>
          <w:color w:val="auto"/>
          <w:w w:val="99"/>
          <w:highlight w:val="none"/>
        </w:rPr>
        <w:t>表2.5-</w:t>
      </w:r>
      <w:r>
        <w:rPr>
          <w:rFonts w:hint="eastAsia" w:ascii="Times New Roman" w:hAnsi="Times New Roman" w:eastAsiaTheme="minorEastAsia"/>
          <w:b/>
          <w:bCs/>
          <w:snapToGrid w:val="0"/>
          <w:color w:val="auto"/>
          <w:w w:val="99"/>
          <w:highlight w:val="none"/>
          <w:lang w:val="en-US" w:eastAsia="zh-CN"/>
        </w:rPr>
        <w:t>10</w:t>
      </w:r>
      <w:r>
        <w:rPr>
          <w:rFonts w:ascii="Times New Roman" w:hAnsi="Times New Roman" w:eastAsiaTheme="minorEastAsia"/>
          <w:b/>
          <w:bCs/>
          <w:snapToGrid w:val="0"/>
          <w:color w:val="auto"/>
          <w:w w:val="99"/>
          <w:highlight w:val="none"/>
        </w:rPr>
        <w:t xml:space="preserve">              建筑施工场界环境噪声排放标准          单位：dB（A）</w:t>
      </w:r>
    </w:p>
    <w:tbl>
      <w:tblPr>
        <w:tblStyle w:val="8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22"/>
        <w:gridCol w:w="3081"/>
        <w:gridCol w:w="30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1" w:type="pct"/>
            <w:vMerge w:val="restart"/>
            <w:vAlign w:val="center"/>
          </w:tcPr>
          <w:p>
            <w:pPr>
              <w:pStyle w:val="111"/>
              <w:widowControl w:val="0"/>
              <w:spacing w:line="32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主要噪声源</w:t>
            </w:r>
          </w:p>
        </w:tc>
        <w:tc>
          <w:tcPr>
            <w:tcW w:w="3319" w:type="pct"/>
            <w:gridSpan w:val="2"/>
            <w:vAlign w:val="center"/>
          </w:tcPr>
          <w:p>
            <w:pPr>
              <w:pStyle w:val="111"/>
              <w:widowControl w:val="0"/>
              <w:spacing w:line="32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噪声限值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1" w:type="pct"/>
            <w:vMerge w:val="continue"/>
            <w:vAlign w:val="center"/>
          </w:tcPr>
          <w:p>
            <w:pPr>
              <w:pStyle w:val="111"/>
              <w:widowControl w:val="0"/>
              <w:spacing w:line="320" w:lineRule="exact"/>
              <w:rPr>
                <w:rFonts w:ascii="Times New Roman" w:hAnsi="Times New Roman" w:eastAsiaTheme="minorEastAsia"/>
                <w:snapToGrid w:val="0"/>
                <w:color w:val="auto"/>
                <w:w w:val="99"/>
                <w:kern w:val="0"/>
                <w:szCs w:val="24"/>
                <w:highlight w:val="none"/>
              </w:rPr>
            </w:pPr>
          </w:p>
        </w:tc>
        <w:tc>
          <w:tcPr>
            <w:tcW w:w="1659" w:type="pct"/>
            <w:vAlign w:val="center"/>
          </w:tcPr>
          <w:p>
            <w:pPr>
              <w:pStyle w:val="111"/>
              <w:widowControl w:val="0"/>
              <w:spacing w:line="32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昼间</w:t>
            </w:r>
          </w:p>
        </w:tc>
        <w:tc>
          <w:tcPr>
            <w:tcW w:w="1660" w:type="pct"/>
            <w:vAlign w:val="center"/>
          </w:tcPr>
          <w:p>
            <w:pPr>
              <w:pStyle w:val="111"/>
              <w:widowControl w:val="0"/>
              <w:spacing w:line="32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1" w:type="pct"/>
            <w:vAlign w:val="center"/>
          </w:tcPr>
          <w:p>
            <w:pPr>
              <w:pStyle w:val="111"/>
              <w:widowControl w:val="0"/>
              <w:spacing w:line="32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建筑施工</w:t>
            </w:r>
          </w:p>
        </w:tc>
        <w:tc>
          <w:tcPr>
            <w:tcW w:w="1659" w:type="pct"/>
            <w:vAlign w:val="center"/>
          </w:tcPr>
          <w:p>
            <w:pPr>
              <w:pStyle w:val="111"/>
              <w:widowControl w:val="0"/>
              <w:spacing w:line="32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70</w:t>
            </w:r>
          </w:p>
        </w:tc>
        <w:tc>
          <w:tcPr>
            <w:tcW w:w="1660" w:type="pct"/>
            <w:vAlign w:val="center"/>
          </w:tcPr>
          <w:p>
            <w:pPr>
              <w:pStyle w:val="111"/>
              <w:widowControl w:val="0"/>
              <w:spacing w:line="32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55</w:t>
            </w:r>
          </w:p>
        </w:tc>
      </w:tr>
    </w:tbl>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2.5.2.4固体废物</w:t>
      </w:r>
    </w:p>
    <w:p>
      <w:pPr>
        <w:pStyle w:val="109"/>
        <w:widowControl w:val="0"/>
        <w:ind w:firstLine="473"/>
        <w:rPr>
          <w:rFonts w:ascii="Times New Roman" w:hAnsi="Times New Roman" w:eastAsiaTheme="minorEastAsia"/>
          <w:bCs/>
          <w:snapToGrid w:val="0"/>
          <w:color w:val="auto"/>
          <w:w w:val="99"/>
          <w:highlight w:val="none"/>
        </w:rPr>
      </w:pPr>
      <w:bookmarkStart w:id="210" w:name="_Toc11047831"/>
      <w:r>
        <w:rPr>
          <w:rFonts w:ascii="Times New Roman" w:hAnsi="Times New Roman" w:eastAsiaTheme="minorEastAsia"/>
          <w:bCs/>
          <w:snapToGrid w:val="0"/>
          <w:color w:val="auto"/>
          <w:w w:val="99"/>
          <w:highlight w:val="none"/>
        </w:rPr>
        <w:t>本项目施工期产生的固体废物执行《一般工业固体废物贮存和填埋污染控制标准》（GB18599-2020）中</w:t>
      </w:r>
      <w:r>
        <w:rPr>
          <w:rFonts w:hint="eastAsia" w:cs="宋体"/>
          <w:bCs/>
          <w:snapToGrid w:val="0"/>
          <w:color w:val="auto"/>
          <w:w w:val="99"/>
          <w:highlight w:val="none"/>
        </w:rPr>
        <w:t>I</w:t>
      </w:r>
      <w:r>
        <w:rPr>
          <w:rFonts w:ascii="Times New Roman" w:hAnsi="Times New Roman" w:eastAsiaTheme="minorEastAsia"/>
          <w:bCs/>
          <w:snapToGrid w:val="0"/>
          <w:color w:val="auto"/>
          <w:w w:val="99"/>
          <w:highlight w:val="none"/>
        </w:rPr>
        <w:t>类场标准。施工期产生KOH包装袋执行《危险废物贮存污染控制标准》（GB18597-2001）及其修改单标准要求。</w:t>
      </w:r>
      <w:bookmarkEnd w:id="210"/>
    </w:p>
    <w:p>
      <w:pPr>
        <w:rPr>
          <w:color w:val="auto"/>
          <w:highlight w:val="none"/>
        </w:rPr>
      </w:pPr>
    </w:p>
    <w:p>
      <w:pPr>
        <w:pStyle w:val="5"/>
        <w:keepNext w:val="0"/>
        <w:keepLines w:val="0"/>
        <w:widowControl w:val="0"/>
        <w:rPr>
          <w:rFonts w:ascii="Times New Roman" w:hAnsi="Times New Roman"/>
          <w:b/>
          <w:snapToGrid w:val="0"/>
          <w:color w:val="auto"/>
          <w:w w:val="99"/>
          <w:highlight w:val="none"/>
        </w:rPr>
      </w:pPr>
      <w:bookmarkStart w:id="211" w:name="_Toc80105119"/>
      <w:r>
        <w:rPr>
          <w:rFonts w:ascii="Times New Roman" w:hAnsi="Times New Roman"/>
          <w:b/>
          <w:snapToGrid w:val="0"/>
          <w:color w:val="auto"/>
          <w:w w:val="99"/>
          <w:highlight w:val="none"/>
        </w:rPr>
        <w:t>2.6评价等级</w:t>
      </w:r>
      <w:bookmarkEnd w:id="211"/>
    </w:p>
    <w:p>
      <w:pPr>
        <w:pStyle w:val="7"/>
        <w:keepNext w:val="0"/>
        <w:keepLines w:val="0"/>
        <w:widowControl w:val="0"/>
        <w:rPr>
          <w:b/>
          <w:color w:val="auto"/>
          <w:w w:val="99"/>
          <w:kern w:val="2"/>
          <w:sz w:val="24"/>
          <w:szCs w:val="24"/>
          <w:highlight w:val="none"/>
        </w:rPr>
      </w:pPr>
      <w:bookmarkStart w:id="212" w:name="_Toc12000"/>
      <w:bookmarkStart w:id="213" w:name="_Toc57707895"/>
      <w:bookmarkStart w:id="214" w:name="_Toc77667264"/>
      <w:bookmarkStart w:id="215" w:name="_Toc57976650"/>
      <w:bookmarkStart w:id="216" w:name="_Toc80105120"/>
      <w:bookmarkStart w:id="217" w:name="_Toc57203225"/>
      <w:bookmarkStart w:id="218" w:name="_Toc74812291"/>
      <w:bookmarkStart w:id="219" w:name="_Toc61597197"/>
      <w:bookmarkStart w:id="220" w:name="_Toc69690787"/>
      <w:bookmarkStart w:id="221" w:name="_Toc71371920"/>
      <w:bookmarkStart w:id="222" w:name="_Toc17898140"/>
      <w:bookmarkStart w:id="223" w:name="_Toc67523569"/>
      <w:r>
        <w:rPr>
          <w:b/>
          <w:color w:val="auto"/>
          <w:w w:val="99"/>
          <w:kern w:val="2"/>
          <w:sz w:val="24"/>
          <w:szCs w:val="24"/>
          <w:highlight w:val="none"/>
        </w:rPr>
        <w:t>2.6.1环境空气</w:t>
      </w:r>
      <w:bookmarkEnd w:id="212"/>
      <w:bookmarkEnd w:id="213"/>
      <w:bookmarkEnd w:id="214"/>
      <w:bookmarkEnd w:id="215"/>
      <w:bookmarkEnd w:id="216"/>
      <w:bookmarkEnd w:id="217"/>
      <w:bookmarkEnd w:id="218"/>
      <w:bookmarkEnd w:id="219"/>
      <w:bookmarkEnd w:id="220"/>
      <w:bookmarkEnd w:id="221"/>
      <w:bookmarkEnd w:id="222"/>
      <w:bookmarkEnd w:id="223"/>
    </w:p>
    <w:p>
      <w:pPr>
        <w:widowControl w:val="0"/>
        <w:snapToGrid w:val="0"/>
        <w:spacing w:line="440" w:lineRule="exact"/>
        <w:ind w:firstLine="474" w:firstLineChars="200"/>
        <w:jc w:val="both"/>
        <w:rPr>
          <w:rFonts w:ascii="Times New Roman" w:hAnsi="Times New Roman" w:cs="Times New Roman" w:eastAsiaTheme="minorEastAsia"/>
          <w:snapToGrid w:val="0"/>
          <w:color w:val="auto"/>
          <w:w w:val="99"/>
          <w:sz w:val="24"/>
          <w:szCs w:val="24"/>
          <w:highlight w:val="none"/>
          <w:lang w:val="en-US" w:eastAsia="zh-CN" w:bidi="ar-SA"/>
        </w:rPr>
      </w:pPr>
      <w:bookmarkStart w:id="224" w:name="_Toc57976651"/>
      <w:bookmarkStart w:id="225" w:name="_Toc57707896"/>
      <w:bookmarkStart w:id="226" w:name="_Toc67523570"/>
      <w:bookmarkStart w:id="227" w:name="_Toc71371921"/>
      <w:bookmarkStart w:id="228" w:name="_Toc80105121"/>
      <w:bookmarkStart w:id="229" w:name="_Toc74812292"/>
      <w:bookmarkStart w:id="230" w:name="_Toc24214"/>
      <w:bookmarkStart w:id="231" w:name="_Toc57203226"/>
      <w:bookmarkStart w:id="232" w:name="_Toc61597198"/>
      <w:bookmarkStart w:id="233" w:name="_Toc17898141"/>
      <w:bookmarkStart w:id="234" w:name="_Toc69690788"/>
      <w:bookmarkStart w:id="235" w:name="_Toc77667265"/>
      <w:r>
        <w:rPr>
          <w:rFonts w:ascii="Times New Roman" w:hAnsi="Times New Roman" w:cs="Times New Roman" w:eastAsiaTheme="minorEastAsia"/>
          <w:snapToGrid w:val="0"/>
          <w:color w:val="auto"/>
          <w:w w:val="99"/>
          <w:sz w:val="24"/>
          <w:szCs w:val="24"/>
          <w:highlight w:val="none"/>
          <w:lang w:val="en-US" w:eastAsia="zh-CN" w:bidi="ar-SA"/>
        </w:rPr>
        <w:t>根据对本项目的性质和环境要素分析可知，本工程产生的大气污染物主要为施工扬尘、车辆尾气及柴油机废气，其污染随着施工的结束随即消失。本工程仅针对钻井施工期进行评价，不划定大气环境评价等级。</w:t>
      </w:r>
    </w:p>
    <w:p>
      <w:pPr>
        <w:pStyle w:val="7"/>
        <w:keepNext w:val="0"/>
        <w:keepLines w:val="0"/>
        <w:widowControl w:val="0"/>
        <w:rPr>
          <w:b/>
          <w:color w:val="auto"/>
          <w:w w:val="99"/>
          <w:kern w:val="2"/>
          <w:sz w:val="24"/>
          <w:szCs w:val="24"/>
          <w:highlight w:val="none"/>
        </w:rPr>
      </w:pPr>
      <w:r>
        <w:rPr>
          <w:b/>
          <w:color w:val="auto"/>
          <w:w w:val="99"/>
          <w:kern w:val="2"/>
          <w:sz w:val="24"/>
          <w:szCs w:val="24"/>
          <w:highlight w:val="none"/>
        </w:rPr>
        <w:t>2.6.2地表水</w:t>
      </w:r>
      <w:bookmarkEnd w:id="224"/>
      <w:bookmarkEnd w:id="225"/>
      <w:bookmarkEnd w:id="226"/>
      <w:bookmarkEnd w:id="227"/>
      <w:bookmarkEnd w:id="228"/>
      <w:bookmarkEnd w:id="229"/>
      <w:bookmarkEnd w:id="230"/>
      <w:bookmarkEnd w:id="231"/>
      <w:bookmarkEnd w:id="232"/>
      <w:bookmarkEnd w:id="233"/>
      <w:bookmarkEnd w:id="234"/>
      <w:bookmarkEnd w:id="235"/>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《环境影响评价技术导则 地表水环境》（HJ2.3-2018）规定，建设项目地表水环境影响评价等级按照影响类型、排放方式、排放量或影响情况、受纳水体环境质量现状、水环境保护目标等综合确定。</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本项目为水污染影响型建设项目，其分级是根据排放方式和废水排放量划定排放等级。</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直接排放建设项目评价等级分为一级、二级和三级A，根据废水排放量、水污染物污染当量数确定；间接排放建设项目评价等级为三级B。</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地表水环境评价等级判据见表2.6-5。</w:t>
      </w:r>
    </w:p>
    <w:p>
      <w:pPr>
        <w:pStyle w:val="109"/>
        <w:widowControl w:val="0"/>
        <w:ind w:firstLine="473"/>
        <w:rPr>
          <w:rFonts w:ascii="Times New Roman" w:hAnsi="Times New Roman" w:eastAsiaTheme="minorEastAsia"/>
          <w:snapToGrid w:val="0"/>
          <w:color w:val="auto"/>
          <w:w w:val="99"/>
          <w:highlight w:val="none"/>
        </w:rPr>
      </w:pPr>
      <w:r>
        <w:rPr>
          <w:rFonts w:hint="eastAsia" w:ascii="Times New Roman" w:hAnsi="Times New Roman" w:eastAsiaTheme="minorEastAsia"/>
          <w:color w:val="auto"/>
          <w:w w:val="99"/>
          <w:highlight w:val="none"/>
        </w:rPr>
        <w:t>本项目产生的钻井废水由罐车拉运至大庆油田昆仑集团有限公司环保分公司处理</w:t>
      </w:r>
      <w:r>
        <w:rPr>
          <w:rFonts w:hint="eastAsia" w:ascii="Times New Roman" w:hAnsi="Times New Roman" w:eastAsiaTheme="minorEastAsia"/>
          <w:color w:val="auto"/>
          <w:w w:val="99"/>
          <w:highlight w:val="none"/>
          <w:lang w:eastAsia="zh-CN"/>
        </w:rPr>
        <w:t>，</w:t>
      </w:r>
      <w:r>
        <w:rPr>
          <w:rFonts w:ascii="Times New Roman" w:hAnsi="Times New Roman" w:eastAsiaTheme="minorEastAsia"/>
          <w:color w:val="auto"/>
          <w:w w:val="99"/>
          <w:highlight w:val="none"/>
        </w:rPr>
        <w:t>处理后的压滤水定期由罐车拉运至朝一联含油污水处理站处理</w:t>
      </w:r>
      <w:r>
        <w:rPr>
          <w:rFonts w:ascii="Times New Roman" w:hAnsi="Times New Roman" w:eastAsiaTheme="minorEastAsia"/>
          <w:bCs/>
          <w:color w:val="auto"/>
          <w:w w:val="99"/>
          <w:highlight w:val="none"/>
        </w:rPr>
        <w:t>满足《大庆油田地面工程建设设计规定》（Q/SYDQ0639-2015）中“含油量≤5mg/L、悬浮固体含量≤1mg/L、粒径中值≤1μm”规定后回注油层，压滤泥饼满足《废弃钻井液处理规范》（DB23/T693-2000）表1要求后用于铺垫井场及通井路</w:t>
      </w:r>
      <w:r>
        <w:rPr>
          <w:rFonts w:hint="eastAsia" w:ascii="Times New Roman" w:hAnsi="Times New Roman" w:eastAsiaTheme="minorEastAsia"/>
          <w:color w:val="auto"/>
          <w:w w:val="99"/>
          <w:highlight w:val="none"/>
        </w:rPr>
        <w:t>；</w:t>
      </w:r>
      <w:r>
        <w:rPr>
          <w:rFonts w:ascii="Times New Roman" w:hAnsi="Times New Roman" w:eastAsiaTheme="minorEastAsia"/>
          <w:color w:val="auto"/>
          <w:w w:val="99"/>
          <w:highlight w:val="none"/>
        </w:rPr>
        <w:t>生活污水</w:t>
      </w:r>
      <w:r>
        <w:rPr>
          <w:rFonts w:hint="eastAsia" w:ascii="Times New Roman" w:hAnsi="Times New Roman" w:eastAsiaTheme="minorEastAsia"/>
          <w:color w:val="auto"/>
          <w:w w:val="99"/>
          <w:highlight w:val="none"/>
        </w:rPr>
        <w:t>排入施工井场内临时设置的防渗旱厕，定期清掏外运堆肥处理，施工结束后进行卫生处理，场地进行平整</w:t>
      </w:r>
      <w:r>
        <w:rPr>
          <w:rFonts w:ascii="Times New Roman" w:hAnsi="Times New Roman" w:eastAsiaTheme="minorEastAsia"/>
          <w:color w:val="auto"/>
          <w:w w:val="99"/>
          <w:highlight w:val="none"/>
        </w:rPr>
        <w:t>。本项目产生的废水均不外排，</w:t>
      </w:r>
      <w:r>
        <w:rPr>
          <w:rFonts w:ascii="Times New Roman" w:hAnsi="Times New Roman" w:eastAsiaTheme="minorEastAsia"/>
          <w:snapToGrid w:val="0"/>
          <w:color w:val="auto"/>
          <w:w w:val="99"/>
          <w:highlight w:val="none"/>
        </w:rPr>
        <w:t>根据《环境影响评价技术导则 地表水环境》（HJ2.3-2018）中关于地表水环境影响评价工作分级要求，建设项目生产工艺中有废水产生，但作为回水利用，不排放到外环境的，按三级B评价，因此本项目地表水评价等级为三级B。</w:t>
      </w:r>
    </w:p>
    <w:p>
      <w:pPr>
        <w:widowControl w:val="0"/>
        <w:spacing w:line="500" w:lineRule="exact"/>
        <w:ind w:firstLine="476" w:firstLineChars="200"/>
        <w:rPr>
          <w:rFonts w:ascii="Times New Roman" w:hAnsi="Times New Roman" w:cs="Times New Roman" w:eastAsiaTheme="minorEastAsia"/>
          <w:b/>
          <w:bCs/>
          <w:color w:val="auto"/>
          <w:w w:val="99"/>
          <w:kern w:val="2"/>
          <w:highlight w:val="none"/>
        </w:rPr>
      </w:pPr>
      <w:r>
        <w:rPr>
          <w:rFonts w:ascii="Times New Roman" w:hAnsi="Times New Roman" w:cs="Times New Roman" w:eastAsiaTheme="minorEastAsia"/>
          <w:b/>
          <w:bCs/>
          <w:snapToGrid w:val="0"/>
          <w:color w:val="auto"/>
          <w:w w:val="99"/>
          <w:highlight w:val="none"/>
        </w:rPr>
        <w:t>表2.6-5</w:t>
      </w:r>
      <w:r>
        <w:rPr>
          <w:rFonts w:ascii="Times New Roman" w:hAnsi="Times New Roman" w:cs="Times New Roman" w:eastAsiaTheme="minorEastAsia"/>
          <w:b/>
          <w:bCs/>
          <w:color w:val="auto"/>
          <w:w w:val="99"/>
          <w:kern w:val="2"/>
          <w:highlight w:val="none"/>
        </w:rPr>
        <w:t xml:space="preserve">               地表水环境影响评价分级判据</w:t>
      </w:r>
    </w:p>
    <w:tbl>
      <w:tblPr>
        <w:tblStyle w:val="8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3"/>
        <w:gridCol w:w="2178"/>
        <w:gridCol w:w="55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vMerge w:val="restart"/>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lang w:val="zh-CN"/>
              </w:rPr>
            </w:pPr>
            <w:r>
              <w:rPr>
                <w:rFonts w:ascii="Times New Roman" w:hAnsi="Times New Roman" w:cs="Times New Roman" w:eastAsiaTheme="minorEastAsia"/>
                <w:snapToGrid w:val="0"/>
                <w:color w:val="auto"/>
                <w:w w:val="99"/>
                <w:sz w:val="21"/>
                <w:highlight w:val="none"/>
              </w:rPr>
              <w:t>评价等级</w:t>
            </w:r>
          </w:p>
        </w:tc>
        <w:tc>
          <w:tcPr>
            <w:tcW w:w="4142" w:type="pct"/>
            <w:gridSpan w:val="2"/>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判定依据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vMerge w:val="continue"/>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lang w:val="zh-CN"/>
              </w:rPr>
            </w:pPr>
          </w:p>
        </w:tc>
        <w:tc>
          <w:tcPr>
            <w:tcW w:w="1173" w:type="pct"/>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lang w:val="zh-CN"/>
              </w:rPr>
            </w:pPr>
            <w:r>
              <w:rPr>
                <w:rFonts w:ascii="Times New Roman" w:hAnsi="Times New Roman" w:cs="Times New Roman" w:eastAsiaTheme="minorEastAsia"/>
                <w:snapToGrid w:val="0"/>
                <w:color w:val="auto"/>
                <w:w w:val="99"/>
                <w:sz w:val="21"/>
                <w:highlight w:val="none"/>
              </w:rPr>
              <w:t>排放方式</w:t>
            </w:r>
          </w:p>
        </w:tc>
        <w:tc>
          <w:tcPr>
            <w:tcW w:w="2969" w:type="pct"/>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废水排放量Q/（m</w:t>
            </w:r>
            <w:r>
              <w:rPr>
                <w:rFonts w:ascii="Times New Roman" w:hAnsi="Times New Roman" w:cs="Times New Roman" w:eastAsiaTheme="minorEastAsia"/>
                <w:snapToGrid w:val="0"/>
                <w:color w:val="auto"/>
                <w:w w:val="99"/>
                <w:sz w:val="21"/>
                <w:highlight w:val="none"/>
                <w:vertAlign w:val="superscript"/>
              </w:rPr>
              <w:t>3</w:t>
            </w:r>
            <w:r>
              <w:rPr>
                <w:rFonts w:ascii="Times New Roman" w:hAnsi="Times New Roman" w:cs="Times New Roman" w:eastAsiaTheme="minorEastAsia"/>
                <w:snapToGrid w:val="0"/>
                <w:color w:val="auto"/>
                <w:w w:val="99"/>
                <w:sz w:val="21"/>
                <w:highlight w:val="none"/>
              </w:rPr>
              <w:t>/d）;水污染物当量数W/（无量纲）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lang w:val="zh-CN"/>
              </w:rPr>
            </w:pPr>
            <w:r>
              <w:rPr>
                <w:rFonts w:ascii="Times New Roman" w:hAnsi="Times New Roman" w:cs="Times New Roman" w:eastAsiaTheme="minorEastAsia"/>
                <w:snapToGrid w:val="0"/>
                <w:color w:val="auto"/>
                <w:w w:val="99"/>
                <w:sz w:val="21"/>
                <w:highlight w:val="none"/>
              </w:rPr>
              <w:t>一级</w:t>
            </w:r>
          </w:p>
        </w:tc>
        <w:tc>
          <w:tcPr>
            <w:tcW w:w="1173" w:type="pct"/>
            <w:vAlign w:val="center"/>
          </w:tcPr>
          <w:p>
            <w:pPr>
              <w:pStyle w:val="3"/>
              <w:autoSpaceDE w:val="0"/>
              <w:adjustRightInd w:val="0"/>
              <w:snapToGrid w:val="0"/>
              <w:spacing w:line="320" w:lineRule="exact"/>
              <w:ind w:left="0" w:firstLine="0"/>
              <w:jc w:val="center"/>
              <w:textAlignment w:val="center"/>
              <w:rPr>
                <w:rFonts w:hint="default" w:ascii="Times New Roman" w:eastAsiaTheme="minorEastAsia"/>
                <w:snapToGrid w:val="0"/>
                <w:color w:val="auto"/>
                <w:w w:val="99"/>
                <w:sz w:val="21"/>
                <w:highlight w:val="none"/>
                <w:lang w:val="zh-CN"/>
              </w:rPr>
            </w:pPr>
            <w:r>
              <w:rPr>
                <w:rFonts w:hint="default" w:ascii="Times New Roman" w:eastAsiaTheme="minorEastAsia"/>
                <w:snapToGrid w:val="0"/>
                <w:color w:val="auto"/>
                <w:w w:val="99"/>
                <w:sz w:val="21"/>
                <w:highlight w:val="none"/>
                <w:lang w:val="zh-CN"/>
              </w:rPr>
              <w:t>直接排放</w:t>
            </w:r>
          </w:p>
        </w:tc>
        <w:tc>
          <w:tcPr>
            <w:tcW w:w="2969" w:type="pct"/>
            <w:vAlign w:val="center"/>
          </w:tcPr>
          <w:p>
            <w:pPr>
              <w:pStyle w:val="3"/>
              <w:autoSpaceDE w:val="0"/>
              <w:adjustRightInd w:val="0"/>
              <w:snapToGrid w:val="0"/>
              <w:spacing w:line="320" w:lineRule="exact"/>
              <w:ind w:left="0" w:firstLine="0"/>
              <w:jc w:val="center"/>
              <w:textAlignment w:val="center"/>
              <w:rPr>
                <w:rFonts w:hint="default" w:ascii="Times New Roman" w:eastAsiaTheme="minorEastAsia"/>
                <w:snapToGrid w:val="0"/>
                <w:color w:val="auto"/>
                <w:w w:val="99"/>
                <w:sz w:val="21"/>
                <w:highlight w:val="none"/>
                <w:lang w:val="zh-CN"/>
              </w:rPr>
            </w:pPr>
            <w:r>
              <w:rPr>
                <w:rFonts w:hint="default" w:ascii="Times New Roman" w:eastAsiaTheme="minorEastAsia"/>
                <w:snapToGrid w:val="0"/>
                <w:color w:val="auto"/>
                <w:w w:val="99"/>
                <w:sz w:val="21"/>
                <w:highlight w:val="none"/>
                <w:lang w:val="zh-CN"/>
              </w:rPr>
              <w:t>Q≥20000或W≥600000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lang w:val="zh-CN"/>
              </w:rPr>
            </w:pPr>
            <w:r>
              <w:rPr>
                <w:rFonts w:ascii="Times New Roman" w:hAnsi="Times New Roman" w:cs="Times New Roman" w:eastAsiaTheme="minorEastAsia"/>
                <w:snapToGrid w:val="0"/>
                <w:color w:val="auto"/>
                <w:w w:val="99"/>
                <w:sz w:val="21"/>
                <w:highlight w:val="none"/>
              </w:rPr>
              <w:t>二级</w:t>
            </w:r>
          </w:p>
        </w:tc>
        <w:tc>
          <w:tcPr>
            <w:tcW w:w="1173" w:type="pct"/>
            <w:vAlign w:val="center"/>
          </w:tcPr>
          <w:p>
            <w:pPr>
              <w:spacing w:line="320" w:lineRule="exact"/>
              <w:jc w:val="center"/>
              <w:rPr>
                <w:rFonts w:ascii="Times New Roman" w:hAnsi="Times New Roman" w:cs="Times New Roman" w:eastAsiaTheme="minorEastAsia"/>
                <w:color w:val="auto"/>
                <w:w w:val="99"/>
                <w:highlight w:val="none"/>
              </w:rPr>
            </w:pPr>
            <w:r>
              <w:rPr>
                <w:rFonts w:ascii="Times New Roman" w:hAnsi="Times New Roman" w:cs="Times New Roman" w:eastAsiaTheme="minorEastAsia"/>
                <w:snapToGrid w:val="0"/>
                <w:color w:val="auto"/>
                <w:w w:val="99"/>
                <w:sz w:val="21"/>
                <w:highlight w:val="none"/>
                <w:lang w:val="zh-CN"/>
              </w:rPr>
              <w:t>直接排放</w:t>
            </w:r>
          </w:p>
        </w:tc>
        <w:tc>
          <w:tcPr>
            <w:tcW w:w="2969" w:type="pct"/>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lang w:val="zh-CN"/>
              </w:rPr>
            </w:pPr>
            <w:r>
              <w:rPr>
                <w:rFonts w:ascii="Times New Roman" w:hAnsi="Times New Roman" w:cs="Times New Roman" w:eastAsiaTheme="minorEastAsia"/>
                <w:snapToGrid w:val="0"/>
                <w:color w:val="auto"/>
                <w:w w:val="99"/>
                <w:sz w:val="21"/>
                <w:highlight w:val="none"/>
              </w:rPr>
              <w:t>三级A</w:t>
            </w:r>
          </w:p>
        </w:tc>
        <w:tc>
          <w:tcPr>
            <w:tcW w:w="1173" w:type="pct"/>
            <w:vAlign w:val="center"/>
          </w:tcPr>
          <w:p>
            <w:pPr>
              <w:spacing w:line="320" w:lineRule="exact"/>
              <w:jc w:val="center"/>
              <w:rPr>
                <w:rFonts w:ascii="Times New Roman" w:hAnsi="Times New Roman" w:cs="Times New Roman" w:eastAsiaTheme="minorEastAsia"/>
                <w:color w:val="auto"/>
                <w:w w:val="99"/>
                <w:highlight w:val="none"/>
              </w:rPr>
            </w:pPr>
            <w:r>
              <w:rPr>
                <w:rFonts w:ascii="Times New Roman" w:hAnsi="Times New Roman" w:cs="Times New Roman" w:eastAsiaTheme="minorEastAsia"/>
                <w:snapToGrid w:val="0"/>
                <w:color w:val="auto"/>
                <w:w w:val="99"/>
                <w:sz w:val="21"/>
                <w:highlight w:val="none"/>
                <w:lang w:val="zh-CN"/>
              </w:rPr>
              <w:t>直接排放</w:t>
            </w:r>
          </w:p>
        </w:tc>
        <w:tc>
          <w:tcPr>
            <w:tcW w:w="2969" w:type="pct"/>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Q＜200且W＜6000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三级B</w:t>
            </w:r>
          </w:p>
        </w:tc>
        <w:tc>
          <w:tcPr>
            <w:tcW w:w="1173" w:type="pct"/>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lang w:val="zh-CN"/>
              </w:rPr>
              <w:t>间接排放</w:t>
            </w:r>
          </w:p>
        </w:tc>
        <w:tc>
          <w:tcPr>
            <w:tcW w:w="2969" w:type="pct"/>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pPr>
              <w:widowControl w:val="0"/>
              <w:autoSpaceDE w:val="0"/>
              <w:adjustRightInd w:val="0"/>
              <w:snapToGrid w:val="0"/>
              <w:spacing w:line="320" w:lineRule="exact"/>
              <w:jc w:val="both"/>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注1：水污染物当量数等于该污染物的年排放量除以该污染物的污染当量值（见附录 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pPr>
              <w:widowControl w:val="0"/>
              <w:autoSpaceDE w:val="0"/>
              <w:adjustRightInd w:val="0"/>
              <w:snapToGrid w:val="0"/>
              <w:spacing w:line="320" w:lineRule="exact"/>
              <w:jc w:val="both"/>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注2：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pPr>
              <w:widowControl w:val="0"/>
              <w:autoSpaceDE w:val="0"/>
              <w:adjustRightInd w:val="0"/>
              <w:snapToGrid w:val="0"/>
              <w:spacing w:line="320" w:lineRule="exact"/>
              <w:jc w:val="both"/>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注3：厂区存在堆积物（露天堆放的原料、燃料、废渣等以及垃圾堆放场）、降尘污染的，应将初期雨污水纳入废水排放量，相应的主要污染物纳入水污染当量计算。</w:t>
            </w:r>
          </w:p>
          <w:p>
            <w:pPr>
              <w:widowControl w:val="0"/>
              <w:autoSpaceDE w:val="0"/>
              <w:adjustRightInd w:val="0"/>
              <w:snapToGrid w:val="0"/>
              <w:spacing w:line="320" w:lineRule="exact"/>
              <w:jc w:val="both"/>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注4：建设项目直接排放第一类污染物的，其评价等级为一级；建设项目直接排放的污染物为受纳水体超标因子的，评价等级不低于二级。</w:t>
            </w:r>
          </w:p>
          <w:p>
            <w:pPr>
              <w:widowControl w:val="0"/>
              <w:autoSpaceDE w:val="0"/>
              <w:adjustRightInd w:val="0"/>
              <w:snapToGrid w:val="0"/>
              <w:spacing w:line="320" w:lineRule="exact"/>
              <w:jc w:val="both"/>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注5：直接排放受纳水体影响范围涉及饮用水水源保护区、饮用水取水口、重点保护与珍稀水生生物的栖息地、重要水生生物的自然产卵场等保护目标时，评价等级不低于二级。</w:t>
            </w:r>
          </w:p>
          <w:p>
            <w:pPr>
              <w:widowControl w:val="0"/>
              <w:autoSpaceDE w:val="0"/>
              <w:adjustRightInd w:val="0"/>
              <w:snapToGrid w:val="0"/>
              <w:spacing w:line="320" w:lineRule="exact"/>
              <w:jc w:val="both"/>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注6：建设项目向河流、湖库排放温排水引起受纳水体水温变化超过水环境质量标准要求，且评价范围有水温敏感目标时，评价等级为一级。</w:t>
            </w:r>
          </w:p>
          <w:p>
            <w:pPr>
              <w:widowControl w:val="0"/>
              <w:autoSpaceDE w:val="0"/>
              <w:adjustRightInd w:val="0"/>
              <w:snapToGrid w:val="0"/>
              <w:spacing w:line="320" w:lineRule="exact"/>
              <w:jc w:val="both"/>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注7：建设项目利用海水作为调节温度介质，排水量≥500万m</w:t>
            </w:r>
            <w:r>
              <w:rPr>
                <w:rFonts w:ascii="Times New Roman" w:hAnsi="Times New Roman" w:cs="Times New Roman" w:eastAsiaTheme="minorEastAsia"/>
                <w:snapToGrid w:val="0"/>
                <w:color w:val="auto"/>
                <w:w w:val="99"/>
                <w:sz w:val="21"/>
                <w:highlight w:val="none"/>
                <w:vertAlign w:val="superscript"/>
              </w:rPr>
              <w:t>3</w:t>
            </w:r>
            <w:r>
              <w:rPr>
                <w:rFonts w:ascii="Times New Roman" w:hAnsi="Times New Roman" w:cs="Times New Roman" w:eastAsiaTheme="minorEastAsia"/>
                <w:snapToGrid w:val="0"/>
                <w:color w:val="auto"/>
                <w:w w:val="99"/>
                <w:sz w:val="21"/>
                <w:highlight w:val="none"/>
              </w:rPr>
              <w:t>/d，评价等级为一级；排水量＜500 万m</w:t>
            </w:r>
            <w:r>
              <w:rPr>
                <w:rFonts w:ascii="Times New Roman" w:hAnsi="Times New Roman" w:cs="Times New Roman" w:eastAsiaTheme="minorEastAsia"/>
                <w:snapToGrid w:val="0"/>
                <w:color w:val="auto"/>
                <w:w w:val="99"/>
                <w:sz w:val="21"/>
                <w:highlight w:val="none"/>
                <w:vertAlign w:val="superscript"/>
              </w:rPr>
              <w:t>3</w:t>
            </w:r>
            <w:r>
              <w:rPr>
                <w:rFonts w:ascii="Times New Roman" w:hAnsi="Times New Roman" w:cs="Times New Roman" w:eastAsiaTheme="minorEastAsia"/>
                <w:snapToGrid w:val="0"/>
                <w:color w:val="auto"/>
                <w:w w:val="99"/>
                <w:sz w:val="21"/>
                <w:highlight w:val="none"/>
              </w:rPr>
              <w:t>/d，评价等级为二级。</w:t>
            </w:r>
          </w:p>
          <w:p>
            <w:pPr>
              <w:widowControl w:val="0"/>
              <w:autoSpaceDE w:val="0"/>
              <w:adjustRightInd w:val="0"/>
              <w:snapToGrid w:val="0"/>
              <w:spacing w:line="320" w:lineRule="exact"/>
              <w:jc w:val="both"/>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注8：仅涉及清净下水排放的，如其排放水质满足受纳水体水环境质量标准要求的，评价等级为三级A。</w:t>
            </w:r>
          </w:p>
          <w:p>
            <w:pPr>
              <w:widowControl w:val="0"/>
              <w:autoSpaceDE w:val="0"/>
              <w:adjustRightInd w:val="0"/>
              <w:snapToGrid w:val="0"/>
              <w:spacing w:line="320" w:lineRule="exact"/>
              <w:jc w:val="both"/>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注9：依托现有排放口，且对外环境未新增排放污染物的直接排放建设项目，评价等级参照间接排放，定为三级 B。</w:t>
            </w:r>
          </w:p>
          <w:p>
            <w:pPr>
              <w:widowControl w:val="0"/>
              <w:autoSpaceDE w:val="0"/>
              <w:adjustRightInd w:val="0"/>
              <w:snapToGrid w:val="0"/>
              <w:spacing w:line="320" w:lineRule="exact"/>
              <w:jc w:val="both"/>
              <w:textAlignment w:val="center"/>
              <w:rPr>
                <w:rFonts w:ascii="Times New Roman" w:hAnsi="Times New Roman" w:cs="Times New Roman" w:eastAsiaTheme="minorEastAsia"/>
                <w:b/>
                <w:snapToGrid w:val="0"/>
                <w:color w:val="auto"/>
                <w:w w:val="99"/>
                <w:sz w:val="21"/>
                <w:highlight w:val="none"/>
              </w:rPr>
            </w:pPr>
            <w:r>
              <w:rPr>
                <w:rFonts w:ascii="Times New Roman" w:hAnsi="Times New Roman" w:cs="Times New Roman" w:eastAsiaTheme="minorEastAsia"/>
                <w:b/>
                <w:snapToGrid w:val="0"/>
                <w:color w:val="auto"/>
                <w:w w:val="99"/>
                <w:sz w:val="21"/>
                <w:highlight w:val="none"/>
              </w:rPr>
              <w:t>注10：建设项目生产工艺中有废水产生，但作为回水利用，不排放到外环境的，按三级B评价。</w:t>
            </w:r>
          </w:p>
        </w:tc>
      </w:tr>
    </w:tbl>
    <w:p>
      <w:pPr>
        <w:pStyle w:val="7"/>
        <w:keepNext w:val="0"/>
        <w:keepLines w:val="0"/>
        <w:widowControl w:val="0"/>
        <w:rPr>
          <w:b/>
          <w:color w:val="auto"/>
          <w:w w:val="99"/>
          <w:kern w:val="2"/>
          <w:sz w:val="24"/>
          <w:szCs w:val="24"/>
          <w:highlight w:val="none"/>
        </w:rPr>
      </w:pPr>
      <w:bookmarkStart w:id="236" w:name="_Toc69690789"/>
      <w:bookmarkStart w:id="237" w:name="_Toc17898142"/>
      <w:bookmarkStart w:id="238" w:name="_Toc67523571"/>
      <w:bookmarkStart w:id="239" w:name="_Toc80105122"/>
      <w:bookmarkStart w:id="240" w:name="_Toc77667266"/>
      <w:bookmarkStart w:id="241" w:name="_Toc57976652"/>
      <w:bookmarkStart w:id="242" w:name="_Toc57203227"/>
      <w:bookmarkStart w:id="243" w:name="_Toc18486"/>
      <w:bookmarkStart w:id="244" w:name="_Toc57707897"/>
      <w:bookmarkStart w:id="245" w:name="_Toc61597199"/>
      <w:bookmarkStart w:id="246" w:name="_Toc74812293"/>
      <w:bookmarkStart w:id="247" w:name="_Toc71371922"/>
      <w:r>
        <w:rPr>
          <w:b/>
          <w:color w:val="auto"/>
          <w:w w:val="99"/>
          <w:kern w:val="2"/>
          <w:sz w:val="24"/>
          <w:szCs w:val="24"/>
          <w:highlight w:val="none"/>
        </w:rPr>
        <w:t>2.6.3地下水</w:t>
      </w:r>
      <w:bookmarkEnd w:id="236"/>
      <w:bookmarkEnd w:id="237"/>
      <w:bookmarkEnd w:id="238"/>
      <w:bookmarkEnd w:id="239"/>
      <w:bookmarkEnd w:id="240"/>
      <w:bookmarkEnd w:id="241"/>
      <w:bookmarkEnd w:id="242"/>
      <w:bookmarkEnd w:id="243"/>
      <w:bookmarkEnd w:id="244"/>
      <w:bookmarkEnd w:id="245"/>
      <w:bookmarkEnd w:id="246"/>
      <w:bookmarkEnd w:id="247"/>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根据《环境影响评价技术导则 地下水环境》（HJ610-2016），评价工作等级的划分应依据建设项目行业分类和地下水环境敏感程度分级进行判定。</w:t>
      </w:r>
    </w:p>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2.6.3.1地下水环境影响评价行业分类</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根据《环境影响评价技术导则 地下水环境》（HJ 610-2016）附录A，建设项目</w:t>
      </w:r>
      <w:r>
        <w:rPr>
          <w:rFonts w:ascii="Times New Roman" w:hAnsi="Times New Roman" w:eastAsiaTheme="minorEastAsia"/>
          <w:bCs/>
          <w:color w:val="auto"/>
          <w:w w:val="99"/>
          <w:highlight w:val="none"/>
        </w:rPr>
        <w:t>地下水环境影响评价行业分类见表2.6-6</w:t>
      </w:r>
      <w:r>
        <w:rPr>
          <w:rFonts w:ascii="Times New Roman" w:hAnsi="Times New Roman" w:eastAsiaTheme="minorEastAsia"/>
          <w:snapToGrid w:val="0"/>
          <w:color w:val="auto"/>
          <w:w w:val="99"/>
          <w:highlight w:val="none"/>
        </w:rPr>
        <w:t>。</w:t>
      </w:r>
    </w:p>
    <w:p>
      <w:pPr>
        <w:widowControl w:val="0"/>
        <w:spacing w:line="500" w:lineRule="exact"/>
        <w:ind w:firstLine="466" w:firstLineChars="196"/>
        <w:rPr>
          <w:rFonts w:ascii="Times New Roman" w:hAnsi="Times New Roman" w:cs="Times New Roman" w:eastAsiaTheme="minorEastAsia"/>
          <w:b/>
          <w:bCs w:val="0"/>
          <w:color w:val="auto"/>
          <w:w w:val="99"/>
          <w:highlight w:val="none"/>
        </w:rPr>
      </w:pPr>
      <w:r>
        <w:rPr>
          <w:rFonts w:ascii="Times New Roman" w:hAnsi="Times New Roman" w:cs="Times New Roman" w:eastAsiaTheme="minorEastAsia"/>
          <w:b/>
          <w:bCs w:val="0"/>
          <w:color w:val="auto"/>
          <w:w w:val="99"/>
          <w:highlight w:val="none"/>
        </w:rPr>
        <w:t>表2.6-6           地下水环境影响评价行业分类表</w:t>
      </w:r>
    </w:p>
    <w:tbl>
      <w:tblPr>
        <w:tblStyle w:val="8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3443"/>
        <w:gridCol w:w="46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restar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行业类别</w:t>
            </w:r>
          </w:p>
        </w:tc>
        <w:tc>
          <w:tcPr>
            <w:tcW w:w="1854" w:type="pct"/>
            <w:vMerge w:val="restar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环评类别</w:t>
            </w:r>
          </w:p>
        </w:tc>
        <w:tc>
          <w:tcPr>
            <w:tcW w:w="250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地下水环境影响评价项目类别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854" w:type="pct"/>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250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报告书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F</w:t>
            </w:r>
          </w:p>
        </w:tc>
        <w:tc>
          <w:tcPr>
            <w:tcW w:w="4355" w:type="pct"/>
            <w:gridSpan w:val="2"/>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石油、天然气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37</w:t>
            </w:r>
          </w:p>
        </w:tc>
        <w:tc>
          <w:tcPr>
            <w:tcW w:w="185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石油开采</w:t>
            </w:r>
          </w:p>
        </w:tc>
        <w:tc>
          <w:tcPr>
            <w:tcW w:w="250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fldChar w:fldCharType="begin"/>
            </w:r>
            <w:r>
              <w:rPr>
                <w:rFonts w:ascii="Times New Roman" w:hAnsi="Times New Roman" w:cs="Times New Roman" w:eastAsiaTheme="minorEastAsia"/>
                <w:color w:val="auto"/>
                <w:w w:val="99"/>
                <w:sz w:val="21"/>
                <w:szCs w:val="21"/>
                <w:highlight w:val="none"/>
              </w:rPr>
              <w:instrText xml:space="preserve"> = 1 \* ROMAN </w:instrText>
            </w:r>
            <w:r>
              <w:rPr>
                <w:rFonts w:ascii="Times New Roman" w:hAnsi="Times New Roman" w:cs="Times New Roman" w:eastAsiaTheme="minorEastAsia"/>
                <w:color w:val="auto"/>
                <w:w w:val="99"/>
                <w:sz w:val="21"/>
                <w:szCs w:val="21"/>
                <w:highlight w:val="none"/>
              </w:rPr>
              <w:fldChar w:fldCharType="separate"/>
            </w:r>
            <w:r>
              <w:rPr>
                <w:rFonts w:ascii="Times New Roman" w:hAnsi="Times New Roman" w:cs="Times New Roman" w:eastAsiaTheme="minorEastAsia"/>
                <w:color w:val="auto"/>
                <w:w w:val="99"/>
                <w:sz w:val="21"/>
                <w:szCs w:val="21"/>
                <w:highlight w:val="none"/>
              </w:rPr>
              <w:t>I</w:t>
            </w:r>
            <w:r>
              <w:rPr>
                <w:rFonts w:ascii="Times New Roman" w:hAnsi="Times New Roman" w:cs="Times New Roman" w:eastAsiaTheme="minorEastAsia"/>
                <w:color w:val="auto"/>
                <w:w w:val="99"/>
                <w:sz w:val="21"/>
                <w:szCs w:val="21"/>
                <w:highlight w:val="none"/>
              </w:rPr>
              <w:fldChar w:fldCharType="end"/>
            </w:r>
            <w:r>
              <w:rPr>
                <w:rFonts w:ascii="Times New Roman" w:hAnsi="Times New Roman" w:cs="Times New Roman" w:eastAsiaTheme="minorEastAsia"/>
                <w:color w:val="auto"/>
                <w:w w:val="99"/>
                <w:sz w:val="21"/>
                <w:szCs w:val="21"/>
                <w:highlight w:val="none"/>
              </w:rPr>
              <w:t>类</w:t>
            </w:r>
          </w:p>
        </w:tc>
      </w:tr>
    </w:tbl>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2.6.3.2地下水环境敏感程度</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建设项目场地的地下水环境敏感程度可分为敏感、较敏感、不敏感三级，分级原则见</w:t>
      </w:r>
      <w:r>
        <w:rPr>
          <w:rFonts w:ascii="Times New Roman" w:hAnsi="Times New Roman" w:eastAsiaTheme="minorEastAsia"/>
          <w:bCs/>
          <w:color w:val="auto"/>
          <w:w w:val="99"/>
          <w:highlight w:val="none"/>
        </w:rPr>
        <w:t>表2.6-7</w:t>
      </w:r>
      <w:r>
        <w:rPr>
          <w:rFonts w:ascii="Times New Roman" w:hAnsi="Times New Roman" w:eastAsiaTheme="minorEastAsia"/>
          <w:snapToGrid w:val="0"/>
          <w:color w:val="auto"/>
          <w:w w:val="99"/>
          <w:highlight w:val="none"/>
        </w:rPr>
        <w:t>。</w:t>
      </w:r>
    </w:p>
    <w:p>
      <w:pPr>
        <w:pStyle w:val="109"/>
        <w:widowControl w:val="0"/>
        <w:ind w:firstLine="473"/>
        <w:rPr>
          <w:rFonts w:ascii="Times New Roman" w:hAnsi="Times New Roman" w:eastAsiaTheme="minorEastAsia"/>
          <w:b/>
          <w:bCs w:val="0"/>
          <w:snapToGrid w:val="0"/>
          <w:color w:val="auto"/>
          <w:w w:val="99"/>
          <w:highlight w:val="none"/>
        </w:rPr>
      </w:pPr>
      <w:r>
        <w:rPr>
          <w:rFonts w:ascii="Times New Roman" w:hAnsi="Times New Roman" w:eastAsiaTheme="minorEastAsia"/>
          <w:b/>
          <w:bCs w:val="0"/>
          <w:color w:val="auto"/>
          <w:w w:val="99"/>
          <w:highlight w:val="none"/>
        </w:rPr>
        <w:t>表2.6-7</w:t>
      </w:r>
      <w:r>
        <w:rPr>
          <w:rFonts w:ascii="Times New Roman" w:hAnsi="Times New Roman" w:eastAsiaTheme="minorEastAsia"/>
          <w:b/>
          <w:bCs w:val="0"/>
          <w:snapToGrid w:val="0"/>
          <w:color w:val="auto"/>
          <w:w w:val="99"/>
          <w:highlight w:val="none"/>
        </w:rPr>
        <w:t xml:space="preserve">              地下水环境敏感程度分级</w:t>
      </w:r>
    </w:p>
    <w:tbl>
      <w:tblPr>
        <w:tblStyle w:val="8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79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敏感程度</w:t>
            </w:r>
          </w:p>
        </w:tc>
        <w:tc>
          <w:tcPr>
            <w:tcW w:w="4285"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地下水环境敏感特征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敏感</w:t>
            </w:r>
          </w:p>
        </w:tc>
        <w:tc>
          <w:tcPr>
            <w:tcW w:w="4285" w:type="pct"/>
            <w:vAlign w:val="center"/>
          </w:tcPr>
          <w:p>
            <w:pPr>
              <w:pStyle w:val="111"/>
              <w:widowControl w:val="0"/>
              <w:spacing w:line="360" w:lineRule="exact"/>
              <w:jc w:val="both"/>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较敏感</w:t>
            </w:r>
          </w:p>
        </w:tc>
        <w:tc>
          <w:tcPr>
            <w:tcW w:w="4285" w:type="pct"/>
            <w:vAlign w:val="center"/>
          </w:tcPr>
          <w:p>
            <w:pPr>
              <w:pStyle w:val="111"/>
              <w:widowControl w:val="0"/>
              <w:spacing w:line="360" w:lineRule="exact"/>
              <w:jc w:val="both"/>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集中式饮用水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w:t>
            </w:r>
            <w:r>
              <w:rPr>
                <w:rFonts w:ascii="Times New Roman" w:hAnsi="Times New Roman" w:eastAsiaTheme="minorEastAsia"/>
                <w:snapToGrid w:val="0"/>
                <w:color w:val="auto"/>
                <w:w w:val="99"/>
                <w:kern w:val="0"/>
                <w:szCs w:val="24"/>
                <w:highlight w:val="none"/>
                <w:vertAlign w:val="superscript"/>
              </w:rPr>
              <w:t>a</w:t>
            </w:r>
            <w:r>
              <w:rPr>
                <w:rFonts w:ascii="Times New Roman" w:hAnsi="Times New Roman" w:eastAsiaTheme="minorEastAsia"/>
                <w:snapToGrid w:val="0"/>
                <w:color w:val="auto"/>
                <w:w w:val="99"/>
                <w:kern w:val="0"/>
                <w:szCs w:val="24"/>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不敏感</w:t>
            </w:r>
          </w:p>
        </w:tc>
        <w:tc>
          <w:tcPr>
            <w:tcW w:w="4285" w:type="pct"/>
            <w:vAlign w:val="center"/>
          </w:tcPr>
          <w:p>
            <w:pPr>
              <w:pStyle w:val="111"/>
              <w:widowControl w:val="0"/>
              <w:spacing w:line="360" w:lineRule="exact"/>
              <w:jc w:val="both"/>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上述地区之外的其它地区。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2"/>
            <w:vAlign w:val="center"/>
          </w:tcPr>
          <w:p>
            <w:pPr>
              <w:pStyle w:val="111"/>
              <w:widowControl w:val="0"/>
              <w:spacing w:line="360" w:lineRule="exact"/>
              <w:jc w:val="both"/>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注：a“环境敏感区”是指《建设项目环境影响评价分类管理目录》中所界定的涉及地下水的环境敏感区。</w:t>
            </w:r>
          </w:p>
        </w:tc>
      </w:tr>
    </w:tbl>
    <w:p>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经现场</w:t>
      </w:r>
      <w:r>
        <w:rPr>
          <w:rFonts w:hint="eastAsia" w:ascii="Times New Roman" w:hAnsi="Times New Roman" w:cs="Times New Roman" w:eastAsiaTheme="minorEastAsia"/>
          <w:color w:val="auto"/>
          <w:w w:val="99"/>
          <w:highlight w:val="none"/>
        </w:rPr>
        <w:t>调查</w:t>
      </w:r>
      <w:r>
        <w:rPr>
          <w:rFonts w:ascii="Times New Roman" w:hAnsi="Times New Roman" w:cs="Times New Roman" w:eastAsiaTheme="minorEastAsia"/>
          <w:color w:val="auto"/>
          <w:w w:val="99"/>
          <w:highlight w:val="none"/>
        </w:rPr>
        <w:t>，</w:t>
      </w:r>
      <w:r>
        <w:rPr>
          <w:rFonts w:hint="eastAsia" w:ascii="Times New Roman" w:hAnsi="Times New Roman" w:cs="Times New Roman" w:eastAsiaTheme="minorEastAsia"/>
          <w:color w:val="auto"/>
          <w:w w:val="99"/>
          <w:highlight w:val="none"/>
        </w:rPr>
        <w:t>本项目评价范围内及周边村屯饮用水源以地下水作为供水水源，村屯内均有自打饮用水井对村屯内居民进行统一供水，每个水源地供水人数均小于1</w:t>
      </w:r>
      <w:r>
        <w:rPr>
          <w:rFonts w:ascii="Times New Roman" w:hAnsi="Times New Roman" w:cs="Times New Roman" w:eastAsiaTheme="minorEastAsia"/>
          <w:color w:val="auto"/>
          <w:w w:val="99"/>
          <w:highlight w:val="none"/>
        </w:rPr>
        <w:t>000人，</w:t>
      </w:r>
      <w:r>
        <w:rPr>
          <w:rFonts w:hint="eastAsia" w:ascii="Times New Roman" w:hAnsi="Times New Roman" w:cs="Times New Roman" w:eastAsiaTheme="minorEastAsia"/>
          <w:color w:val="auto"/>
          <w:w w:val="99"/>
          <w:highlight w:val="none"/>
        </w:rPr>
        <w:t>属于</w:t>
      </w:r>
      <w:r>
        <w:rPr>
          <w:rFonts w:ascii="Times New Roman" w:hAnsi="Times New Roman" w:cs="Times New Roman" w:eastAsiaTheme="minorEastAsia"/>
          <w:color w:val="auto"/>
          <w:w w:val="99"/>
          <w:highlight w:val="none"/>
        </w:rPr>
        <w:t>分散式水源地（联村）</w:t>
      </w:r>
      <w:r>
        <w:rPr>
          <w:rFonts w:hint="eastAsia" w:ascii="Times New Roman" w:hAnsi="Times New Roman" w:cs="Times New Roman" w:eastAsiaTheme="minorEastAsia"/>
          <w:color w:val="auto"/>
          <w:w w:val="99"/>
          <w:highlight w:val="none"/>
        </w:rPr>
        <w:t>，开采层位为承压含水层</w:t>
      </w:r>
      <w:r>
        <w:rPr>
          <w:rFonts w:ascii="Times New Roman" w:hAnsi="Times New Roman" w:cs="Times New Roman" w:eastAsiaTheme="minorEastAsia"/>
          <w:color w:val="auto"/>
          <w:w w:val="99"/>
          <w:highlight w:val="none"/>
        </w:rPr>
        <w:t>。</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根据《优化评价内容严控新增污染—&lt;环境影响评价技术导则 地下水环境&gt;解读》（梁鹏，环境保护部环境工程评估中心，2016.7），结合《饮用水水源保护区划分技术规范》（HJ/T338-2018），地下水敏感性判定依据见图2.6-1。</w:t>
      </w:r>
    </w:p>
    <w:p>
      <w:pPr>
        <w:jc w:val="center"/>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drawing>
          <wp:inline distT="0" distB="0" distL="114300" distR="114300">
            <wp:extent cx="4912360" cy="2093595"/>
            <wp:effectExtent l="9525" t="9525" r="12065" b="11430"/>
            <wp:docPr id="13" name="图片 3" descr="QQ图片2018012613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QQ图片20180126134517.jpg"/>
                    <pic:cNvPicPr>
                      <a:picLocks noChangeAspect="1"/>
                    </pic:cNvPicPr>
                  </pic:nvPicPr>
                  <pic:blipFill>
                    <a:blip r:embed="rId12" cstate="print"/>
                    <a:stretch>
                      <a:fillRect/>
                    </a:stretch>
                  </pic:blipFill>
                  <pic:spPr>
                    <a:xfrm>
                      <a:off x="0" y="0"/>
                      <a:ext cx="4912360" cy="2093595"/>
                    </a:xfrm>
                    <a:prstGeom prst="rect">
                      <a:avLst/>
                    </a:prstGeom>
                    <a:noFill/>
                    <a:ln w="9525" cap="flat" cmpd="sng">
                      <a:solidFill>
                        <a:srgbClr val="000000"/>
                      </a:solidFill>
                      <a:prstDash val="solid"/>
                      <a:miter/>
                      <a:headEnd type="none" w="med" len="med"/>
                      <a:tailEnd type="none" w="med" len="med"/>
                    </a:ln>
                  </pic:spPr>
                </pic:pic>
              </a:graphicData>
            </a:graphic>
          </wp:inline>
        </w:drawing>
      </w:r>
    </w:p>
    <w:p>
      <w:pPr>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图2.6-1                  地下水敏感性判定依据</w:t>
      </w:r>
    </w:p>
    <w:p>
      <w:pPr>
        <w:widowControl w:val="0"/>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根据图2.6-1所示，以水源</w:t>
      </w:r>
      <w:r>
        <w:rPr>
          <w:rFonts w:hint="eastAsia" w:ascii="Times New Roman" w:hAnsi="Times New Roman" w:cs="Times New Roman" w:eastAsiaTheme="minorEastAsia"/>
          <w:color w:val="auto"/>
          <w:w w:val="99"/>
          <w:highlight w:val="none"/>
        </w:rPr>
        <w:t>井</w:t>
      </w:r>
      <w:r>
        <w:rPr>
          <w:rFonts w:ascii="Times New Roman" w:hAnsi="Times New Roman" w:cs="Times New Roman" w:eastAsiaTheme="minorEastAsia"/>
          <w:color w:val="auto"/>
          <w:w w:val="99"/>
          <w:highlight w:val="none"/>
        </w:rPr>
        <w:t>为边界</w:t>
      </w:r>
      <w:r>
        <w:rPr>
          <w:rFonts w:hint="eastAsia" w:ascii="Times New Roman" w:hAnsi="Times New Roman" w:cs="Times New Roman" w:eastAsiaTheme="minorEastAsia"/>
          <w:color w:val="auto"/>
          <w:w w:val="99"/>
          <w:highlight w:val="none"/>
        </w:rPr>
        <w:t>，</w:t>
      </w:r>
      <w:r>
        <w:rPr>
          <w:rFonts w:ascii="Times New Roman" w:hAnsi="Times New Roman" w:cs="Times New Roman" w:eastAsiaTheme="minorEastAsia"/>
          <w:color w:val="auto"/>
          <w:w w:val="99"/>
          <w:highlight w:val="none"/>
        </w:rPr>
        <w:t>地下水质子迁移距离3000d的外扩区域为</w:t>
      </w:r>
      <w:r>
        <w:rPr>
          <w:rFonts w:hint="eastAsia" w:ascii="Times New Roman" w:hAnsi="Times New Roman" w:cs="Times New Roman" w:eastAsiaTheme="minorEastAsia"/>
          <w:color w:val="auto"/>
          <w:w w:val="99"/>
          <w:highlight w:val="none"/>
        </w:rPr>
        <w:t>敏感区</w:t>
      </w:r>
      <w:r>
        <w:rPr>
          <w:rFonts w:ascii="Times New Roman" w:hAnsi="Times New Roman" w:cs="Times New Roman" w:eastAsiaTheme="minorEastAsia"/>
          <w:color w:val="auto"/>
          <w:w w:val="99"/>
          <w:highlight w:val="none"/>
        </w:rPr>
        <w:t>；以</w:t>
      </w:r>
      <w:r>
        <w:rPr>
          <w:rFonts w:hint="eastAsia" w:ascii="Times New Roman" w:hAnsi="Times New Roman" w:cs="Times New Roman" w:eastAsiaTheme="minorEastAsia"/>
          <w:color w:val="auto"/>
          <w:w w:val="99"/>
          <w:highlight w:val="none"/>
        </w:rPr>
        <w:t>敏感区</w:t>
      </w:r>
      <w:r>
        <w:rPr>
          <w:rFonts w:ascii="Times New Roman" w:hAnsi="Times New Roman" w:cs="Times New Roman" w:eastAsiaTheme="minorEastAsia"/>
          <w:color w:val="auto"/>
          <w:w w:val="99"/>
          <w:highlight w:val="none"/>
        </w:rPr>
        <w:t>为边界</w:t>
      </w:r>
      <w:r>
        <w:rPr>
          <w:rFonts w:hint="eastAsia" w:ascii="Times New Roman" w:hAnsi="Times New Roman" w:cs="Times New Roman" w:eastAsiaTheme="minorEastAsia"/>
          <w:color w:val="auto"/>
          <w:w w:val="99"/>
          <w:highlight w:val="none"/>
        </w:rPr>
        <w:t>，</w:t>
      </w:r>
      <w:r>
        <w:rPr>
          <w:rFonts w:ascii="Times New Roman" w:hAnsi="Times New Roman" w:cs="Times New Roman" w:eastAsiaTheme="minorEastAsia"/>
          <w:color w:val="auto"/>
          <w:w w:val="99"/>
          <w:highlight w:val="none"/>
        </w:rPr>
        <w:t>地下水质子迁移距离3000d的外扩区域为</w:t>
      </w:r>
      <w:r>
        <w:rPr>
          <w:rFonts w:hint="eastAsia" w:ascii="Times New Roman" w:hAnsi="Times New Roman" w:cs="Times New Roman" w:eastAsiaTheme="minorEastAsia"/>
          <w:color w:val="auto"/>
          <w:w w:val="99"/>
          <w:highlight w:val="none"/>
        </w:rPr>
        <w:t>较敏感区，</w:t>
      </w:r>
      <w:r>
        <w:rPr>
          <w:rFonts w:ascii="Times New Roman" w:hAnsi="Times New Roman" w:cs="Times New Roman" w:eastAsiaTheme="minorEastAsia"/>
          <w:color w:val="auto"/>
          <w:w w:val="99"/>
          <w:highlight w:val="none"/>
        </w:rPr>
        <w:t>3000d以外的外扩区域为不敏感区。</w:t>
      </w:r>
    </w:p>
    <w:p>
      <w:pPr>
        <w:widowControl w:val="0"/>
        <w:spacing w:line="500" w:lineRule="exact"/>
        <w:ind w:firstLine="466" w:firstLineChars="200"/>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质点运移距离采用下述公式计算：</w:t>
      </w:r>
    </w:p>
    <w:p>
      <w:pPr>
        <w:widowControl w:val="0"/>
        <w:spacing w:line="500" w:lineRule="exact"/>
        <w:jc w:val="center"/>
        <w:rPr>
          <w:rFonts w:ascii="Times New Roman" w:hAnsi="Times New Roman" w:cs="Times New Roman" w:eastAsiaTheme="minorEastAsia"/>
          <w:color w:val="auto"/>
          <w:spacing w:val="-2"/>
          <w:w w:val="99"/>
          <w:highlight w:val="none"/>
          <w:vertAlign w:val="subscript"/>
          <w:lang w:val="de-DE"/>
        </w:rPr>
      </w:pPr>
      <w:r>
        <w:rPr>
          <w:rFonts w:ascii="Times New Roman" w:hAnsi="Times New Roman" w:cs="Times New Roman" w:eastAsiaTheme="minorEastAsia"/>
          <w:color w:val="auto"/>
          <w:spacing w:val="-2"/>
          <w:w w:val="99"/>
          <w:highlight w:val="none"/>
        </w:rPr>
        <w:t>L=α</w:t>
      </w:r>
      <w:r>
        <w:rPr>
          <w:rFonts w:ascii="Times New Roman" w:hAnsi="Times New Roman" w:cs="Times New Roman" w:eastAsiaTheme="minorEastAsia"/>
          <w:color w:val="auto"/>
          <w:spacing w:val="-2"/>
          <w:w w:val="99"/>
          <w:highlight w:val="none"/>
          <w:lang w:val="de-DE"/>
        </w:rPr>
        <w:t>×K×I×T/n</w:t>
      </w:r>
      <w:r>
        <w:rPr>
          <w:rFonts w:ascii="Times New Roman" w:hAnsi="Times New Roman" w:cs="Times New Roman" w:eastAsiaTheme="minorEastAsia"/>
          <w:color w:val="auto"/>
          <w:spacing w:val="-2"/>
          <w:w w:val="99"/>
          <w:highlight w:val="none"/>
          <w:vertAlign w:val="subscript"/>
          <w:lang w:val="de-DE"/>
        </w:rPr>
        <w:t>e</w:t>
      </w:r>
    </w:p>
    <w:p>
      <w:pPr>
        <w:widowControl w:val="0"/>
        <w:spacing w:line="500" w:lineRule="exact"/>
        <w:ind w:firstLine="466" w:firstLineChars="200"/>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式中：L—下游迁移距离，m；</w:t>
      </w:r>
    </w:p>
    <w:p>
      <w:pPr>
        <w:widowControl w:val="0"/>
        <w:spacing w:line="500" w:lineRule="exact"/>
        <w:ind w:firstLine="466" w:firstLineChars="200"/>
        <w:jc w:val="both"/>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α—变化系数，α≥1，一般取2；</w:t>
      </w:r>
    </w:p>
    <w:p>
      <w:pPr>
        <w:widowControl w:val="0"/>
        <w:spacing w:line="500" w:lineRule="exact"/>
        <w:ind w:firstLine="466" w:firstLineChars="200"/>
        <w:jc w:val="both"/>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K—渗透系数，m/d</w:t>
      </w:r>
      <w:r>
        <w:rPr>
          <w:rFonts w:hint="eastAsia" w:ascii="Times New Roman" w:hAnsi="Times New Roman" w:cs="Times New Roman" w:eastAsiaTheme="minorEastAsia"/>
          <w:color w:val="auto"/>
          <w:spacing w:val="-2"/>
          <w:w w:val="99"/>
          <w:highlight w:val="none"/>
        </w:rPr>
        <w:t>，根据《大庆市水文地质勘察报告》（石油管理局）及区域含水层特点综合确定</w:t>
      </w:r>
      <w:r>
        <w:rPr>
          <w:rFonts w:ascii="Times New Roman" w:hAnsi="Times New Roman" w:cs="Times New Roman" w:eastAsiaTheme="minorEastAsia"/>
          <w:color w:val="auto"/>
          <w:spacing w:val="-2"/>
          <w:w w:val="99"/>
          <w:highlight w:val="none"/>
        </w:rPr>
        <w:t>，泰康组承压含水层其岩性主要是砂砾岩</w:t>
      </w:r>
      <w:r>
        <w:rPr>
          <w:rFonts w:hint="eastAsia" w:ascii="Times New Roman" w:hAnsi="Times New Roman" w:cs="Times New Roman" w:eastAsiaTheme="minorEastAsia"/>
          <w:color w:val="auto"/>
          <w:spacing w:val="-2"/>
          <w:w w:val="99"/>
          <w:highlight w:val="none"/>
        </w:rPr>
        <w:t>，K取</w:t>
      </w:r>
      <w:r>
        <w:rPr>
          <w:rFonts w:ascii="Times New Roman" w:hAnsi="Times New Roman" w:cs="Times New Roman" w:eastAsiaTheme="minorEastAsia"/>
          <w:color w:val="auto"/>
          <w:spacing w:val="-2"/>
          <w:w w:val="99"/>
          <w:highlight w:val="none"/>
        </w:rPr>
        <w:t>2</w:t>
      </w:r>
      <w:r>
        <w:rPr>
          <w:rFonts w:hint="eastAsia" w:ascii="Times New Roman" w:hAnsi="Times New Roman" w:cs="Times New Roman" w:eastAsiaTheme="minorEastAsia"/>
          <w:color w:val="auto"/>
          <w:spacing w:val="-2"/>
          <w:w w:val="99"/>
          <w:highlight w:val="none"/>
        </w:rPr>
        <w:t>0</w:t>
      </w:r>
      <w:r>
        <w:rPr>
          <w:rFonts w:ascii="Times New Roman" w:hAnsi="Times New Roman" w:cs="Times New Roman" w:eastAsiaTheme="minorEastAsia"/>
          <w:color w:val="auto"/>
          <w:spacing w:val="-2"/>
          <w:w w:val="99"/>
          <w:highlight w:val="none"/>
        </w:rPr>
        <w:t>m/d；</w:t>
      </w:r>
    </w:p>
    <w:p>
      <w:pPr>
        <w:widowControl w:val="0"/>
        <w:spacing w:line="500" w:lineRule="exact"/>
        <w:ind w:firstLine="466" w:firstLineChars="200"/>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I—水力坡度，无量纲</w:t>
      </w:r>
      <w:r>
        <w:rPr>
          <w:rFonts w:hint="eastAsia" w:ascii="Times New Roman" w:hAnsi="Times New Roman" w:cs="Times New Roman" w:eastAsiaTheme="minorEastAsia"/>
          <w:color w:val="auto"/>
          <w:spacing w:val="-2"/>
          <w:w w:val="99"/>
          <w:highlight w:val="none"/>
        </w:rPr>
        <w:t>，根据区域地下水现状调查点水位监测值及距离确定承压水水力坡度为</w:t>
      </w:r>
      <w:r>
        <w:rPr>
          <w:rFonts w:ascii="Times New Roman" w:hAnsi="Times New Roman" w:cs="Times New Roman"/>
          <w:color w:val="auto"/>
          <w:w w:val="99"/>
          <w:kern w:val="2"/>
          <w:szCs w:val="20"/>
          <w:highlight w:val="none"/>
        </w:rPr>
        <w:t>0.</w:t>
      </w:r>
      <w:r>
        <w:rPr>
          <w:rFonts w:hint="eastAsia" w:ascii="Times New Roman" w:hAnsi="Times New Roman" w:cs="Times New Roman"/>
          <w:color w:val="auto"/>
          <w:w w:val="99"/>
          <w:kern w:val="2"/>
          <w:szCs w:val="20"/>
          <w:highlight w:val="none"/>
          <w:lang w:val="en-US" w:eastAsia="zh-CN"/>
        </w:rPr>
        <w:t>0</w:t>
      </w:r>
      <w:r>
        <w:rPr>
          <w:rFonts w:hint="eastAsia" w:ascii="Times New Roman" w:hAnsi="Times New Roman" w:cs="Times New Roman"/>
          <w:color w:val="auto"/>
          <w:w w:val="99"/>
          <w:kern w:val="2"/>
          <w:szCs w:val="20"/>
          <w:highlight w:val="none"/>
        </w:rPr>
        <w:t>23％</w:t>
      </w:r>
      <w:r>
        <w:rPr>
          <w:rFonts w:ascii="Times New Roman" w:hAnsi="Times New Roman" w:cs="Times New Roman" w:eastAsiaTheme="minorEastAsia"/>
          <w:color w:val="auto"/>
          <w:spacing w:val="-2"/>
          <w:w w:val="99"/>
          <w:highlight w:val="none"/>
        </w:rPr>
        <w:t>；</w:t>
      </w:r>
    </w:p>
    <w:p>
      <w:pPr>
        <w:widowControl w:val="0"/>
        <w:spacing w:line="500" w:lineRule="exact"/>
        <w:ind w:firstLine="466" w:firstLineChars="200"/>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T—质点迁移天数；</w:t>
      </w:r>
    </w:p>
    <w:p>
      <w:pPr>
        <w:widowControl w:val="0"/>
        <w:spacing w:line="500" w:lineRule="exact"/>
        <w:ind w:firstLine="466" w:firstLineChars="200"/>
        <w:jc w:val="both"/>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n</w:t>
      </w:r>
      <w:r>
        <w:rPr>
          <w:rFonts w:ascii="Times New Roman" w:hAnsi="Times New Roman" w:cs="Times New Roman" w:eastAsiaTheme="minorEastAsia"/>
          <w:color w:val="auto"/>
          <w:spacing w:val="-2"/>
          <w:w w:val="99"/>
          <w:highlight w:val="none"/>
          <w:vertAlign w:val="subscript"/>
        </w:rPr>
        <w:t>e</w:t>
      </w:r>
      <w:r>
        <w:rPr>
          <w:rFonts w:ascii="Times New Roman" w:hAnsi="Times New Roman" w:cs="Times New Roman" w:eastAsiaTheme="minorEastAsia"/>
          <w:color w:val="auto"/>
          <w:spacing w:val="-2"/>
          <w:w w:val="99"/>
          <w:highlight w:val="none"/>
        </w:rPr>
        <w:t xml:space="preserve"> —有效孔隙度，无量纲</w:t>
      </w:r>
      <w:r>
        <w:rPr>
          <w:rFonts w:hint="eastAsia" w:ascii="Times New Roman" w:hAnsi="Times New Roman" w:cs="Times New Roman" w:eastAsiaTheme="minorEastAsia"/>
          <w:color w:val="auto"/>
          <w:spacing w:val="-2"/>
          <w:w w:val="99"/>
          <w:highlight w:val="none"/>
        </w:rPr>
        <w:t>，本次取0</w:t>
      </w:r>
      <w:r>
        <w:rPr>
          <w:rFonts w:ascii="Times New Roman" w:hAnsi="Times New Roman" w:cs="Times New Roman" w:eastAsiaTheme="minorEastAsia"/>
          <w:color w:val="auto"/>
          <w:spacing w:val="-2"/>
          <w:w w:val="99"/>
          <w:highlight w:val="none"/>
        </w:rPr>
        <w:t>.</w:t>
      </w:r>
      <w:r>
        <w:rPr>
          <w:rFonts w:hint="eastAsia" w:ascii="Times New Roman" w:hAnsi="Times New Roman" w:cs="Times New Roman" w:eastAsiaTheme="minorEastAsia"/>
          <w:color w:val="auto"/>
          <w:spacing w:val="-2"/>
          <w:w w:val="99"/>
          <w:highlight w:val="none"/>
        </w:rPr>
        <w:t>3</w:t>
      </w:r>
      <w:r>
        <w:rPr>
          <w:rFonts w:ascii="Times New Roman" w:hAnsi="Times New Roman" w:cs="Times New Roman" w:eastAsiaTheme="minorEastAsia"/>
          <w:color w:val="auto"/>
          <w:spacing w:val="-2"/>
          <w:w w:val="99"/>
          <w:highlight w:val="none"/>
        </w:rPr>
        <w:t>。</w:t>
      </w:r>
    </w:p>
    <w:p>
      <w:pPr>
        <w:widowControl w:val="0"/>
        <w:spacing w:line="500" w:lineRule="exact"/>
        <w:ind w:firstLine="466" w:firstLineChars="200"/>
        <w:jc w:val="both"/>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根据</w:t>
      </w:r>
      <w:r>
        <w:rPr>
          <w:rFonts w:hint="eastAsia" w:ascii="Times New Roman" w:hAnsi="Times New Roman" w:cs="Times New Roman" w:eastAsiaTheme="minorEastAsia"/>
          <w:color w:val="auto"/>
          <w:spacing w:val="-2"/>
          <w:w w:val="99"/>
          <w:highlight w:val="none"/>
        </w:rPr>
        <w:t>《大庆市水文地质勘察报告》（石油管理局）、</w:t>
      </w:r>
      <w:r>
        <w:rPr>
          <w:rFonts w:ascii="Times New Roman" w:hAnsi="Times New Roman" w:cs="Times New Roman" w:eastAsiaTheme="minorEastAsia"/>
          <w:color w:val="auto"/>
          <w:spacing w:val="-2"/>
          <w:w w:val="99"/>
          <w:highlight w:val="none"/>
        </w:rPr>
        <w:t>区域含水层特点及水文地质参数确定，潜水含水层各参数值确定如下：α=2，K=2</w:t>
      </w:r>
      <w:r>
        <w:rPr>
          <w:rFonts w:hint="eastAsia" w:ascii="Times New Roman" w:hAnsi="Times New Roman" w:cs="Times New Roman" w:eastAsiaTheme="minorEastAsia"/>
          <w:color w:val="auto"/>
          <w:spacing w:val="-2"/>
          <w:w w:val="99"/>
          <w:highlight w:val="none"/>
        </w:rPr>
        <w:t>0</w:t>
      </w:r>
      <w:r>
        <w:rPr>
          <w:rFonts w:ascii="Times New Roman" w:hAnsi="Times New Roman" w:cs="Times New Roman" w:eastAsiaTheme="minorEastAsia"/>
          <w:color w:val="auto"/>
          <w:spacing w:val="-2"/>
          <w:w w:val="99"/>
          <w:highlight w:val="none"/>
        </w:rPr>
        <w:t>m/d；I=0.</w:t>
      </w:r>
      <w:r>
        <w:rPr>
          <w:rFonts w:hint="eastAsia" w:ascii="Times New Roman" w:hAnsi="Times New Roman" w:cs="Times New Roman" w:eastAsiaTheme="minorEastAsia"/>
          <w:color w:val="auto"/>
          <w:spacing w:val="-2"/>
          <w:w w:val="99"/>
          <w:highlight w:val="none"/>
          <w:lang w:val="en-US" w:eastAsia="zh-CN"/>
        </w:rPr>
        <w:t>0</w:t>
      </w:r>
      <w:r>
        <w:rPr>
          <w:rFonts w:hint="eastAsia" w:ascii="Times New Roman" w:hAnsi="Times New Roman" w:cs="Times New Roman" w:eastAsiaTheme="minorEastAsia"/>
          <w:color w:val="auto"/>
          <w:spacing w:val="-2"/>
          <w:w w:val="99"/>
          <w:highlight w:val="none"/>
        </w:rPr>
        <w:t>23％</w:t>
      </w:r>
      <w:r>
        <w:rPr>
          <w:rFonts w:ascii="Times New Roman" w:hAnsi="Times New Roman" w:cs="Times New Roman" w:eastAsiaTheme="minorEastAsia"/>
          <w:color w:val="auto"/>
          <w:spacing w:val="-2"/>
          <w:w w:val="99"/>
          <w:highlight w:val="none"/>
        </w:rPr>
        <w:t>；n</w:t>
      </w:r>
      <w:r>
        <w:rPr>
          <w:rFonts w:ascii="Times New Roman" w:hAnsi="Times New Roman" w:cs="Times New Roman" w:eastAsiaTheme="minorEastAsia"/>
          <w:color w:val="auto"/>
          <w:spacing w:val="-2"/>
          <w:w w:val="99"/>
          <w:highlight w:val="none"/>
          <w:vertAlign w:val="subscript"/>
        </w:rPr>
        <w:t>e</w:t>
      </w:r>
      <w:r>
        <w:rPr>
          <w:rFonts w:ascii="Times New Roman" w:hAnsi="Times New Roman" w:cs="Times New Roman" w:eastAsiaTheme="minorEastAsia"/>
          <w:color w:val="auto"/>
          <w:spacing w:val="-2"/>
          <w:w w:val="99"/>
          <w:highlight w:val="none"/>
        </w:rPr>
        <w:t>=0.</w:t>
      </w:r>
      <w:r>
        <w:rPr>
          <w:rFonts w:hint="eastAsia" w:ascii="Times New Roman" w:hAnsi="Times New Roman" w:cs="Times New Roman" w:eastAsiaTheme="minorEastAsia"/>
          <w:color w:val="auto"/>
          <w:spacing w:val="-2"/>
          <w:w w:val="99"/>
          <w:highlight w:val="none"/>
        </w:rPr>
        <w:t>3</w:t>
      </w:r>
      <w:r>
        <w:rPr>
          <w:rFonts w:ascii="Times New Roman" w:hAnsi="Times New Roman" w:cs="Times New Roman" w:eastAsiaTheme="minorEastAsia"/>
          <w:color w:val="auto"/>
          <w:spacing w:val="-2"/>
          <w:w w:val="99"/>
          <w:highlight w:val="none"/>
        </w:rPr>
        <w:t>，得出</w:t>
      </w:r>
      <w:r>
        <w:rPr>
          <w:rFonts w:hint="eastAsia" w:ascii="Times New Roman" w:hAnsi="Times New Roman" w:cs="Times New Roman" w:eastAsiaTheme="minorEastAsia"/>
          <w:color w:val="auto"/>
          <w:spacing w:val="-2"/>
          <w:w w:val="99"/>
          <w:highlight w:val="none"/>
        </w:rPr>
        <w:t>敏感区</w:t>
      </w:r>
      <w:r>
        <w:rPr>
          <w:rFonts w:ascii="Times New Roman" w:hAnsi="Times New Roman" w:cs="Times New Roman" w:eastAsiaTheme="minorEastAsia"/>
          <w:color w:val="auto"/>
          <w:spacing w:val="-2"/>
          <w:w w:val="99"/>
          <w:highlight w:val="none"/>
        </w:rPr>
        <w:t>L</w:t>
      </w:r>
      <w:r>
        <w:rPr>
          <w:rFonts w:ascii="Times New Roman" w:hAnsi="Times New Roman" w:cs="Times New Roman" w:eastAsiaTheme="minorEastAsia"/>
          <w:color w:val="auto"/>
          <w:spacing w:val="-2"/>
          <w:w w:val="99"/>
          <w:highlight w:val="none"/>
          <w:vertAlign w:val="subscript"/>
        </w:rPr>
        <w:t>1</w:t>
      </w:r>
      <w:r>
        <w:rPr>
          <w:rFonts w:ascii="Times New Roman" w:hAnsi="Times New Roman" w:cs="Times New Roman" w:eastAsiaTheme="minorEastAsia"/>
          <w:color w:val="auto"/>
          <w:spacing w:val="-2"/>
          <w:w w:val="99"/>
          <w:highlight w:val="none"/>
        </w:rPr>
        <w:t>＝2×2</w:t>
      </w:r>
      <w:r>
        <w:rPr>
          <w:rFonts w:hint="eastAsia" w:ascii="Times New Roman" w:hAnsi="Times New Roman" w:cs="Times New Roman" w:eastAsiaTheme="minorEastAsia"/>
          <w:color w:val="auto"/>
          <w:spacing w:val="-2"/>
          <w:w w:val="99"/>
          <w:highlight w:val="none"/>
        </w:rPr>
        <w:t>0</w:t>
      </w:r>
      <w:r>
        <w:rPr>
          <w:rFonts w:ascii="Times New Roman" w:hAnsi="Times New Roman" w:cs="Times New Roman" w:eastAsiaTheme="minorEastAsia"/>
          <w:color w:val="auto"/>
          <w:spacing w:val="-2"/>
          <w:w w:val="99"/>
          <w:highlight w:val="none"/>
        </w:rPr>
        <w:t>×0.</w:t>
      </w:r>
      <w:r>
        <w:rPr>
          <w:rFonts w:hint="eastAsia" w:ascii="Times New Roman" w:hAnsi="Times New Roman" w:cs="Times New Roman" w:eastAsiaTheme="minorEastAsia"/>
          <w:color w:val="auto"/>
          <w:spacing w:val="-2"/>
          <w:w w:val="99"/>
          <w:highlight w:val="none"/>
          <w:lang w:val="en-US" w:eastAsia="zh-CN"/>
        </w:rPr>
        <w:t>0</w:t>
      </w:r>
      <w:r>
        <w:rPr>
          <w:rFonts w:hint="eastAsia" w:ascii="Times New Roman" w:hAnsi="Times New Roman" w:cs="Times New Roman" w:eastAsiaTheme="minorEastAsia"/>
          <w:color w:val="auto"/>
          <w:spacing w:val="-2"/>
          <w:w w:val="99"/>
          <w:highlight w:val="none"/>
        </w:rPr>
        <w:t>23％</w:t>
      </w:r>
      <w:r>
        <w:rPr>
          <w:rFonts w:ascii="Times New Roman" w:hAnsi="Times New Roman" w:cs="Times New Roman" w:eastAsiaTheme="minorEastAsia"/>
          <w:color w:val="auto"/>
          <w:spacing w:val="-2"/>
          <w:w w:val="99"/>
          <w:highlight w:val="none"/>
        </w:rPr>
        <w:t>×3000／0.</w:t>
      </w:r>
      <w:r>
        <w:rPr>
          <w:rFonts w:hint="eastAsia" w:ascii="Times New Roman" w:hAnsi="Times New Roman" w:cs="Times New Roman" w:eastAsiaTheme="minorEastAsia"/>
          <w:color w:val="auto"/>
          <w:spacing w:val="-2"/>
          <w:w w:val="99"/>
          <w:highlight w:val="none"/>
        </w:rPr>
        <w:t>3</w:t>
      </w:r>
      <w:r>
        <w:rPr>
          <w:rFonts w:ascii="Times New Roman" w:hAnsi="Times New Roman" w:cs="Times New Roman" w:eastAsiaTheme="minorEastAsia"/>
          <w:color w:val="auto"/>
          <w:spacing w:val="-2"/>
          <w:w w:val="99"/>
          <w:highlight w:val="none"/>
        </w:rPr>
        <w:t>＝</w:t>
      </w:r>
      <w:r>
        <w:rPr>
          <w:rFonts w:hint="eastAsia" w:ascii="Times New Roman" w:hAnsi="Times New Roman" w:cs="Times New Roman" w:eastAsiaTheme="minorEastAsia"/>
          <w:color w:val="auto"/>
          <w:spacing w:val="-2"/>
          <w:w w:val="99"/>
          <w:highlight w:val="none"/>
        </w:rPr>
        <w:t>92.0</w:t>
      </w:r>
      <w:r>
        <w:rPr>
          <w:rFonts w:ascii="Times New Roman" w:hAnsi="Times New Roman" w:cs="Times New Roman" w:eastAsiaTheme="minorEastAsia"/>
          <w:color w:val="auto"/>
          <w:spacing w:val="-2"/>
          <w:w w:val="99"/>
          <w:highlight w:val="none"/>
        </w:rPr>
        <w:t>m；</w:t>
      </w:r>
      <w:r>
        <w:rPr>
          <w:rFonts w:hint="eastAsia" w:ascii="Times New Roman" w:hAnsi="Times New Roman" w:cs="Times New Roman" w:eastAsiaTheme="minorEastAsia"/>
          <w:color w:val="auto"/>
          <w:spacing w:val="-2"/>
          <w:w w:val="99"/>
          <w:highlight w:val="none"/>
        </w:rPr>
        <w:t>较</w:t>
      </w:r>
      <w:r>
        <w:rPr>
          <w:rFonts w:ascii="Times New Roman" w:hAnsi="Times New Roman" w:cs="Times New Roman" w:eastAsiaTheme="minorEastAsia"/>
          <w:color w:val="auto"/>
          <w:spacing w:val="-2"/>
          <w:w w:val="99"/>
          <w:highlight w:val="none"/>
        </w:rPr>
        <w:t>敏感区L</w:t>
      </w:r>
      <w:r>
        <w:rPr>
          <w:rFonts w:ascii="Times New Roman" w:hAnsi="Times New Roman" w:cs="Times New Roman" w:eastAsiaTheme="minorEastAsia"/>
          <w:color w:val="auto"/>
          <w:spacing w:val="-2"/>
          <w:w w:val="99"/>
          <w:highlight w:val="none"/>
          <w:vertAlign w:val="subscript"/>
        </w:rPr>
        <w:t>2</w:t>
      </w:r>
      <w:r>
        <w:rPr>
          <w:rFonts w:ascii="Times New Roman" w:hAnsi="Times New Roman" w:cs="Times New Roman" w:eastAsiaTheme="minorEastAsia"/>
          <w:color w:val="auto"/>
          <w:spacing w:val="-2"/>
          <w:w w:val="99"/>
          <w:highlight w:val="none"/>
        </w:rPr>
        <w:t>＝2×2</w:t>
      </w:r>
      <w:r>
        <w:rPr>
          <w:rFonts w:hint="eastAsia" w:ascii="Times New Roman" w:hAnsi="Times New Roman" w:cs="Times New Roman" w:eastAsiaTheme="minorEastAsia"/>
          <w:color w:val="auto"/>
          <w:spacing w:val="-2"/>
          <w:w w:val="99"/>
          <w:highlight w:val="none"/>
        </w:rPr>
        <w:t>0</w:t>
      </w:r>
      <w:r>
        <w:rPr>
          <w:rFonts w:ascii="Times New Roman" w:hAnsi="Times New Roman" w:cs="Times New Roman" w:eastAsiaTheme="minorEastAsia"/>
          <w:color w:val="auto"/>
          <w:spacing w:val="-2"/>
          <w:w w:val="99"/>
          <w:highlight w:val="none"/>
        </w:rPr>
        <w:t>×0.</w:t>
      </w:r>
      <w:r>
        <w:rPr>
          <w:rFonts w:hint="eastAsia" w:ascii="Times New Roman" w:hAnsi="Times New Roman" w:cs="Times New Roman" w:eastAsiaTheme="minorEastAsia"/>
          <w:color w:val="auto"/>
          <w:spacing w:val="-2"/>
          <w:w w:val="99"/>
          <w:highlight w:val="none"/>
          <w:lang w:val="en-US" w:eastAsia="zh-CN"/>
        </w:rPr>
        <w:t>0</w:t>
      </w:r>
      <w:r>
        <w:rPr>
          <w:rFonts w:hint="eastAsia" w:ascii="Times New Roman" w:hAnsi="Times New Roman" w:cs="Times New Roman" w:eastAsiaTheme="minorEastAsia"/>
          <w:color w:val="auto"/>
          <w:spacing w:val="-2"/>
          <w:w w:val="99"/>
          <w:highlight w:val="none"/>
        </w:rPr>
        <w:t>23％</w:t>
      </w:r>
      <w:r>
        <w:rPr>
          <w:rFonts w:ascii="Times New Roman" w:hAnsi="Times New Roman" w:cs="Times New Roman" w:eastAsiaTheme="minorEastAsia"/>
          <w:color w:val="auto"/>
          <w:spacing w:val="-2"/>
          <w:w w:val="99"/>
          <w:highlight w:val="none"/>
        </w:rPr>
        <w:t>×3000／0.</w:t>
      </w:r>
      <w:r>
        <w:rPr>
          <w:rFonts w:hint="eastAsia" w:ascii="Times New Roman" w:hAnsi="Times New Roman" w:cs="Times New Roman" w:eastAsiaTheme="minorEastAsia"/>
          <w:color w:val="auto"/>
          <w:spacing w:val="-2"/>
          <w:w w:val="99"/>
          <w:highlight w:val="none"/>
        </w:rPr>
        <w:t>3</w:t>
      </w:r>
      <w:r>
        <w:rPr>
          <w:rFonts w:ascii="Times New Roman" w:hAnsi="Times New Roman" w:cs="Times New Roman" w:eastAsiaTheme="minorEastAsia"/>
          <w:color w:val="auto"/>
          <w:spacing w:val="-2"/>
          <w:w w:val="99"/>
          <w:highlight w:val="none"/>
        </w:rPr>
        <w:t>＝</w:t>
      </w:r>
      <w:r>
        <w:rPr>
          <w:rFonts w:hint="eastAsia" w:ascii="Times New Roman" w:hAnsi="Times New Roman" w:cs="Times New Roman" w:eastAsiaTheme="minorEastAsia"/>
          <w:color w:val="auto"/>
          <w:spacing w:val="-2"/>
          <w:w w:val="99"/>
          <w:highlight w:val="none"/>
        </w:rPr>
        <w:t>92.0</w:t>
      </w:r>
      <w:r>
        <w:rPr>
          <w:rFonts w:ascii="Times New Roman" w:hAnsi="Times New Roman" w:cs="Times New Roman" w:eastAsiaTheme="minorEastAsia"/>
          <w:color w:val="auto"/>
          <w:spacing w:val="-2"/>
          <w:w w:val="99"/>
          <w:highlight w:val="none"/>
        </w:rPr>
        <w:t>m；即</w:t>
      </w:r>
      <w:r>
        <w:rPr>
          <w:rFonts w:hint="eastAsia" w:ascii="Times New Roman" w:hAnsi="Times New Roman" w:cs="Times New Roman" w:eastAsiaTheme="minorEastAsia"/>
          <w:color w:val="auto"/>
          <w:spacing w:val="-2"/>
          <w:w w:val="99"/>
          <w:highlight w:val="none"/>
        </w:rPr>
        <w:t>以</w:t>
      </w:r>
      <w:r>
        <w:rPr>
          <w:rFonts w:ascii="Times New Roman" w:hAnsi="Times New Roman" w:cs="Times New Roman" w:eastAsiaTheme="minorEastAsia"/>
          <w:color w:val="auto"/>
          <w:spacing w:val="-2"/>
          <w:w w:val="99"/>
          <w:highlight w:val="none"/>
        </w:rPr>
        <w:t>水源井为中心L</w:t>
      </w:r>
      <w:r>
        <w:rPr>
          <w:rFonts w:ascii="Times New Roman" w:hAnsi="Times New Roman" w:cs="Times New Roman" w:eastAsiaTheme="minorEastAsia"/>
          <w:color w:val="auto"/>
          <w:spacing w:val="-2"/>
          <w:w w:val="99"/>
          <w:highlight w:val="none"/>
          <w:vertAlign w:val="subscript"/>
        </w:rPr>
        <w:t>1</w:t>
      </w:r>
      <w:r>
        <w:rPr>
          <w:rFonts w:ascii="Times New Roman" w:hAnsi="Times New Roman" w:cs="Times New Roman" w:eastAsiaTheme="minorEastAsia"/>
          <w:color w:val="auto"/>
          <w:spacing w:val="-2"/>
          <w:w w:val="99"/>
          <w:highlight w:val="none"/>
        </w:rPr>
        <w:t>=</w:t>
      </w:r>
      <w:r>
        <w:rPr>
          <w:rFonts w:hint="eastAsia" w:ascii="Times New Roman" w:hAnsi="Times New Roman" w:cs="Times New Roman" w:eastAsiaTheme="minorEastAsia"/>
          <w:color w:val="auto"/>
          <w:spacing w:val="-2"/>
          <w:w w:val="99"/>
          <w:highlight w:val="none"/>
        </w:rPr>
        <w:t>92</w:t>
      </w:r>
      <w:r>
        <w:rPr>
          <w:rFonts w:ascii="Times New Roman" w:hAnsi="Times New Roman" w:cs="Times New Roman" w:eastAsiaTheme="minorEastAsia"/>
          <w:color w:val="auto"/>
          <w:spacing w:val="-2"/>
          <w:w w:val="99"/>
          <w:highlight w:val="none"/>
        </w:rPr>
        <w:t>m区域内为“</w:t>
      </w:r>
      <w:r>
        <w:rPr>
          <w:rFonts w:hint="eastAsia" w:ascii="Times New Roman" w:hAnsi="Times New Roman" w:cs="Times New Roman" w:eastAsiaTheme="minorEastAsia"/>
          <w:color w:val="auto"/>
          <w:spacing w:val="-2"/>
          <w:w w:val="99"/>
          <w:highlight w:val="none"/>
        </w:rPr>
        <w:t>敏感区</w:t>
      </w:r>
      <w:r>
        <w:rPr>
          <w:rFonts w:ascii="Times New Roman" w:hAnsi="Times New Roman" w:cs="Times New Roman" w:eastAsiaTheme="minorEastAsia"/>
          <w:color w:val="auto"/>
          <w:spacing w:val="-2"/>
          <w:w w:val="99"/>
          <w:highlight w:val="none"/>
        </w:rPr>
        <w:t>”，</w:t>
      </w:r>
      <w:r>
        <w:rPr>
          <w:rFonts w:hint="eastAsia" w:ascii="Times New Roman" w:hAnsi="Times New Roman" w:cs="Times New Roman" w:eastAsiaTheme="minorEastAsia"/>
          <w:color w:val="auto"/>
          <w:spacing w:val="-2"/>
          <w:w w:val="99"/>
          <w:highlight w:val="none"/>
        </w:rPr>
        <w:t>以敏感区</w:t>
      </w:r>
      <w:r>
        <w:rPr>
          <w:rFonts w:ascii="Times New Roman" w:hAnsi="Times New Roman" w:cs="Times New Roman" w:eastAsiaTheme="minorEastAsia"/>
          <w:color w:val="auto"/>
          <w:spacing w:val="-2"/>
          <w:w w:val="99"/>
          <w:highlight w:val="none"/>
        </w:rPr>
        <w:t>边界外扩 L</w:t>
      </w:r>
      <w:r>
        <w:rPr>
          <w:rFonts w:ascii="Times New Roman" w:hAnsi="Times New Roman" w:cs="Times New Roman" w:eastAsiaTheme="minorEastAsia"/>
          <w:color w:val="auto"/>
          <w:spacing w:val="-2"/>
          <w:w w:val="99"/>
          <w:highlight w:val="none"/>
          <w:vertAlign w:val="subscript"/>
        </w:rPr>
        <w:t>2</w:t>
      </w:r>
      <w:r>
        <w:rPr>
          <w:rFonts w:ascii="Times New Roman" w:hAnsi="Times New Roman" w:cs="Times New Roman" w:eastAsiaTheme="minorEastAsia"/>
          <w:color w:val="auto"/>
          <w:spacing w:val="-2"/>
          <w:w w:val="99"/>
          <w:highlight w:val="none"/>
        </w:rPr>
        <w:t>＝</w:t>
      </w:r>
      <w:r>
        <w:rPr>
          <w:rFonts w:hint="eastAsia" w:ascii="Times New Roman" w:hAnsi="Times New Roman" w:cs="Times New Roman" w:eastAsiaTheme="minorEastAsia"/>
          <w:color w:val="auto"/>
          <w:spacing w:val="-2"/>
          <w:w w:val="99"/>
          <w:highlight w:val="none"/>
        </w:rPr>
        <w:t>92</w:t>
      </w:r>
      <w:r>
        <w:rPr>
          <w:rFonts w:ascii="Times New Roman" w:hAnsi="Times New Roman" w:cs="Times New Roman" w:eastAsiaTheme="minorEastAsia"/>
          <w:color w:val="auto"/>
          <w:spacing w:val="-2"/>
          <w:w w:val="99"/>
          <w:highlight w:val="none"/>
        </w:rPr>
        <w:t>m</w:t>
      </w:r>
      <w:r>
        <w:rPr>
          <w:rFonts w:hint="eastAsia" w:ascii="Times New Roman" w:hAnsi="Times New Roman" w:cs="Times New Roman" w:eastAsiaTheme="minorEastAsia"/>
          <w:color w:val="auto"/>
          <w:spacing w:val="-2"/>
          <w:w w:val="99"/>
          <w:highlight w:val="none"/>
        </w:rPr>
        <w:t>的</w:t>
      </w:r>
      <w:r>
        <w:rPr>
          <w:rFonts w:ascii="Times New Roman" w:hAnsi="Times New Roman" w:cs="Times New Roman" w:eastAsiaTheme="minorEastAsia"/>
          <w:color w:val="auto"/>
          <w:spacing w:val="-2"/>
          <w:w w:val="99"/>
          <w:highlight w:val="none"/>
        </w:rPr>
        <w:t>区域为</w:t>
      </w:r>
      <w:r>
        <w:rPr>
          <w:rFonts w:hint="eastAsia" w:ascii="Times New Roman" w:hAnsi="Times New Roman" w:cs="Times New Roman" w:eastAsiaTheme="minorEastAsia"/>
          <w:color w:val="auto"/>
          <w:spacing w:val="-2"/>
          <w:w w:val="99"/>
          <w:highlight w:val="none"/>
        </w:rPr>
        <w:t>“较敏感区”，较敏感区以外</w:t>
      </w:r>
      <w:r>
        <w:rPr>
          <w:rFonts w:ascii="Times New Roman" w:hAnsi="Times New Roman" w:cs="Times New Roman" w:eastAsiaTheme="minorEastAsia"/>
          <w:color w:val="auto"/>
          <w:spacing w:val="-2"/>
          <w:w w:val="99"/>
          <w:highlight w:val="none"/>
        </w:rPr>
        <w:t>的区域为不敏感区。</w:t>
      </w:r>
    </w:p>
    <w:p>
      <w:pPr>
        <w:spacing w:line="440" w:lineRule="exact"/>
        <w:ind w:firstLine="466" w:firstLineChars="200"/>
        <w:jc w:val="both"/>
        <w:rPr>
          <w:rFonts w:ascii="Times New Roman" w:hAnsi="Times New Roman" w:cs="Times New Roman" w:eastAsiaTheme="minorEastAsia"/>
          <w:color w:val="auto"/>
          <w:w w:val="99"/>
          <w:highlight w:val="none"/>
        </w:rPr>
      </w:pPr>
      <w:r>
        <w:rPr>
          <w:rFonts w:hint="eastAsia" w:ascii="Times New Roman" w:hAnsi="Times New Roman" w:cs="Times New Roman" w:eastAsiaTheme="minorEastAsia"/>
          <w:bCs/>
          <w:color w:val="auto"/>
          <w:spacing w:val="-2"/>
          <w:w w:val="99"/>
          <w:highlight w:val="none"/>
        </w:rPr>
        <w:t>根据</w:t>
      </w:r>
      <w:r>
        <w:rPr>
          <w:rFonts w:ascii="Times New Roman" w:hAnsi="Times New Roman" w:cs="Times New Roman" w:eastAsiaTheme="minorEastAsia"/>
          <w:bCs/>
          <w:color w:val="auto"/>
          <w:spacing w:val="-2"/>
          <w:w w:val="99"/>
          <w:highlight w:val="none"/>
        </w:rPr>
        <w:t>现场勘查，</w:t>
      </w:r>
      <w:r>
        <w:rPr>
          <w:rFonts w:hint="eastAsia" w:ascii="Times New Roman" w:hAnsi="Times New Roman" w:cs="Times New Roman" w:eastAsiaTheme="minorEastAsia"/>
          <w:bCs/>
          <w:color w:val="auto"/>
          <w:spacing w:val="-2"/>
          <w:w w:val="99"/>
          <w:highlight w:val="none"/>
        </w:rPr>
        <w:t>与</w:t>
      </w:r>
      <w:r>
        <w:rPr>
          <w:rFonts w:ascii="Times New Roman" w:hAnsi="Times New Roman" w:cs="Times New Roman" w:eastAsiaTheme="minorEastAsia"/>
          <w:bCs/>
          <w:color w:val="auto"/>
          <w:spacing w:val="-2"/>
          <w:w w:val="99"/>
          <w:highlight w:val="none"/>
        </w:rPr>
        <w:t>本项目最近的</w:t>
      </w:r>
      <w:r>
        <w:rPr>
          <w:rFonts w:hint="eastAsia" w:ascii="Times New Roman" w:hAnsi="Times New Roman" w:cs="Times New Roman" w:eastAsiaTheme="minorEastAsia"/>
          <w:bCs/>
          <w:color w:val="auto"/>
          <w:spacing w:val="-2"/>
          <w:w w:val="99"/>
          <w:highlight w:val="none"/>
        </w:rPr>
        <w:t>集中</w:t>
      </w:r>
      <w:r>
        <w:rPr>
          <w:rFonts w:ascii="Times New Roman" w:hAnsi="Times New Roman" w:cs="Times New Roman" w:eastAsiaTheme="minorEastAsia"/>
          <w:bCs/>
          <w:color w:val="auto"/>
          <w:spacing w:val="-2"/>
          <w:w w:val="99"/>
          <w:highlight w:val="none"/>
        </w:rPr>
        <w:t>供水井位于本项目</w:t>
      </w:r>
      <w:r>
        <w:rPr>
          <w:rFonts w:hint="eastAsia" w:ascii="Times New Roman" w:hAnsi="Times New Roman" w:cs="Times New Roman" w:eastAsiaTheme="minorEastAsia"/>
          <w:bCs/>
          <w:color w:val="auto"/>
          <w:spacing w:val="-2"/>
          <w:w w:val="99"/>
          <w:highlight w:val="none"/>
        </w:rPr>
        <w:t>拟钻井源248-130西南</w:t>
      </w:r>
      <w:r>
        <w:rPr>
          <w:rFonts w:ascii="Times New Roman" w:hAnsi="Times New Roman" w:cs="Times New Roman" w:eastAsiaTheme="minorEastAsia"/>
          <w:bCs/>
          <w:color w:val="auto"/>
          <w:spacing w:val="-2"/>
          <w:w w:val="99"/>
          <w:highlight w:val="none"/>
        </w:rPr>
        <w:t>侧</w:t>
      </w:r>
      <w:r>
        <w:rPr>
          <w:rFonts w:hint="eastAsia" w:ascii="Times New Roman" w:hAnsi="Times New Roman" w:cs="Times New Roman" w:eastAsiaTheme="minorEastAsia"/>
          <w:bCs/>
          <w:color w:val="auto"/>
          <w:spacing w:val="-2"/>
          <w:w w:val="99"/>
          <w:highlight w:val="none"/>
        </w:rPr>
        <w:t>2</w:t>
      </w:r>
      <w:r>
        <w:rPr>
          <w:rFonts w:hint="eastAsia" w:ascii="Times New Roman" w:hAnsi="Times New Roman" w:cs="Times New Roman" w:eastAsiaTheme="minorEastAsia"/>
          <w:bCs/>
          <w:color w:val="auto"/>
          <w:spacing w:val="-2"/>
          <w:w w:val="99"/>
          <w:highlight w:val="none"/>
          <w:lang w:val="en-US" w:eastAsia="zh-CN"/>
        </w:rPr>
        <w:t>34</w:t>
      </w:r>
      <w:r>
        <w:rPr>
          <w:rFonts w:ascii="Times New Roman" w:hAnsi="Times New Roman" w:cs="Times New Roman" w:eastAsiaTheme="minorEastAsia"/>
          <w:bCs/>
          <w:color w:val="auto"/>
          <w:spacing w:val="-2"/>
          <w:w w:val="99"/>
          <w:highlight w:val="none"/>
        </w:rPr>
        <w:t>m</w:t>
      </w:r>
      <w:r>
        <w:rPr>
          <w:rFonts w:hint="eastAsia" w:ascii="Times New Roman" w:hAnsi="Times New Roman" w:cs="Times New Roman" w:eastAsiaTheme="minorEastAsia"/>
          <w:bCs/>
          <w:color w:val="auto"/>
          <w:spacing w:val="-2"/>
          <w:w w:val="99"/>
          <w:highlight w:val="none"/>
        </w:rPr>
        <w:t>处，</w:t>
      </w:r>
      <w:r>
        <w:rPr>
          <w:rFonts w:hint="eastAsia" w:ascii="Times New Roman" w:hAnsi="Times New Roman" w:cs="Times New Roman" w:eastAsiaTheme="minorEastAsia"/>
          <w:color w:val="auto"/>
          <w:w w:val="99"/>
          <w:highlight w:val="none"/>
        </w:rPr>
        <w:t>拟钻井</w:t>
      </w:r>
      <w:r>
        <w:rPr>
          <w:rFonts w:ascii="Times New Roman" w:hAnsi="Times New Roman" w:cs="Times New Roman" w:eastAsiaTheme="minorEastAsia"/>
          <w:color w:val="auto"/>
          <w:w w:val="99"/>
          <w:highlight w:val="none"/>
        </w:rPr>
        <w:t>均位于</w:t>
      </w:r>
      <w:r>
        <w:rPr>
          <w:rFonts w:hint="eastAsia" w:ascii="Times New Roman" w:hAnsi="Times New Roman" w:cs="Times New Roman" w:eastAsiaTheme="minorEastAsia"/>
          <w:color w:val="auto"/>
          <w:w w:val="99"/>
          <w:highlight w:val="none"/>
        </w:rPr>
        <w:t>饮用水源井</w:t>
      </w:r>
      <w:r>
        <w:rPr>
          <w:rFonts w:ascii="Times New Roman" w:hAnsi="Times New Roman" w:cs="Times New Roman" w:eastAsiaTheme="minorEastAsia"/>
          <w:color w:val="auto"/>
          <w:w w:val="99"/>
          <w:highlight w:val="none"/>
        </w:rPr>
        <w:t>不敏感</w:t>
      </w:r>
      <w:r>
        <w:rPr>
          <w:rFonts w:hint="eastAsia" w:ascii="Times New Roman" w:hAnsi="Times New Roman" w:cs="Times New Roman" w:eastAsiaTheme="minorEastAsia"/>
          <w:color w:val="auto"/>
          <w:w w:val="99"/>
          <w:highlight w:val="none"/>
        </w:rPr>
        <w:t>区域</w:t>
      </w:r>
      <w:r>
        <w:rPr>
          <w:rFonts w:ascii="Times New Roman" w:hAnsi="Times New Roman" w:cs="Times New Roman" w:eastAsiaTheme="minorEastAsia"/>
          <w:color w:val="auto"/>
          <w:w w:val="99"/>
          <w:highlight w:val="none"/>
        </w:rPr>
        <w:t>内</w:t>
      </w:r>
      <w:r>
        <w:rPr>
          <w:rFonts w:hint="eastAsia" w:ascii="Times New Roman" w:hAnsi="Times New Roman" w:cs="Times New Roman" w:eastAsiaTheme="minorEastAsia"/>
          <w:color w:val="auto"/>
          <w:w w:val="99"/>
          <w:highlight w:val="none"/>
        </w:rPr>
        <w:t>，</w:t>
      </w:r>
      <w:r>
        <w:rPr>
          <w:rFonts w:ascii="Times New Roman" w:hAnsi="Times New Roman" w:cs="Times New Roman" w:eastAsiaTheme="minorEastAsia"/>
          <w:color w:val="auto"/>
          <w:w w:val="99"/>
          <w:highlight w:val="none"/>
        </w:rPr>
        <w:t>不在本项目</w:t>
      </w:r>
      <w:r>
        <w:rPr>
          <w:rFonts w:hint="eastAsia" w:ascii="Times New Roman" w:hAnsi="Times New Roman" w:cs="Times New Roman" w:eastAsiaTheme="minorEastAsia"/>
          <w:color w:val="auto"/>
          <w:w w:val="99"/>
          <w:highlight w:val="none"/>
        </w:rPr>
        <w:t>地下水</w:t>
      </w:r>
      <w:r>
        <w:rPr>
          <w:rFonts w:ascii="Times New Roman" w:hAnsi="Times New Roman" w:cs="Times New Roman" w:eastAsiaTheme="minorEastAsia"/>
          <w:color w:val="auto"/>
          <w:w w:val="99"/>
          <w:highlight w:val="none"/>
        </w:rPr>
        <w:t>评价</w:t>
      </w:r>
      <w:r>
        <w:rPr>
          <w:rFonts w:hint="eastAsia" w:ascii="Times New Roman" w:hAnsi="Times New Roman" w:cs="Times New Roman" w:eastAsiaTheme="minorEastAsia"/>
          <w:color w:val="auto"/>
          <w:w w:val="99"/>
          <w:highlight w:val="none"/>
        </w:rPr>
        <w:t>调查</w:t>
      </w:r>
      <w:r>
        <w:rPr>
          <w:rFonts w:ascii="Times New Roman" w:hAnsi="Times New Roman" w:cs="Times New Roman" w:eastAsiaTheme="minorEastAsia"/>
          <w:color w:val="auto"/>
          <w:w w:val="99"/>
          <w:highlight w:val="none"/>
        </w:rPr>
        <w:t>范围内</w:t>
      </w:r>
      <w:r>
        <w:rPr>
          <w:rFonts w:hint="eastAsia" w:ascii="Times New Roman" w:hAnsi="Times New Roman" w:cs="Times New Roman" w:eastAsiaTheme="minorEastAsia"/>
          <w:color w:val="auto"/>
          <w:w w:val="99"/>
          <w:highlight w:val="none"/>
        </w:rPr>
        <w:t>，</w:t>
      </w:r>
      <w:r>
        <w:rPr>
          <w:rFonts w:hint="default" w:ascii="Times New Roman" w:hAnsi="Times New Roman" w:eastAsia="宋体" w:cs="Times New Roman"/>
          <w:color w:val="auto"/>
          <w:w w:val="99"/>
          <w:highlight w:val="none"/>
          <w:lang w:val="en-US" w:eastAsia="zh-CN"/>
        </w:rPr>
        <w:t>从评价区域内村屯集中供水水源综合分析</w:t>
      </w:r>
      <w:r>
        <w:rPr>
          <w:rFonts w:hint="eastAsia"/>
          <w:color w:val="auto"/>
          <w:highlight w:val="none"/>
          <w:lang w:eastAsia="zh-CN"/>
        </w:rPr>
        <w:t>，</w:t>
      </w:r>
      <w:r>
        <w:rPr>
          <w:rFonts w:hint="default" w:ascii="Times New Roman" w:hAnsi="Times New Roman" w:eastAsia="宋体" w:cs="Times New Roman"/>
          <w:color w:val="auto"/>
          <w:w w:val="99"/>
          <w:highlight w:val="none"/>
          <w:lang w:val="en-US" w:eastAsia="zh-CN"/>
        </w:rPr>
        <w:t>项目区域地下水环境敏感特征表现为“不敏感”</w:t>
      </w:r>
      <w:r>
        <w:rPr>
          <w:rFonts w:ascii="Times New Roman" w:hAnsi="Times New Roman" w:cs="Times New Roman" w:eastAsiaTheme="minorEastAsia"/>
          <w:color w:val="auto"/>
          <w:spacing w:val="-2"/>
          <w:w w:val="99"/>
          <w:highlight w:val="none"/>
        </w:rPr>
        <w:t>。</w:t>
      </w:r>
    </w:p>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2.6.3.3评价等级判别</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建设项目地下水环境影响评价工作等级划分见</w:t>
      </w:r>
      <w:r>
        <w:rPr>
          <w:rFonts w:ascii="Times New Roman" w:hAnsi="Times New Roman" w:eastAsiaTheme="minorEastAsia"/>
          <w:bCs/>
          <w:color w:val="auto"/>
          <w:w w:val="99"/>
          <w:highlight w:val="none"/>
        </w:rPr>
        <w:t>表2.6-8</w:t>
      </w:r>
      <w:r>
        <w:rPr>
          <w:rFonts w:ascii="Times New Roman" w:hAnsi="Times New Roman" w:eastAsiaTheme="minorEastAsia"/>
          <w:snapToGrid w:val="0"/>
          <w:color w:val="auto"/>
          <w:w w:val="99"/>
          <w:highlight w:val="none"/>
        </w:rPr>
        <w:t>。</w:t>
      </w:r>
    </w:p>
    <w:p>
      <w:pPr>
        <w:pStyle w:val="109"/>
        <w:widowControl w:val="0"/>
        <w:ind w:firstLine="473"/>
        <w:rPr>
          <w:rFonts w:ascii="Times New Roman" w:hAnsi="Times New Roman" w:eastAsiaTheme="minorEastAsia"/>
          <w:b/>
          <w:bCs w:val="0"/>
          <w:snapToGrid w:val="0"/>
          <w:color w:val="auto"/>
          <w:w w:val="99"/>
          <w:highlight w:val="none"/>
        </w:rPr>
      </w:pPr>
      <w:r>
        <w:rPr>
          <w:rFonts w:ascii="Times New Roman" w:hAnsi="Times New Roman" w:eastAsiaTheme="minorEastAsia"/>
          <w:b/>
          <w:bCs w:val="0"/>
          <w:color w:val="auto"/>
          <w:w w:val="99"/>
          <w:highlight w:val="none"/>
        </w:rPr>
        <w:t>表2.6-8</w:t>
      </w:r>
      <w:r>
        <w:rPr>
          <w:rFonts w:ascii="Times New Roman" w:hAnsi="Times New Roman" w:eastAsiaTheme="minorEastAsia"/>
          <w:b/>
          <w:bCs w:val="0"/>
          <w:snapToGrid w:val="0"/>
          <w:color w:val="auto"/>
          <w:w w:val="99"/>
          <w:highlight w:val="none"/>
        </w:rPr>
        <w:t xml:space="preserve">                    评价工作等级表</w:t>
      </w:r>
    </w:p>
    <w:tbl>
      <w:tblPr>
        <w:tblStyle w:val="8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265"/>
        <w:gridCol w:w="2269"/>
        <w:gridCol w:w="2268"/>
        <w:gridCol w:w="22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4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 xml:space="preserve">       项目类别</w:t>
            </w:r>
          </w:p>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环境敏感程度</w:t>
            </w:r>
          </w:p>
        </w:tc>
        <w:tc>
          <w:tcPr>
            <w:tcW w:w="125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color w:val="auto"/>
                <w:w w:val="99"/>
                <w:sz w:val="21"/>
                <w:szCs w:val="21"/>
                <w:highlight w:val="none"/>
              </w:rPr>
              <w:t>Ⅰ</w:t>
            </w:r>
            <w:r>
              <w:rPr>
                <w:rFonts w:ascii="Times New Roman" w:hAnsi="Times New Roman" w:cs="Times New Roman" w:eastAsiaTheme="minorEastAsia"/>
                <w:color w:val="auto"/>
                <w:w w:val="99"/>
                <w:sz w:val="21"/>
                <w:szCs w:val="21"/>
                <w:highlight w:val="none"/>
              </w:rPr>
              <w:t>类项目</w:t>
            </w:r>
          </w:p>
        </w:tc>
        <w:tc>
          <w:tcPr>
            <w:tcW w:w="12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color w:val="auto"/>
                <w:w w:val="99"/>
                <w:sz w:val="21"/>
                <w:szCs w:val="21"/>
                <w:highlight w:val="none"/>
              </w:rPr>
              <w:t>Ⅱ</w:t>
            </w:r>
            <w:r>
              <w:rPr>
                <w:rFonts w:ascii="Times New Roman" w:hAnsi="Times New Roman" w:cs="Times New Roman" w:eastAsiaTheme="minorEastAsia"/>
                <w:color w:val="auto"/>
                <w:w w:val="99"/>
                <w:sz w:val="21"/>
                <w:szCs w:val="21"/>
                <w:highlight w:val="none"/>
              </w:rPr>
              <w:t>类项目</w:t>
            </w:r>
          </w:p>
        </w:tc>
        <w:tc>
          <w:tcPr>
            <w:tcW w:w="12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color w:val="auto"/>
                <w:w w:val="99"/>
                <w:sz w:val="21"/>
                <w:szCs w:val="21"/>
                <w:highlight w:val="none"/>
              </w:rPr>
              <w:t>Ⅲ</w:t>
            </w:r>
            <w:r>
              <w:rPr>
                <w:rFonts w:ascii="Times New Roman" w:hAnsi="Times New Roman" w:cs="Times New Roman" w:eastAsiaTheme="minorEastAsia"/>
                <w:color w:val="auto"/>
                <w:w w:val="99"/>
                <w:sz w:val="21"/>
                <w:szCs w:val="21"/>
                <w:highlight w:val="none"/>
              </w:rPr>
              <w:t>类项目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4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敏感</w:t>
            </w:r>
          </w:p>
        </w:tc>
        <w:tc>
          <w:tcPr>
            <w:tcW w:w="125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w:t>
            </w:r>
          </w:p>
        </w:tc>
        <w:tc>
          <w:tcPr>
            <w:tcW w:w="12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w:t>
            </w:r>
          </w:p>
        </w:tc>
        <w:tc>
          <w:tcPr>
            <w:tcW w:w="12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4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较敏感</w:t>
            </w:r>
          </w:p>
        </w:tc>
        <w:tc>
          <w:tcPr>
            <w:tcW w:w="125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w:t>
            </w:r>
          </w:p>
        </w:tc>
        <w:tc>
          <w:tcPr>
            <w:tcW w:w="12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w:t>
            </w:r>
          </w:p>
        </w:tc>
        <w:tc>
          <w:tcPr>
            <w:tcW w:w="12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4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不敏感</w:t>
            </w:r>
          </w:p>
        </w:tc>
        <w:tc>
          <w:tcPr>
            <w:tcW w:w="125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shd w:val="pct10" w:color="auto" w:fill="FFFFFF"/>
              </w:rPr>
              <w:t>二</w:t>
            </w:r>
          </w:p>
        </w:tc>
        <w:tc>
          <w:tcPr>
            <w:tcW w:w="12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w:t>
            </w:r>
          </w:p>
        </w:tc>
        <w:tc>
          <w:tcPr>
            <w:tcW w:w="12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w:t>
            </w:r>
          </w:p>
        </w:tc>
      </w:tr>
    </w:tbl>
    <w:p>
      <w:pPr>
        <w:widowControl w:val="0"/>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综上所述，建设项目地下水环境敏感程度为“不敏感”， 本项目为</w:t>
      </w:r>
      <w:r>
        <w:rPr>
          <w:rFonts w:ascii="Times New Roman" w:hAnsi="Times New Roman" w:cs="Times New Roman" w:eastAsiaTheme="minorEastAsia"/>
          <w:color w:val="auto"/>
          <w:w w:val="99"/>
          <w:highlight w:val="none"/>
        </w:rPr>
        <w:fldChar w:fldCharType="begin"/>
      </w:r>
      <w:r>
        <w:rPr>
          <w:rFonts w:ascii="Times New Roman" w:hAnsi="Times New Roman" w:cs="Times New Roman" w:eastAsiaTheme="minorEastAsia"/>
          <w:color w:val="auto"/>
          <w:w w:val="99"/>
          <w:highlight w:val="none"/>
        </w:rPr>
        <w:instrText xml:space="preserve"> = 1 \* ROMAN </w:instrText>
      </w:r>
      <w:r>
        <w:rPr>
          <w:rFonts w:ascii="Times New Roman" w:hAnsi="Times New Roman" w:cs="Times New Roman" w:eastAsiaTheme="minorEastAsia"/>
          <w:color w:val="auto"/>
          <w:w w:val="99"/>
          <w:highlight w:val="none"/>
        </w:rPr>
        <w:fldChar w:fldCharType="separate"/>
      </w:r>
      <w:r>
        <w:rPr>
          <w:rFonts w:ascii="Times New Roman" w:hAnsi="Times New Roman" w:cs="Times New Roman" w:eastAsiaTheme="minorEastAsia"/>
          <w:color w:val="auto"/>
          <w:w w:val="99"/>
          <w:highlight w:val="none"/>
        </w:rPr>
        <w:t>I</w:t>
      </w:r>
      <w:r>
        <w:rPr>
          <w:rFonts w:ascii="Times New Roman" w:hAnsi="Times New Roman" w:cs="Times New Roman" w:eastAsiaTheme="minorEastAsia"/>
          <w:color w:val="auto"/>
          <w:w w:val="99"/>
          <w:highlight w:val="none"/>
        </w:rPr>
        <w:fldChar w:fldCharType="end"/>
      </w:r>
      <w:r>
        <w:rPr>
          <w:rFonts w:ascii="Times New Roman" w:hAnsi="Times New Roman" w:cs="Times New Roman" w:eastAsiaTheme="minorEastAsia"/>
          <w:color w:val="auto"/>
          <w:w w:val="99"/>
          <w:highlight w:val="none"/>
        </w:rPr>
        <w:t>类项目，依据评价工作等级划分原则，地下水评价工作等级为“二级”。</w:t>
      </w:r>
    </w:p>
    <w:p>
      <w:pPr>
        <w:pStyle w:val="7"/>
        <w:keepNext w:val="0"/>
        <w:keepLines w:val="0"/>
        <w:widowControl w:val="0"/>
        <w:rPr>
          <w:b/>
          <w:color w:val="auto"/>
          <w:w w:val="99"/>
          <w:kern w:val="2"/>
          <w:sz w:val="24"/>
          <w:szCs w:val="24"/>
          <w:highlight w:val="none"/>
        </w:rPr>
      </w:pPr>
      <w:bookmarkStart w:id="248" w:name="_Toc71371923"/>
      <w:bookmarkStart w:id="249" w:name="_Toc57976653"/>
      <w:bookmarkStart w:id="250" w:name="_Toc17898143"/>
      <w:bookmarkStart w:id="251" w:name="_Toc57707898"/>
      <w:bookmarkStart w:id="252" w:name="_Toc77667267"/>
      <w:bookmarkStart w:id="253" w:name="_Toc57203228"/>
      <w:bookmarkStart w:id="254" w:name="_Toc12541"/>
      <w:bookmarkStart w:id="255" w:name="_Toc61597200"/>
      <w:bookmarkStart w:id="256" w:name="_Toc80105123"/>
      <w:bookmarkStart w:id="257" w:name="_Toc69690790"/>
      <w:bookmarkStart w:id="258" w:name="_Toc74812294"/>
      <w:bookmarkStart w:id="259" w:name="_Toc67523572"/>
      <w:r>
        <w:rPr>
          <w:b/>
          <w:color w:val="auto"/>
          <w:w w:val="99"/>
          <w:kern w:val="2"/>
          <w:sz w:val="24"/>
          <w:szCs w:val="24"/>
          <w:highlight w:val="none"/>
        </w:rPr>
        <w:t>2.6.4声环境</w:t>
      </w:r>
      <w:bookmarkEnd w:id="248"/>
      <w:bookmarkEnd w:id="249"/>
      <w:bookmarkEnd w:id="250"/>
      <w:bookmarkEnd w:id="251"/>
      <w:bookmarkEnd w:id="252"/>
      <w:bookmarkEnd w:id="253"/>
      <w:bookmarkEnd w:id="254"/>
      <w:bookmarkEnd w:id="255"/>
      <w:bookmarkEnd w:id="256"/>
      <w:bookmarkEnd w:id="257"/>
      <w:bookmarkEnd w:id="258"/>
      <w:bookmarkEnd w:id="259"/>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根据《环境影响评价技术导则 声环境》（HJ2.4-2009）中规定的声环境影响评价工作等级划分的基本原则：建设项目所处的声环境功能区为GB3096规定的1类、2类地区，或建设项目建设前后评价范围内敏感目标噪声级增高量达3dB(A)~5dB(A)（含5dB(A)），或受噪声影响人口数量增加较多时，评价等级为二级评价。</w:t>
      </w:r>
    </w:p>
    <w:p>
      <w:pPr>
        <w:pStyle w:val="109"/>
        <w:widowControl w:val="0"/>
        <w:ind w:firstLine="473"/>
        <w:rPr>
          <w:rFonts w:ascii="Times New Roman" w:hAnsi="Times New Roman" w:eastAsiaTheme="minorEastAsia"/>
          <w:snapToGrid w:val="0"/>
          <w:color w:val="auto"/>
          <w:w w:val="99"/>
          <w:highlight w:val="none"/>
        </w:rPr>
      </w:pPr>
      <w:r>
        <w:rPr>
          <w:rFonts w:hint="default" w:ascii="Times New Roman" w:hAnsi="Times New Roman" w:eastAsiaTheme="minorEastAsia"/>
          <w:snapToGrid w:val="0"/>
          <w:color w:val="auto"/>
          <w:w w:val="99"/>
          <w:highlight w:val="none"/>
        </w:rPr>
        <w:t>本工程</w:t>
      </w:r>
      <w:r>
        <w:rPr>
          <w:rFonts w:hint="eastAsia" w:ascii="Times New Roman" w:hAnsi="Times New Roman" w:eastAsiaTheme="minorEastAsia"/>
          <w:snapToGrid w:val="0"/>
          <w:color w:val="auto"/>
          <w:w w:val="99"/>
          <w:highlight w:val="none"/>
        </w:rPr>
        <w:t>钻井施工区</w:t>
      </w:r>
      <w:r>
        <w:rPr>
          <w:rFonts w:hint="default" w:ascii="Times New Roman" w:hAnsi="Times New Roman" w:eastAsiaTheme="minorEastAsia"/>
          <w:snapToGrid w:val="0"/>
          <w:color w:val="auto"/>
          <w:w w:val="99"/>
          <w:highlight w:val="none"/>
        </w:rPr>
        <w:t>为</w:t>
      </w:r>
      <w:r>
        <w:rPr>
          <w:rFonts w:hint="eastAsia" w:ascii="Times New Roman" w:hAnsi="Times New Roman" w:eastAsiaTheme="minorEastAsia"/>
          <w:snapToGrid w:val="0"/>
          <w:color w:val="auto"/>
          <w:w w:val="99"/>
          <w:highlight w:val="none"/>
        </w:rPr>
        <w:t>2类</w:t>
      </w:r>
      <w:r>
        <w:rPr>
          <w:rFonts w:hint="default" w:ascii="Times New Roman" w:hAnsi="Times New Roman" w:eastAsiaTheme="minorEastAsia"/>
          <w:snapToGrid w:val="0"/>
          <w:color w:val="auto"/>
          <w:w w:val="99"/>
          <w:highlight w:val="none"/>
        </w:rPr>
        <w:t>声功能区，周边村屯为</w:t>
      </w:r>
      <w:r>
        <w:rPr>
          <w:rFonts w:hint="eastAsia" w:ascii="Times New Roman" w:hAnsi="Times New Roman" w:eastAsiaTheme="minorEastAsia"/>
          <w:snapToGrid w:val="0"/>
          <w:color w:val="auto"/>
          <w:w w:val="99"/>
          <w:highlight w:val="none"/>
        </w:rPr>
        <w:t>1类</w:t>
      </w:r>
      <w:r>
        <w:rPr>
          <w:rFonts w:hint="default" w:ascii="Times New Roman" w:hAnsi="Times New Roman" w:eastAsiaTheme="minorEastAsia"/>
          <w:snapToGrid w:val="0"/>
          <w:color w:val="auto"/>
          <w:w w:val="99"/>
          <w:highlight w:val="none"/>
        </w:rPr>
        <w:t>功能区</w:t>
      </w: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主要噪声源分为施工期</w:t>
      </w:r>
      <w:r>
        <w:rPr>
          <w:rFonts w:ascii="Times New Roman" w:hAnsi="Times New Roman" w:eastAsiaTheme="minorEastAsia"/>
          <w:color w:val="auto"/>
          <w:w w:val="99"/>
          <w:highlight w:val="none"/>
        </w:rPr>
        <w:t>重型车辆沿途产生的噪声、钻机振动产生的噪声</w:t>
      </w:r>
      <w:r>
        <w:rPr>
          <w:rFonts w:ascii="Times New Roman" w:hAnsi="Times New Roman" w:eastAsiaTheme="minorEastAsia"/>
          <w:snapToGrid w:val="0"/>
          <w:color w:val="auto"/>
          <w:w w:val="99"/>
          <w:highlight w:val="none"/>
        </w:rPr>
        <w:t>，噪声源的种类及数量较少，施工期较短，周围居民受影响人口数量增加不多，敏感目标噪声级增高量在 5dB(A)以下，因此，声环境评价等级为二级。</w:t>
      </w:r>
      <w:bookmarkStart w:id="260" w:name="_Toc57707899"/>
      <w:bookmarkStart w:id="261" w:name="_Toc57976654"/>
      <w:bookmarkStart w:id="262" w:name="_Toc5605"/>
      <w:bookmarkStart w:id="263" w:name="_Toc57203229"/>
      <w:bookmarkStart w:id="264" w:name="_Toc17898144"/>
    </w:p>
    <w:p>
      <w:pPr>
        <w:pStyle w:val="7"/>
        <w:keepNext w:val="0"/>
        <w:keepLines w:val="0"/>
        <w:widowControl w:val="0"/>
        <w:rPr>
          <w:b/>
          <w:color w:val="auto"/>
          <w:w w:val="99"/>
          <w:kern w:val="2"/>
          <w:sz w:val="24"/>
          <w:szCs w:val="24"/>
          <w:highlight w:val="none"/>
        </w:rPr>
      </w:pPr>
      <w:bookmarkStart w:id="265" w:name="_Toc71371924"/>
      <w:bookmarkStart w:id="266" w:name="_Toc74812295"/>
      <w:bookmarkStart w:id="267" w:name="_Toc61597201"/>
      <w:bookmarkStart w:id="268" w:name="_Toc77667268"/>
      <w:bookmarkStart w:id="269" w:name="_Toc67523573"/>
      <w:bookmarkStart w:id="270" w:name="_Toc69690791"/>
      <w:bookmarkStart w:id="271" w:name="_Toc80105124"/>
      <w:r>
        <w:rPr>
          <w:b/>
          <w:color w:val="auto"/>
          <w:w w:val="99"/>
          <w:kern w:val="2"/>
          <w:sz w:val="24"/>
          <w:szCs w:val="24"/>
          <w:highlight w:val="none"/>
        </w:rPr>
        <w:t>2.6.5生态环境</w:t>
      </w:r>
      <w:bookmarkEnd w:id="260"/>
      <w:bookmarkEnd w:id="261"/>
      <w:bookmarkEnd w:id="262"/>
      <w:bookmarkEnd w:id="263"/>
      <w:bookmarkEnd w:id="264"/>
      <w:bookmarkEnd w:id="265"/>
      <w:bookmarkEnd w:id="266"/>
      <w:bookmarkEnd w:id="267"/>
      <w:bookmarkEnd w:id="268"/>
      <w:bookmarkEnd w:id="269"/>
      <w:bookmarkEnd w:id="270"/>
      <w:bookmarkEnd w:id="271"/>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本项目永久及临时占地约为</w:t>
      </w:r>
      <w:r>
        <w:rPr>
          <w:rFonts w:hint="eastAsia" w:ascii="Times New Roman" w:hAnsi="Times New Roman" w:eastAsiaTheme="minorEastAsia"/>
          <w:snapToGrid w:val="0"/>
          <w:color w:val="auto"/>
          <w:w w:val="99"/>
          <w:highlight w:val="none"/>
          <w:lang w:val="en-US" w:eastAsia="zh-CN"/>
        </w:rPr>
        <w:t>29.04</w:t>
      </w:r>
      <w:r>
        <w:rPr>
          <w:rFonts w:ascii="Times New Roman" w:hAnsi="Times New Roman" w:eastAsiaTheme="minorEastAsia"/>
          <w:snapToGrid w:val="0"/>
          <w:color w:val="auto"/>
          <w:w w:val="99"/>
          <w:highlight w:val="none"/>
        </w:rPr>
        <w:t>hm</w:t>
      </w:r>
      <w:r>
        <w:rPr>
          <w:rFonts w:ascii="Times New Roman" w:hAnsi="Times New Roman" w:eastAsiaTheme="minorEastAsia"/>
          <w:snapToGrid w:val="0"/>
          <w:color w:val="auto"/>
          <w:w w:val="99"/>
          <w:highlight w:val="none"/>
          <w:vertAlign w:val="superscript"/>
        </w:rPr>
        <w:t>2</w:t>
      </w:r>
      <w:r>
        <w:rPr>
          <w:rFonts w:ascii="Times New Roman" w:hAnsi="Times New Roman" w:eastAsiaTheme="minorEastAsia"/>
          <w:snapToGrid w:val="0"/>
          <w:color w:val="auto"/>
          <w:w w:val="99"/>
          <w:highlight w:val="none"/>
        </w:rPr>
        <w:t>（</w:t>
      </w:r>
      <w:r>
        <w:rPr>
          <w:rFonts w:hint="eastAsia" w:ascii="Times New Roman" w:hAnsi="Times New Roman" w:eastAsiaTheme="minorEastAsia"/>
          <w:snapToGrid w:val="0"/>
          <w:color w:val="auto"/>
          <w:w w:val="99"/>
          <w:highlight w:val="none"/>
          <w:lang w:val="en-US" w:eastAsia="zh-CN"/>
        </w:rPr>
        <w:t>0.2904</w:t>
      </w:r>
      <w:r>
        <w:rPr>
          <w:rFonts w:ascii="Times New Roman" w:hAnsi="Times New Roman" w:eastAsiaTheme="minorEastAsia"/>
          <w:snapToGrid w:val="0"/>
          <w:color w:val="auto"/>
          <w:w w:val="99"/>
          <w:highlight w:val="none"/>
        </w:rPr>
        <w:t>km</w:t>
      </w:r>
      <w:r>
        <w:rPr>
          <w:rFonts w:ascii="Times New Roman" w:hAnsi="Times New Roman" w:eastAsiaTheme="minorEastAsia"/>
          <w:snapToGrid w:val="0"/>
          <w:color w:val="auto"/>
          <w:w w:val="99"/>
          <w:highlight w:val="none"/>
          <w:vertAlign w:val="superscript"/>
        </w:rPr>
        <w:t>2</w:t>
      </w:r>
      <w:r>
        <w:rPr>
          <w:rFonts w:ascii="Times New Roman" w:hAnsi="Times New Roman" w:eastAsiaTheme="minorEastAsia"/>
          <w:snapToGrid w:val="0"/>
          <w:color w:val="auto"/>
          <w:w w:val="99"/>
          <w:highlight w:val="none"/>
        </w:rPr>
        <w:t>），本项目占地为耕地（</w:t>
      </w:r>
      <w:r>
        <w:rPr>
          <w:rFonts w:hint="eastAsia" w:ascii="Times New Roman" w:hAnsi="Times New Roman" w:eastAsiaTheme="minorEastAsia"/>
          <w:snapToGrid w:val="0"/>
          <w:color w:val="auto"/>
          <w:w w:val="99"/>
          <w:highlight w:val="none"/>
        </w:rPr>
        <w:t>非基本农田、</w:t>
      </w:r>
      <w:r>
        <w:rPr>
          <w:rFonts w:hint="eastAsia" w:ascii="Times New Roman" w:hAnsi="Times New Roman" w:eastAsiaTheme="minorEastAsia"/>
          <w:snapToGrid w:val="0"/>
          <w:color w:val="auto"/>
          <w:w w:val="99"/>
          <w:highlight w:val="none"/>
          <w:lang w:eastAsia="zh-CN"/>
        </w:rPr>
        <w:t>少量永久基本农田</w:t>
      </w:r>
      <w:r>
        <w:rPr>
          <w:rFonts w:ascii="Times New Roman" w:hAnsi="Times New Roman" w:eastAsiaTheme="minorEastAsia"/>
          <w:snapToGrid w:val="0"/>
          <w:color w:val="auto"/>
          <w:w w:val="99"/>
          <w:highlight w:val="none"/>
        </w:rPr>
        <w:t>），占地范围内没有自然保护区、世界文化和自然遗产地、风景名胜区、森林公园、地质公园、重要湿地、珍稀濒危野生动植物天然集中分布区等，因此根据《环境影响评价技术导则 生态影响》（HJ19-2011）规定，该区域不属于特殊生态敏感区和重要生态敏感区，属于一般区域。且其占地面积</w:t>
      </w:r>
      <w:r>
        <w:rPr>
          <w:rFonts w:hint="eastAsia" w:ascii="Times New Roman" w:hAnsi="Times New Roman" w:eastAsiaTheme="minorEastAsia"/>
          <w:snapToGrid w:val="0"/>
          <w:color w:val="auto"/>
          <w:w w:val="99"/>
          <w:highlight w:val="none"/>
          <w:lang w:val="en-US" w:eastAsia="zh-CN"/>
        </w:rPr>
        <w:t>0.</w:t>
      </w:r>
      <w:r>
        <w:rPr>
          <w:rFonts w:hint="eastAsia" w:ascii="Times New Roman" w:hAnsi="Times New Roman" w:eastAsiaTheme="minorEastAsia"/>
          <w:snapToGrid w:val="0"/>
          <w:color w:val="auto"/>
          <w:w w:val="99"/>
          <w:highlight w:val="none"/>
        </w:rPr>
        <w:t>2</w:t>
      </w:r>
      <w:r>
        <w:rPr>
          <w:rFonts w:hint="eastAsia" w:ascii="Times New Roman" w:hAnsi="Times New Roman" w:eastAsiaTheme="minorEastAsia"/>
          <w:snapToGrid w:val="0"/>
          <w:color w:val="auto"/>
          <w:w w:val="99"/>
          <w:highlight w:val="none"/>
          <w:lang w:val="en-US" w:eastAsia="zh-CN"/>
        </w:rPr>
        <w:t>904</w:t>
      </w:r>
      <w:r>
        <w:rPr>
          <w:rFonts w:ascii="Times New Roman" w:hAnsi="Times New Roman" w:eastAsiaTheme="minorEastAsia"/>
          <w:snapToGrid w:val="0"/>
          <w:color w:val="auto"/>
          <w:w w:val="99"/>
          <w:highlight w:val="none"/>
        </w:rPr>
        <w:t>km</w:t>
      </w:r>
      <w:r>
        <w:rPr>
          <w:rFonts w:ascii="Times New Roman" w:hAnsi="Times New Roman" w:eastAsiaTheme="minorEastAsia"/>
          <w:snapToGrid w:val="0"/>
          <w:color w:val="auto"/>
          <w:w w:val="99"/>
          <w:highlight w:val="none"/>
          <w:vertAlign w:val="superscript"/>
        </w:rPr>
        <w:t>2</w:t>
      </w:r>
      <w:r>
        <w:rPr>
          <w:rFonts w:ascii="Times New Roman" w:hAnsi="Times New Roman" w:eastAsiaTheme="minorEastAsia"/>
          <w:snapToGrid w:val="0"/>
          <w:color w:val="auto"/>
          <w:w w:val="99"/>
          <w:highlight w:val="none"/>
        </w:rPr>
        <w:t>≤2km</w:t>
      </w:r>
      <w:r>
        <w:rPr>
          <w:rFonts w:ascii="Times New Roman" w:hAnsi="Times New Roman" w:eastAsiaTheme="minorEastAsia"/>
          <w:snapToGrid w:val="0"/>
          <w:color w:val="auto"/>
          <w:w w:val="99"/>
          <w:highlight w:val="none"/>
          <w:vertAlign w:val="superscript"/>
        </w:rPr>
        <w:t>2</w:t>
      </w:r>
      <w:r>
        <w:rPr>
          <w:rFonts w:ascii="Times New Roman" w:hAnsi="Times New Roman" w:eastAsiaTheme="minorEastAsia"/>
          <w:snapToGrid w:val="0"/>
          <w:color w:val="auto"/>
          <w:w w:val="99"/>
          <w:highlight w:val="none"/>
        </w:rPr>
        <w:t>，因此生</w:t>
      </w:r>
      <w:r>
        <w:rPr>
          <w:rFonts w:ascii="Times New Roman" w:hAnsi="Times New Roman" w:eastAsiaTheme="minorEastAsia"/>
          <w:snapToGrid w:val="0"/>
          <w:color w:val="auto"/>
          <w:w w:val="99"/>
          <w:highlight w:val="none"/>
          <w:lang w:val="zh-CN"/>
        </w:rPr>
        <w:t>态</w:t>
      </w:r>
      <w:r>
        <w:rPr>
          <w:rFonts w:ascii="Times New Roman" w:hAnsi="Times New Roman" w:eastAsiaTheme="minorEastAsia"/>
          <w:snapToGrid w:val="0"/>
          <w:color w:val="auto"/>
          <w:w w:val="99"/>
          <w:highlight w:val="none"/>
        </w:rPr>
        <w:t>评价等级定为三级。</w:t>
      </w:r>
    </w:p>
    <w:p>
      <w:pPr>
        <w:pStyle w:val="109"/>
        <w:widowControl w:val="0"/>
        <w:ind w:firstLine="473"/>
        <w:rPr>
          <w:rFonts w:ascii="Times New Roman" w:hAnsi="Times New Roman" w:eastAsiaTheme="minorEastAsia"/>
          <w:b/>
          <w:bCs/>
          <w:snapToGrid w:val="0"/>
          <w:color w:val="auto"/>
          <w:w w:val="99"/>
          <w:highlight w:val="none"/>
        </w:rPr>
      </w:pPr>
      <w:r>
        <w:rPr>
          <w:rFonts w:ascii="Times New Roman" w:hAnsi="Times New Roman" w:eastAsiaTheme="minorEastAsia"/>
          <w:b/>
          <w:bCs/>
          <w:snapToGrid w:val="0"/>
          <w:color w:val="auto"/>
          <w:w w:val="99"/>
          <w:highlight w:val="none"/>
        </w:rPr>
        <w:t>表2.6-9               生态影响评价工作等级划分表</w:t>
      </w:r>
    </w:p>
    <w:tbl>
      <w:tblPr>
        <w:tblStyle w:val="8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42"/>
        <w:gridCol w:w="2507"/>
        <w:gridCol w:w="2797"/>
        <w:gridCol w:w="22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8" w:type="pct"/>
            <w:vMerge w:val="restar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影响区域生态敏感性</w:t>
            </w:r>
          </w:p>
        </w:tc>
        <w:tc>
          <w:tcPr>
            <w:tcW w:w="4062" w:type="pct"/>
            <w:gridSpan w:val="3"/>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工程占地（含水域）范围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8" w:type="pct"/>
            <w:vMerge w:val="continue"/>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p>
        </w:tc>
        <w:tc>
          <w:tcPr>
            <w:tcW w:w="1350"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vertAlign w:val="superscript"/>
              </w:rPr>
            </w:pPr>
            <w:r>
              <w:rPr>
                <w:rFonts w:ascii="Times New Roman" w:hAnsi="Times New Roman" w:eastAsiaTheme="minorEastAsia"/>
                <w:snapToGrid w:val="0"/>
                <w:color w:val="auto"/>
                <w:w w:val="99"/>
                <w:kern w:val="0"/>
                <w:szCs w:val="24"/>
                <w:highlight w:val="none"/>
              </w:rPr>
              <w:t>面积≥20km</w:t>
            </w:r>
            <w:r>
              <w:rPr>
                <w:rFonts w:ascii="Times New Roman" w:hAnsi="Times New Roman" w:eastAsiaTheme="minorEastAsia"/>
                <w:snapToGrid w:val="0"/>
                <w:color w:val="auto"/>
                <w:w w:val="99"/>
                <w:kern w:val="0"/>
                <w:szCs w:val="24"/>
                <w:highlight w:val="none"/>
                <w:vertAlign w:val="superscript"/>
              </w:rPr>
              <w:t>2</w:t>
            </w:r>
          </w:p>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或长度≥100km</w:t>
            </w:r>
          </w:p>
        </w:tc>
        <w:tc>
          <w:tcPr>
            <w:tcW w:w="1506"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面积2km</w:t>
            </w:r>
            <w:r>
              <w:rPr>
                <w:rFonts w:ascii="Times New Roman" w:hAnsi="Times New Roman" w:eastAsiaTheme="minorEastAsia"/>
                <w:snapToGrid w:val="0"/>
                <w:color w:val="auto"/>
                <w:w w:val="99"/>
                <w:kern w:val="0"/>
                <w:szCs w:val="24"/>
                <w:highlight w:val="none"/>
                <w:vertAlign w:val="superscript"/>
              </w:rPr>
              <w:t>2</w:t>
            </w:r>
            <w:r>
              <w:rPr>
                <w:rFonts w:ascii="Times New Roman" w:hAnsi="Times New Roman" w:eastAsiaTheme="minorEastAsia"/>
                <w:snapToGrid w:val="0"/>
                <w:color w:val="auto"/>
                <w:w w:val="99"/>
                <w:kern w:val="0"/>
                <w:szCs w:val="24"/>
                <w:highlight w:val="none"/>
              </w:rPr>
              <w:t>～20km</w:t>
            </w:r>
            <w:r>
              <w:rPr>
                <w:rFonts w:ascii="Times New Roman" w:hAnsi="Times New Roman" w:eastAsiaTheme="minorEastAsia"/>
                <w:snapToGrid w:val="0"/>
                <w:color w:val="auto"/>
                <w:w w:val="99"/>
                <w:kern w:val="0"/>
                <w:szCs w:val="24"/>
                <w:highlight w:val="none"/>
                <w:vertAlign w:val="superscript"/>
              </w:rPr>
              <w:t>2</w:t>
            </w:r>
          </w:p>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长度50km～100km</w:t>
            </w:r>
          </w:p>
        </w:tc>
        <w:tc>
          <w:tcPr>
            <w:tcW w:w="1206"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面积≤2km</w:t>
            </w:r>
            <w:r>
              <w:rPr>
                <w:rFonts w:ascii="Times New Roman" w:hAnsi="Times New Roman" w:eastAsiaTheme="minorEastAsia"/>
                <w:snapToGrid w:val="0"/>
                <w:color w:val="auto"/>
                <w:w w:val="99"/>
                <w:kern w:val="0"/>
                <w:szCs w:val="24"/>
                <w:highlight w:val="none"/>
                <w:vertAlign w:val="superscript"/>
              </w:rPr>
              <w:t>2</w:t>
            </w:r>
          </w:p>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或长度≤50km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8"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特殊生态敏感区</w:t>
            </w:r>
          </w:p>
        </w:tc>
        <w:tc>
          <w:tcPr>
            <w:tcW w:w="1350"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一级</w:t>
            </w:r>
          </w:p>
        </w:tc>
        <w:tc>
          <w:tcPr>
            <w:tcW w:w="1506"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一级</w:t>
            </w:r>
          </w:p>
        </w:tc>
        <w:tc>
          <w:tcPr>
            <w:tcW w:w="1206"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一级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8"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重要生态敏感区</w:t>
            </w:r>
          </w:p>
        </w:tc>
        <w:tc>
          <w:tcPr>
            <w:tcW w:w="1350"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一级</w:t>
            </w:r>
          </w:p>
        </w:tc>
        <w:tc>
          <w:tcPr>
            <w:tcW w:w="1506"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二级</w:t>
            </w:r>
          </w:p>
        </w:tc>
        <w:tc>
          <w:tcPr>
            <w:tcW w:w="1206"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8"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一般区域</w:t>
            </w:r>
          </w:p>
        </w:tc>
        <w:tc>
          <w:tcPr>
            <w:tcW w:w="1350"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二级</w:t>
            </w:r>
          </w:p>
        </w:tc>
        <w:tc>
          <w:tcPr>
            <w:tcW w:w="1506"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三级</w:t>
            </w:r>
          </w:p>
        </w:tc>
        <w:tc>
          <w:tcPr>
            <w:tcW w:w="1206"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三级</w:t>
            </w:r>
          </w:p>
        </w:tc>
      </w:tr>
    </w:tbl>
    <w:p>
      <w:pPr>
        <w:pStyle w:val="7"/>
        <w:keepNext w:val="0"/>
        <w:keepLines w:val="0"/>
        <w:widowControl w:val="0"/>
        <w:rPr>
          <w:b/>
          <w:color w:val="auto"/>
          <w:w w:val="99"/>
          <w:kern w:val="2"/>
          <w:sz w:val="24"/>
          <w:szCs w:val="24"/>
          <w:highlight w:val="none"/>
        </w:rPr>
      </w:pPr>
      <w:bookmarkStart w:id="272" w:name="_Toc69690792"/>
      <w:bookmarkStart w:id="273" w:name="_Toc61597202"/>
      <w:bookmarkStart w:id="274" w:name="_Toc67523574"/>
      <w:bookmarkStart w:id="275" w:name="_Toc57203230"/>
      <w:bookmarkStart w:id="276" w:name="_Toc71371925"/>
      <w:bookmarkStart w:id="277" w:name="_Toc74812296"/>
      <w:bookmarkStart w:id="278" w:name="_Toc17898145"/>
      <w:bookmarkStart w:id="279" w:name="_Toc80105125"/>
      <w:bookmarkStart w:id="280" w:name="_Toc77667269"/>
      <w:bookmarkStart w:id="281" w:name="_Toc57976655"/>
      <w:bookmarkStart w:id="282" w:name="_Toc57707900"/>
      <w:r>
        <w:rPr>
          <w:b/>
          <w:color w:val="auto"/>
          <w:w w:val="99"/>
          <w:kern w:val="2"/>
          <w:sz w:val="24"/>
          <w:szCs w:val="24"/>
          <w:highlight w:val="none"/>
        </w:rPr>
        <w:t>2.6.6土壤环境</w:t>
      </w:r>
      <w:bookmarkEnd w:id="272"/>
      <w:bookmarkEnd w:id="273"/>
      <w:bookmarkEnd w:id="274"/>
      <w:bookmarkEnd w:id="275"/>
      <w:bookmarkEnd w:id="276"/>
      <w:bookmarkEnd w:id="277"/>
      <w:bookmarkEnd w:id="278"/>
      <w:bookmarkEnd w:id="279"/>
      <w:bookmarkEnd w:id="280"/>
      <w:bookmarkEnd w:id="281"/>
      <w:bookmarkEnd w:id="282"/>
    </w:p>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2.6.6.1土壤环境影响评价项目类别</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根据《环境影响评价技术导则 土壤环境（试行）》（HJ964-2018）附录A，建设项目属于“金属矿、石油、页岩油开采”项目，土壤环境影响评价项目类别为</w:t>
      </w:r>
      <w:r>
        <w:rPr>
          <w:rFonts w:ascii="Times New Roman" w:hAnsi="Times New Roman" w:eastAsiaTheme="minorEastAsia"/>
          <w:snapToGrid w:val="0"/>
          <w:color w:val="auto"/>
          <w:w w:val="99"/>
          <w:highlight w:val="none"/>
        </w:rPr>
        <w:fldChar w:fldCharType="begin"/>
      </w:r>
      <w:r>
        <w:rPr>
          <w:rFonts w:ascii="Times New Roman" w:hAnsi="Times New Roman" w:eastAsiaTheme="minorEastAsia"/>
          <w:snapToGrid w:val="0"/>
          <w:color w:val="auto"/>
          <w:w w:val="99"/>
          <w:highlight w:val="none"/>
        </w:rPr>
        <w:instrText xml:space="preserve"> = 1 \* ROMAN </w:instrText>
      </w:r>
      <w:r>
        <w:rPr>
          <w:rFonts w:ascii="Times New Roman" w:hAnsi="Times New Roman" w:eastAsiaTheme="minorEastAsia"/>
          <w:snapToGrid w:val="0"/>
          <w:color w:val="auto"/>
          <w:w w:val="99"/>
          <w:highlight w:val="none"/>
        </w:rPr>
        <w:fldChar w:fldCharType="separate"/>
      </w:r>
      <w:r>
        <w:rPr>
          <w:rFonts w:ascii="Times New Roman" w:hAnsi="Times New Roman" w:eastAsiaTheme="minorEastAsia"/>
          <w:snapToGrid w:val="0"/>
          <w:color w:val="auto"/>
          <w:w w:val="99"/>
          <w:highlight w:val="none"/>
        </w:rPr>
        <w:t>I</w:t>
      </w:r>
      <w:r>
        <w:rPr>
          <w:rFonts w:ascii="Times New Roman" w:hAnsi="Times New Roman" w:eastAsiaTheme="minorEastAsia"/>
          <w:snapToGrid w:val="0"/>
          <w:color w:val="auto"/>
          <w:w w:val="99"/>
          <w:highlight w:val="none"/>
        </w:rPr>
        <w:fldChar w:fldCharType="end"/>
      </w:r>
      <w:r>
        <w:rPr>
          <w:rFonts w:ascii="Times New Roman" w:hAnsi="Times New Roman" w:eastAsiaTheme="minorEastAsia"/>
          <w:snapToGrid w:val="0"/>
          <w:color w:val="auto"/>
          <w:w w:val="99"/>
          <w:highlight w:val="none"/>
        </w:rPr>
        <w:t>类。</w:t>
      </w:r>
    </w:p>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2.6.6.2环境影响类型和途径</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color w:val="auto"/>
          <w:w w:val="99"/>
          <w:kern w:val="21"/>
          <w:highlight w:val="none"/>
          <w:lang w:val="zh-CN" w:bidi="zh-CN"/>
        </w:rPr>
        <w:t>土壤是环境的重要组成要素，与水、大气、生物等环境要素之间相互作用、相互影响。该项目油田开发过程中对土壤的影响主要表现在事故状态下钢制泥浆槽泄漏、柴油储罐泄漏、套管破损对土壤环境产生的污染，可对土壤的化学、生物性质等方面造成影响。本项目土壤环境影响类型与影响途径见表</w:t>
      </w:r>
      <w:r>
        <w:rPr>
          <w:rFonts w:ascii="Times New Roman" w:hAnsi="Times New Roman" w:eastAsiaTheme="minorEastAsia"/>
          <w:color w:val="auto"/>
          <w:w w:val="99"/>
          <w:kern w:val="21"/>
          <w:highlight w:val="none"/>
          <w:lang w:bidi="zh-CN"/>
        </w:rPr>
        <w:t>2.6-10</w:t>
      </w:r>
      <w:r>
        <w:rPr>
          <w:rFonts w:ascii="Times New Roman" w:hAnsi="Times New Roman" w:eastAsiaTheme="minorEastAsia"/>
          <w:color w:val="auto"/>
          <w:w w:val="99"/>
          <w:kern w:val="21"/>
          <w:highlight w:val="none"/>
          <w:lang w:val="zh-CN" w:bidi="zh-CN"/>
        </w:rPr>
        <w:t>。</w:t>
      </w:r>
    </w:p>
    <w:p>
      <w:pPr>
        <w:widowControl w:val="0"/>
        <w:spacing w:line="500" w:lineRule="exact"/>
        <w:ind w:firstLine="476" w:firstLineChars="200"/>
        <w:rPr>
          <w:rFonts w:ascii="Times New Roman" w:hAnsi="Times New Roman" w:cs="Times New Roman" w:eastAsiaTheme="minorEastAsia"/>
          <w:b/>
          <w:bCs/>
          <w:color w:val="auto"/>
          <w:w w:val="99"/>
          <w:kern w:val="21"/>
          <w:highlight w:val="none"/>
          <w:lang w:val="zh-CN" w:bidi="zh-CN"/>
        </w:rPr>
      </w:pPr>
      <w:r>
        <w:rPr>
          <w:rFonts w:ascii="Times New Roman" w:hAnsi="Times New Roman" w:cs="Times New Roman" w:eastAsiaTheme="minorEastAsia"/>
          <w:b/>
          <w:bCs/>
          <w:color w:val="auto"/>
          <w:w w:val="99"/>
          <w:kern w:val="21"/>
          <w:highlight w:val="none"/>
          <w:lang w:val="zh-CN" w:bidi="zh-CN"/>
        </w:rPr>
        <w:t>表</w:t>
      </w:r>
      <w:r>
        <w:rPr>
          <w:rFonts w:ascii="Times New Roman" w:hAnsi="Times New Roman" w:cs="Times New Roman" w:eastAsiaTheme="minorEastAsia"/>
          <w:b/>
          <w:bCs/>
          <w:color w:val="auto"/>
          <w:w w:val="99"/>
          <w:kern w:val="21"/>
          <w:highlight w:val="none"/>
          <w:lang w:bidi="zh-CN"/>
        </w:rPr>
        <w:t xml:space="preserve">2.6-10              </w:t>
      </w:r>
      <w:r>
        <w:rPr>
          <w:rFonts w:ascii="Times New Roman" w:hAnsi="Times New Roman" w:cs="Times New Roman" w:eastAsiaTheme="minorEastAsia"/>
          <w:b/>
          <w:bCs/>
          <w:color w:val="auto"/>
          <w:w w:val="99"/>
          <w:kern w:val="21"/>
          <w:highlight w:val="none"/>
          <w:lang w:val="zh-CN" w:bidi="zh-CN"/>
        </w:rPr>
        <w:t>本项目土壤影响类型与影响途径表</w:t>
      </w:r>
    </w:p>
    <w:tbl>
      <w:tblPr>
        <w:tblStyle w:val="8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59"/>
        <w:gridCol w:w="1870"/>
        <w:gridCol w:w="1907"/>
        <w:gridCol w:w="1878"/>
        <w:gridCol w:w="12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pct"/>
            <w:vMerge w:val="restar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不同时段</w:t>
            </w:r>
          </w:p>
        </w:tc>
        <w:tc>
          <w:tcPr>
            <w:tcW w:w="3730" w:type="pct"/>
            <w:gridSpan w:val="4"/>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污染影响型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pct"/>
            <w:vMerge w:val="continue"/>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p>
        </w:tc>
        <w:tc>
          <w:tcPr>
            <w:tcW w:w="1007"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大气沉降</w:t>
            </w:r>
          </w:p>
        </w:tc>
        <w:tc>
          <w:tcPr>
            <w:tcW w:w="1027"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地面漫流</w:t>
            </w:r>
          </w:p>
        </w:tc>
        <w:tc>
          <w:tcPr>
            <w:tcW w:w="1011"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垂直入渗</w:t>
            </w:r>
          </w:p>
        </w:tc>
        <w:tc>
          <w:tcPr>
            <w:tcW w:w="685"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建设期</w:t>
            </w:r>
          </w:p>
        </w:tc>
        <w:tc>
          <w:tcPr>
            <w:tcW w:w="1007"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w:t>
            </w:r>
          </w:p>
        </w:tc>
        <w:tc>
          <w:tcPr>
            <w:tcW w:w="1027"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2"/>
                <w:szCs w:val="21"/>
                <w:highlight w:val="none"/>
              </w:rPr>
              <w:t>/</w:t>
            </w:r>
          </w:p>
        </w:tc>
        <w:tc>
          <w:tcPr>
            <w:tcW w:w="1011"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w:t>
            </w:r>
          </w:p>
        </w:tc>
        <w:tc>
          <w:tcPr>
            <w:tcW w:w="685"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2"/>
                <w:szCs w:val="21"/>
                <w:highlight w:val="none"/>
              </w:rPr>
            </w:pPr>
            <w:r>
              <w:rPr>
                <w:rFonts w:ascii="Times New Roman" w:hAnsi="Times New Roman" w:cs="Times New Roman" w:eastAsiaTheme="minorEastAsia"/>
                <w:color w:val="auto"/>
                <w:w w:val="99"/>
                <w:kern w:val="24"/>
                <w:sz w:val="22"/>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运营期</w:t>
            </w:r>
          </w:p>
        </w:tc>
        <w:tc>
          <w:tcPr>
            <w:tcW w:w="1007"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2"/>
                <w:szCs w:val="21"/>
                <w:highlight w:val="none"/>
              </w:rPr>
            </w:pPr>
            <w:r>
              <w:rPr>
                <w:rFonts w:ascii="Times New Roman" w:hAnsi="Times New Roman" w:cs="Times New Roman" w:eastAsiaTheme="minorEastAsia"/>
                <w:color w:val="auto"/>
                <w:w w:val="99"/>
                <w:kern w:val="24"/>
                <w:sz w:val="22"/>
                <w:szCs w:val="21"/>
                <w:highlight w:val="none"/>
              </w:rPr>
              <w:t>/</w:t>
            </w:r>
          </w:p>
        </w:tc>
        <w:tc>
          <w:tcPr>
            <w:tcW w:w="1027"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2"/>
                <w:szCs w:val="21"/>
                <w:highlight w:val="none"/>
              </w:rPr>
            </w:pPr>
            <w:r>
              <w:rPr>
                <w:rFonts w:ascii="Times New Roman" w:hAnsi="Times New Roman" w:cs="Times New Roman" w:eastAsiaTheme="minorEastAsia"/>
                <w:color w:val="auto"/>
                <w:w w:val="99"/>
                <w:kern w:val="24"/>
                <w:sz w:val="22"/>
                <w:szCs w:val="21"/>
                <w:highlight w:val="none"/>
              </w:rPr>
              <w:t>/</w:t>
            </w:r>
          </w:p>
        </w:tc>
        <w:tc>
          <w:tcPr>
            <w:tcW w:w="1011"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sz w:val="21"/>
                <w:highlight w:val="none"/>
              </w:rPr>
              <w:t>/</w:t>
            </w:r>
          </w:p>
        </w:tc>
        <w:tc>
          <w:tcPr>
            <w:tcW w:w="685"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2"/>
                <w:szCs w:val="21"/>
                <w:highlight w:val="none"/>
              </w:rPr>
            </w:pPr>
            <w:r>
              <w:rPr>
                <w:rFonts w:ascii="Times New Roman" w:hAnsi="Times New Roman" w:cs="Times New Roman" w:eastAsiaTheme="minorEastAsia"/>
                <w:color w:val="auto"/>
                <w:w w:val="99"/>
                <w:kern w:val="24"/>
                <w:sz w:val="22"/>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服务期满后</w:t>
            </w:r>
          </w:p>
        </w:tc>
        <w:tc>
          <w:tcPr>
            <w:tcW w:w="1007"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2"/>
                <w:szCs w:val="21"/>
                <w:highlight w:val="none"/>
              </w:rPr>
            </w:pPr>
            <w:r>
              <w:rPr>
                <w:rFonts w:ascii="Times New Roman" w:hAnsi="Times New Roman" w:cs="Times New Roman" w:eastAsiaTheme="minorEastAsia"/>
                <w:color w:val="auto"/>
                <w:w w:val="99"/>
                <w:kern w:val="24"/>
                <w:sz w:val="22"/>
                <w:szCs w:val="21"/>
                <w:highlight w:val="none"/>
              </w:rPr>
              <w:t>/</w:t>
            </w:r>
          </w:p>
        </w:tc>
        <w:tc>
          <w:tcPr>
            <w:tcW w:w="1027"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2"/>
                <w:szCs w:val="21"/>
                <w:highlight w:val="none"/>
              </w:rPr>
            </w:pPr>
            <w:r>
              <w:rPr>
                <w:rFonts w:ascii="Times New Roman" w:hAnsi="Times New Roman" w:cs="Times New Roman" w:eastAsiaTheme="minorEastAsia"/>
                <w:color w:val="auto"/>
                <w:w w:val="99"/>
                <w:kern w:val="24"/>
                <w:sz w:val="22"/>
                <w:szCs w:val="21"/>
                <w:highlight w:val="none"/>
              </w:rPr>
              <w:t>/</w:t>
            </w:r>
          </w:p>
        </w:tc>
        <w:tc>
          <w:tcPr>
            <w:tcW w:w="1011"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w:t>
            </w:r>
          </w:p>
        </w:tc>
        <w:tc>
          <w:tcPr>
            <w:tcW w:w="685"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2"/>
                <w:szCs w:val="21"/>
                <w:highlight w:val="none"/>
              </w:rPr>
            </w:pPr>
            <w:r>
              <w:rPr>
                <w:rFonts w:ascii="Times New Roman" w:hAnsi="Times New Roman" w:cs="Times New Roman" w:eastAsiaTheme="minorEastAsia"/>
                <w:color w:val="auto"/>
                <w:w w:val="99"/>
                <w:kern w:val="24"/>
                <w:sz w:val="22"/>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vAlign w:val="center"/>
          </w:tcPr>
          <w:p>
            <w:pPr>
              <w:adjustRightInd w:val="0"/>
              <w:snapToGrid w:val="0"/>
              <w:spacing w:line="360" w:lineRule="exact"/>
              <w:jc w:val="center"/>
              <w:rPr>
                <w:rFonts w:ascii="Times New Roman" w:hAnsi="Times New Roman" w:cs="Times New Roman" w:eastAsiaTheme="minorEastAsia"/>
                <w:color w:val="auto"/>
                <w:w w:val="99"/>
                <w:kern w:val="24"/>
                <w:sz w:val="22"/>
                <w:szCs w:val="21"/>
                <w:highlight w:val="none"/>
              </w:rPr>
            </w:pPr>
            <w:r>
              <w:rPr>
                <w:rFonts w:ascii="Times New Roman" w:hAnsi="Times New Roman" w:cs="Times New Roman" w:eastAsiaTheme="minorEastAsia"/>
                <w:color w:val="auto"/>
                <w:w w:val="99"/>
                <w:kern w:val="24"/>
                <w:sz w:val="21"/>
                <w:szCs w:val="21"/>
                <w:highlight w:val="none"/>
              </w:rPr>
              <w:t>注：在可能产生的土壤影响类型处打“√”，列表未涵盖的可自行设计。</w:t>
            </w:r>
          </w:p>
        </w:tc>
      </w:tr>
    </w:tbl>
    <w:p>
      <w:pPr>
        <w:widowControl w:val="0"/>
        <w:spacing w:line="500" w:lineRule="exact"/>
        <w:ind w:firstLine="474" w:firstLineChars="200"/>
        <w:rPr>
          <w:rFonts w:ascii="Times New Roman" w:hAnsi="Times New Roman" w:cs="Times New Roman" w:eastAsiaTheme="minorEastAsia"/>
          <w:color w:val="auto"/>
          <w:w w:val="99"/>
          <w:kern w:val="21"/>
          <w:highlight w:val="none"/>
          <w:lang w:val="zh-CN" w:bidi="zh-CN"/>
        </w:rPr>
      </w:pPr>
      <w:r>
        <w:rPr>
          <w:rFonts w:ascii="Times New Roman" w:hAnsi="Times New Roman" w:cs="Times New Roman" w:eastAsiaTheme="minorEastAsia"/>
          <w:snapToGrid w:val="0"/>
          <w:color w:val="auto"/>
          <w:w w:val="99"/>
          <w:highlight w:val="none"/>
        </w:rPr>
        <w:t>根据上表可知，本项目属于污染型影响建设项目，污染型影响型土壤环境影响源及影响因子识别见</w:t>
      </w:r>
      <w:r>
        <w:rPr>
          <w:rFonts w:ascii="Times New Roman" w:hAnsi="Times New Roman" w:cs="Times New Roman" w:eastAsiaTheme="minorEastAsia"/>
          <w:color w:val="auto"/>
          <w:w w:val="99"/>
          <w:kern w:val="21"/>
          <w:highlight w:val="none"/>
          <w:lang w:val="zh-CN" w:bidi="zh-CN"/>
        </w:rPr>
        <w:t>表</w:t>
      </w:r>
      <w:r>
        <w:rPr>
          <w:rFonts w:ascii="Times New Roman" w:hAnsi="Times New Roman" w:cs="Times New Roman" w:eastAsiaTheme="minorEastAsia"/>
          <w:color w:val="auto"/>
          <w:w w:val="99"/>
          <w:kern w:val="21"/>
          <w:highlight w:val="none"/>
          <w:lang w:bidi="zh-CN"/>
        </w:rPr>
        <w:t>2.6-11</w:t>
      </w:r>
      <w:r>
        <w:rPr>
          <w:rFonts w:ascii="Times New Roman" w:hAnsi="Times New Roman" w:cs="Times New Roman" w:eastAsiaTheme="minorEastAsia"/>
          <w:color w:val="auto"/>
          <w:w w:val="99"/>
          <w:kern w:val="21"/>
          <w:highlight w:val="none"/>
          <w:lang w:val="zh-CN" w:bidi="zh-CN"/>
        </w:rPr>
        <w:t>。</w:t>
      </w:r>
    </w:p>
    <w:p>
      <w:pPr>
        <w:widowControl w:val="0"/>
        <w:spacing w:line="500" w:lineRule="exact"/>
        <w:ind w:firstLine="476" w:firstLineChars="200"/>
        <w:rPr>
          <w:rFonts w:ascii="Times New Roman" w:hAnsi="Times New Roman" w:cs="Times New Roman" w:eastAsiaTheme="minorEastAsia"/>
          <w:b/>
          <w:bCs/>
          <w:color w:val="auto"/>
          <w:w w:val="99"/>
          <w:kern w:val="21"/>
          <w:highlight w:val="none"/>
          <w:lang w:val="zh-CN" w:bidi="zh-CN"/>
        </w:rPr>
      </w:pPr>
      <w:r>
        <w:rPr>
          <w:rFonts w:ascii="Times New Roman" w:hAnsi="Times New Roman" w:cs="Times New Roman" w:eastAsiaTheme="minorEastAsia"/>
          <w:b/>
          <w:bCs/>
          <w:color w:val="auto"/>
          <w:w w:val="99"/>
          <w:kern w:val="21"/>
          <w:highlight w:val="none"/>
          <w:lang w:val="zh-CN" w:bidi="zh-CN"/>
        </w:rPr>
        <w:t>表</w:t>
      </w:r>
      <w:r>
        <w:rPr>
          <w:rFonts w:ascii="Times New Roman" w:hAnsi="Times New Roman" w:cs="Times New Roman" w:eastAsiaTheme="minorEastAsia"/>
          <w:b/>
          <w:bCs/>
          <w:color w:val="auto"/>
          <w:w w:val="99"/>
          <w:kern w:val="21"/>
          <w:highlight w:val="none"/>
          <w:lang w:bidi="zh-CN"/>
        </w:rPr>
        <w:t xml:space="preserve">2.6-11     </w:t>
      </w:r>
      <w:r>
        <w:rPr>
          <w:rFonts w:ascii="Times New Roman" w:hAnsi="Times New Roman" w:cs="Times New Roman" w:eastAsiaTheme="minorEastAsia"/>
          <w:b/>
          <w:bCs/>
          <w:color w:val="auto"/>
          <w:w w:val="99"/>
          <w:kern w:val="21"/>
          <w:highlight w:val="none"/>
          <w:lang w:val="zh-CN" w:bidi="zh-CN"/>
        </w:rPr>
        <w:t>污染影响型本项目土壤环境影响源及影响因子识别表</w:t>
      </w:r>
    </w:p>
    <w:tbl>
      <w:tblPr>
        <w:tblStyle w:val="8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36"/>
        <w:gridCol w:w="1747"/>
        <w:gridCol w:w="1117"/>
        <w:gridCol w:w="2035"/>
        <w:gridCol w:w="1117"/>
        <w:gridCol w:w="22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6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ascii="Times New Roman" w:hAnsi="Times New Roman" w:cs="Times New Roman" w:eastAsiaTheme="minorEastAsia"/>
                <w:color w:val="auto"/>
                <w:w w:val="99"/>
                <w:sz w:val="21"/>
                <w:szCs w:val="21"/>
                <w:highlight w:val="none"/>
                <w:lang w:val="zh-CN"/>
              </w:rPr>
              <w:t>污染源</w:t>
            </w:r>
          </w:p>
        </w:tc>
        <w:tc>
          <w:tcPr>
            <w:tcW w:w="963"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ascii="Times New Roman" w:hAnsi="Times New Roman" w:cs="Times New Roman" w:eastAsiaTheme="minorEastAsia"/>
                <w:color w:val="auto"/>
                <w:w w:val="99"/>
                <w:sz w:val="21"/>
                <w:szCs w:val="21"/>
                <w:highlight w:val="none"/>
                <w:lang w:val="zh-CN"/>
              </w:rPr>
              <w:t>工艺流程/节点</w:t>
            </w:r>
          </w:p>
        </w:tc>
        <w:tc>
          <w:tcPr>
            <w:tcW w:w="61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ascii="Times New Roman" w:hAnsi="Times New Roman" w:cs="Times New Roman" w:eastAsiaTheme="minorEastAsia"/>
                <w:color w:val="auto"/>
                <w:w w:val="99"/>
                <w:sz w:val="21"/>
                <w:szCs w:val="21"/>
                <w:highlight w:val="none"/>
                <w:lang w:val="zh-CN"/>
              </w:rPr>
              <w:t>污染途径</w:t>
            </w:r>
          </w:p>
        </w:tc>
        <w:tc>
          <w:tcPr>
            <w:tcW w:w="112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ascii="Times New Roman" w:hAnsi="Times New Roman" w:cs="Times New Roman" w:eastAsiaTheme="minorEastAsia"/>
                <w:color w:val="auto"/>
                <w:w w:val="99"/>
                <w:sz w:val="21"/>
                <w:szCs w:val="21"/>
                <w:highlight w:val="none"/>
                <w:lang w:val="zh-CN"/>
              </w:rPr>
              <w:t>全部污染物指标</w:t>
            </w:r>
            <w:r>
              <w:rPr>
                <w:rFonts w:ascii="Times New Roman" w:hAnsi="Times New Roman" w:cs="Times New Roman" w:eastAsiaTheme="minorEastAsia"/>
                <w:color w:val="auto"/>
                <w:spacing w:val="-46"/>
                <w:w w:val="99"/>
                <w:sz w:val="21"/>
                <w:szCs w:val="21"/>
                <w:highlight w:val="none"/>
                <w:lang w:val="zh-CN"/>
              </w:rPr>
              <w:t xml:space="preserve"> </w:t>
            </w:r>
            <w:r>
              <w:rPr>
                <w:rFonts w:ascii="Times New Roman" w:hAnsi="Times New Roman" w:cs="Times New Roman" w:eastAsiaTheme="minorEastAsia"/>
                <w:color w:val="auto"/>
                <w:w w:val="99"/>
                <w:position w:val="6"/>
                <w:sz w:val="21"/>
                <w:szCs w:val="21"/>
                <w:highlight w:val="none"/>
                <w:vertAlign w:val="superscript"/>
                <w:lang w:val="zh-CN"/>
              </w:rPr>
              <w:t>a</w:t>
            </w:r>
          </w:p>
        </w:tc>
        <w:tc>
          <w:tcPr>
            <w:tcW w:w="61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ascii="Times New Roman" w:hAnsi="Times New Roman" w:cs="Times New Roman" w:eastAsiaTheme="minorEastAsia"/>
                <w:color w:val="auto"/>
                <w:w w:val="99"/>
                <w:sz w:val="21"/>
                <w:szCs w:val="21"/>
                <w:highlight w:val="none"/>
                <w:lang w:val="zh-CN"/>
              </w:rPr>
              <w:t>特征因子</w:t>
            </w:r>
          </w:p>
        </w:tc>
        <w:tc>
          <w:tcPr>
            <w:tcW w:w="122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ascii="Times New Roman" w:hAnsi="Times New Roman" w:cs="Times New Roman" w:eastAsiaTheme="minorEastAsia"/>
                <w:color w:val="auto"/>
                <w:w w:val="99"/>
                <w:sz w:val="21"/>
                <w:szCs w:val="21"/>
                <w:highlight w:val="none"/>
                <w:lang w:val="zh-CN"/>
              </w:rPr>
              <w:t>备注</w:t>
            </w:r>
            <w:r>
              <w:rPr>
                <w:rFonts w:ascii="Times New Roman" w:hAnsi="Times New Roman" w:cs="Times New Roman" w:eastAsiaTheme="minorEastAsia"/>
                <w:color w:val="auto"/>
                <w:spacing w:val="-43"/>
                <w:w w:val="99"/>
                <w:sz w:val="21"/>
                <w:szCs w:val="21"/>
                <w:highlight w:val="none"/>
                <w:lang w:val="zh-CN"/>
              </w:rPr>
              <w:t xml:space="preserve"> </w:t>
            </w:r>
            <w:r>
              <w:rPr>
                <w:rFonts w:ascii="Times New Roman" w:hAnsi="Times New Roman" w:cs="Times New Roman" w:eastAsiaTheme="minorEastAsia"/>
                <w:color w:val="auto"/>
                <w:w w:val="99"/>
                <w:position w:val="6"/>
                <w:sz w:val="21"/>
                <w:szCs w:val="21"/>
                <w:highlight w:val="none"/>
                <w:vertAlign w:val="superscript"/>
                <w:lang w:val="zh-CN"/>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6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ascii="Times New Roman" w:hAnsi="Times New Roman" w:cs="Times New Roman" w:eastAsiaTheme="minorEastAsia"/>
                <w:color w:val="auto"/>
                <w:w w:val="99"/>
                <w:sz w:val="21"/>
                <w:szCs w:val="21"/>
                <w:highlight w:val="none"/>
                <w:lang w:val="zh-CN"/>
              </w:rPr>
              <w:t>井场</w:t>
            </w:r>
          </w:p>
        </w:tc>
        <w:tc>
          <w:tcPr>
            <w:tcW w:w="963" w:type="pct"/>
            <w:vAlign w:val="center"/>
          </w:tcPr>
          <w:p>
            <w:pPr>
              <w:adjustRightInd w:val="0"/>
              <w:snapToGrid w:val="0"/>
              <w:spacing w:line="360" w:lineRule="exact"/>
              <w:jc w:val="center"/>
              <w:rPr>
                <w:rFonts w:hint="eastAsia" w:ascii="Times New Roman" w:hAnsi="Times New Roman" w:eastAsia="宋体" w:cs="Times New Roman"/>
                <w:color w:val="auto"/>
                <w:w w:val="99"/>
                <w:sz w:val="21"/>
                <w:szCs w:val="21"/>
                <w:highlight w:val="none"/>
                <w:lang w:val="zh-CN" w:eastAsia="zh-CN"/>
              </w:rPr>
            </w:pPr>
            <w:r>
              <w:rPr>
                <w:rFonts w:hint="eastAsia" w:ascii="Times New Roman" w:hAnsi="Times New Roman" w:cs="Times New Roman" w:eastAsiaTheme="minorEastAsia"/>
                <w:color w:val="auto"/>
                <w:w w:val="99"/>
                <w:sz w:val="21"/>
                <w:szCs w:val="21"/>
                <w:highlight w:val="none"/>
                <w:lang w:val="zh-CN" w:eastAsia="zh-CN"/>
              </w:rPr>
              <w:t>钻井工程</w:t>
            </w:r>
          </w:p>
        </w:tc>
        <w:tc>
          <w:tcPr>
            <w:tcW w:w="61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ascii="Times New Roman" w:hAnsi="Times New Roman" w:cs="Times New Roman" w:eastAsiaTheme="minorEastAsia"/>
                <w:color w:val="auto"/>
                <w:w w:val="99"/>
                <w:sz w:val="21"/>
                <w:szCs w:val="21"/>
                <w:highlight w:val="none"/>
                <w:lang w:val="zh-CN"/>
              </w:rPr>
              <w:t>垂直入渗</w:t>
            </w:r>
          </w:p>
        </w:tc>
        <w:tc>
          <w:tcPr>
            <w:tcW w:w="112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石油烃</w:t>
            </w:r>
          </w:p>
        </w:tc>
        <w:tc>
          <w:tcPr>
            <w:tcW w:w="61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石油烃</w:t>
            </w:r>
          </w:p>
        </w:tc>
        <w:tc>
          <w:tcPr>
            <w:tcW w:w="122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ascii="Times New Roman" w:hAnsi="Times New Roman" w:cs="Times New Roman" w:eastAsiaTheme="minorEastAsia"/>
                <w:color w:val="auto"/>
                <w:w w:val="99"/>
                <w:sz w:val="21"/>
                <w:szCs w:val="21"/>
                <w:highlight w:val="none"/>
                <w:lang w:val="zh-CN"/>
              </w:rPr>
              <w:t>钻井风险事故泄漏</w:t>
            </w:r>
          </w:p>
        </w:tc>
      </w:tr>
    </w:tbl>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2.6.6.3污染影响型敏感程度分级</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根据建设项目所在地周边的土壤环境敏感程度分级判据见表</w:t>
      </w:r>
      <w:r>
        <w:rPr>
          <w:rFonts w:ascii="Times New Roman" w:hAnsi="Times New Roman" w:eastAsiaTheme="minorEastAsia"/>
          <w:color w:val="auto"/>
          <w:w w:val="99"/>
          <w:kern w:val="21"/>
          <w:highlight w:val="none"/>
          <w:lang w:bidi="zh-CN"/>
        </w:rPr>
        <w:t>2.6-12</w:t>
      </w:r>
      <w:r>
        <w:rPr>
          <w:rFonts w:ascii="Times New Roman" w:hAnsi="Times New Roman" w:eastAsiaTheme="minorEastAsia"/>
          <w:snapToGrid w:val="0"/>
          <w:color w:val="auto"/>
          <w:w w:val="99"/>
          <w:highlight w:val="none"/>
        </w:rPr>
        <w:t>。</w:t>
      </w:r>
    </w:p>
    <w:p>
      <w:pPr>
        <w:pStyle w:val="109"/>
        <w:widowControl w:val="0"/>
        <w:ind w:firstLine="473"/>
        <w:rPr>
          <w:rFonts w:ascii="Times New Roman" w:hAnsi="Times New Roman" w:eastAsiaTheme="minorEastAsia"/>
          <w:b/>
          <w:bCs/>
          <w:snapToGrid w:val="0"/>
          <w:color w:val="auto"/>
          <w:w w:val="99"/>
          <w:highlight w:val="none"/>
        </w:rPr>
      </w:pPr>
      <w:r>
        <w:rPr>
          <w:rFonts w:ascii="Times New Roman" w:hAnsi="Times New Roman" w:eastAsiaTheme="minorEastAsia"/>
          <w:b/>
          <w:bCs/>
          <w:color w:val="auto"/>
          <w:w w:val="99"/>
          <w:kern w:val="21"/>
          <w:highlight w:val="none"/>
          <w:lang w:val="zh-CN" w:bidi="zh-CN"/>
        </w:rPr>
        <w:t>表</w:t>
      </w:r>
      <w:r>
        <w:rPr>
          <w:rFonts w:ascii="Times New Roman" w:hAnsi="Times New Roman" w:eastAsiaTheme="minorEastAsia"/>
          <w:b/>
          <w:bCs/>
          <w:color w:val="auto"/>
          <w:w w:val="99"/>
          <w:kern w:val="21"/>
          <w:highlight w:val="none"/>
          <w:lang w:bidi="zh-CN"/>
        </w:rPr>
        <w:t>2.6-12</w:t>
      </w:r>
      <w:r>
        <w:rPr>
          <w:rFonts w:ascii="Times New Roman" w:hAnsi="Times New Roman" w:eastAsiaTheme="minorEastAsia"/>
          <w:b/>
          <w:bCs/>
          <w:snapToGrid w:val="0"/>
          <w:color w:val="auto"/>
          <w:w w:val="99"/>
          <w:highlight w:val="none"/>
        </w:rPr>
        <w:t xml:space="preserve">               污染影响型敏感程度分级表</w:t>
      </w:r>
    </w:p>
    <w:tbl>
      <w:tblPr>
        <w:tblStyle w:val="8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2"/>
        <w:gridCol w:w="76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敏感程度</w:t>
            </w:r>
          </w:p>
        </w:tc>
        <w:tc>
          <w:tcPr>
            <w:tcW w:w="414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判别依据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敏感</w:t>
            </w:r>
          </w:p>
        </w:tc>
        <w:tc>
          <w:tcPr>
            <w:tcW w:w="4143" w:type="pct"/>
            <w:vAlign w:val="center"/>
          </w:tcPr>
          <w:p>
            <w:pPr>
              <w:spacing w:line="360" w:lineRule="exact"/>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建设项目周边存在耕地、园地、牧草地、饮用水水源地或居民区、学校、医院、疗养院、养老院等土壤环境敏感目标的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较敏感</w:t>
            </w:r>
          </w:p>
        </w:tc>
        <w:tc>
          <w:tcPr>
            <w:tcW w:w="4143" w:type="pct"/>
            <w:vAlign w:val="center"/>
          </w:tcPr>
          <w:p>
            <w:pPr>
              <w:spacing w:line="360" w:lineRule="exact"/>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建设项目周边存在其他土壤环境敏感目标的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不敏感</w:t>
            </w:r>
          </w:p>
        </w:tc>
        <w:tc>
          <w:tcPr>
            <w:tcW w:w="4143" w:type="pct"/>
            <w:vAlign w:val="center"/>
          </w:tcPr>
          <w:p>
            <w:pPr>
              <w:spacing w:line="360" w:lineRule="exact"/>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其他情况</w:t>
            </w:r>
          </w:p>
        </w:tc>
      </w:tr>
    </w:tbl>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本项目施工期占用耕地（</w:t>
      </w:r>
      <w:r>
        <w:rPr>
          <w:rFonts w:hint="eastAsia" w:ascii="Times New Roman" w:hAnsi="Times New Roman" w:eastAsiaTheme="minorEastAsia"/>
          <w:snapToGrid w:val="0"/>
          <w:color w:val="auto"/>
          <w:w w:val="99"/>
          <w:highlight w:val="none"/>
          <w:lang w:eastAsia="zh-CN"/>
        </w:rPr>
        <w:t>非</w:t>
      </w:r>
      <w:r>
        <w:rPr>
          <w:rFonts w:ascii="Times New Roman" w:hAnsi="Times New Roman" w:eastAsiaTheme="minorEastAsia"/>
          <w:snapToGrid w:val="0"/>
          <w:color w:val="auto"/>
          <w:w w:val="99"/>
          <w:highlight w:val="none"/>
        </w:rPr>
        <w:t>基本农田</w:t>
      </w:r>
      <w:r>
        <w:rPr>
          <w:rFonts w:hint="eastAsia" w:ascii="Times New Roman" w:hAnsi="Times New Roman" w:eastAsiaTheme="minorEastAsia"/>
          <w:snapToGrid w:val="0"/>
          <w:color w:val="auto"/>
          <w:w w:val="99"/>
          <w:highlight w:val="none"/>
          <w:lang w:eastAsia="zh-CN"/>
        </w:rPr>
        <w:t>、少量永久基本农田</w:t>
      </w:r>
      <w:r>
        <w:rPr>
          <w:rFonts w:ascii="Times New Roman" w:hAnsi="Times New Roman" w:eastAsiaTheme="minorEastAsia"/>
          <w:snapToGrid w:val="0"/>
          <w:color w:val="auto"/>
          <w:w w:val="99"/>
          <w:highlight w:val="none"/>
        </w:rPr>
        <w:t>），由此判定，本项目土壤环境敏感程度分级为“敏感”。</w:t>
      </w:r>
    </w:p>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2.6.6.4土壤环境影响评价等级</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根据《环境影响评价技术导则-土壤环境（试行）》（HJ964-2018）：将建设项目占地规模分为大型（≥50 hm</w:t>
      </w:r>
      <w:r>
        <w:rPr>
          <w:rFonts w:ascii="Times New Roman" w:hAnsi="Times New Roman" w:eastAsiaTheme="minorEastAsia"/>
          <w:snapToGrid w:val="0"/>
          <w:color w:val="auto"/>
          <w:w w:val="99"/>
          <w:highlight w:val="none"/>
          <w:vertAlign w:val="superscript"/>
        </w:rPr>
        <w:t>2</w:t>
      </w:r>
      <w:r>
        <w:rPr>
          <w:rFonts w:ascii="Times New Roman" w:hAnsi="Times New Roman" w:eastAsiaTheme="minorEastAsia"/>
          <w:snapToGrid w:val="0"/>
          <w:color w:val="auto"/>
          <w:w w:val="99"/>
          <w:highlight w:val="none"/>
        </w:rPr>
        <w:t>）、中型（5~50 hm</w:t>
      </w:r>
      <w:r>
        <w:rPr>
          <w:rFonts w:ascii="Times New Roman" w:hAnsi="Times New Roman" w:eastAsiaTheme="minorEastAsia"/>
          <w:snapToGrid w:val="0"/>
          <w:color w:val="auto"/>
          <w:w w:val="99"/>
          <w:highlight w:val="none"/>
          <w:vertAlign w:val="superscript"/>
        </w:rPr>
        <w:t>2</w:t>
      </w:r>
      <w:r>
        <w:rPr>
          <w:rFonts w:ascii="Times New Roman" w:hAnsi="Times New Roman" w:eastAsiaTheme="minorEastAsia"/>
          <w:snapToGrid w:val="0"/>
          <w:color w:val="auto"/>
          <w:w w:val="99"/>
          <w:highlight w:val="none"/>
        </w:rPr>
        <w:t>）、小型（≤5 hm</w:t>
      </w:r>
      <w:r>
        <w:rPr>
          <w:rFonts w:ascii="Times New Roman" w:hAnsi="Times New Roman" w:eastAsiaTheme="minorEastAsia"/>
          <w:snapToGrid w:val="0"/>
          <w:color w:val="auto"/>
          <w:w w:val="99"/>
          <w:highlight w:val="none"/>
          <w:vertAlign w:val="superscript"/>
        </w:rPr>
        <w:t>2</w:t>
      </w:r>
      <w:r>
        <w:rPr>
          <w:rFonts w:ascii="Times New Roman" w:hAnsi="Times New Roman" w:eastAsiaTheme="minorEastAsia"/>
          <w:snapToGrid w:val="0"/>
          <w:color w:val="auto"/>
          <w:w w:val="99"/>
          <w:highlight w:val="none"/>
        </w:rPr>
        <w:t>），建设项目占地主要为永久占地。本项目永久占地面积约为</w:t>
      </w:r>
      <w:r>
        <w:rPr>
          <w:rFonts w:hint="eastAsia" w:ascii="Times New Roman" w:hAnsi="Times New Roman" w:eastAsiaTheme="minorEastAsia"/>
          <w:snapToGrid w:val="0"/>
          <w:color w:val="auto"/>
          <w:w w:val="99"/>
          <w:highlight w:val="none"/>
          <w:lang w:val="en-US" w:eastAsia="zh-CN"/>
        </w:rPr>
        <w:t>29.04</w:t>
      </w:r>
      <w:r>
        <w:rPr>
          <w:rFonts w:ascii="Times New Roman" w:hAnsi="Times New Roman" w:eastAsiaTheme="minorEastAsia"/>
          <w:snapToGrid w:val="0"/>
          <w:color w:val="auto"/>
          <w:w w:val="99"/>
          <w:highlight w:val="none"/>
        </w:rPr>
        <w:t>hm</w:t>
      </w:r>
      <w:r>
        <w:rPr>
          <w:rFonts w:ascii="Times New Roman" w:hAnsi="Times New Roman" w:eastAsiaTheme="minorEastAsia"/>
          <w:snapToGrid w:val="0"/>
          <w:color w:val="auto"/>
          <w:w w:val="99"/>
          <w:highlight w:val="none"/>
          <w:vertAlign w:val="superscript"/>
        </w:rPr>
        <w:t>2</w:t>
      </w:r>
      <w:r>
        <w:rPr>
          <w:rFonts w:ascii="Times New Roman" w:hAnsi="Times New Roman" w:eastAsiaTheme="minorEastAsia"/>
          <w:snapToGrid w:val="0"/>
          <w:color w:val="auto"/>
          <w:w w:val="99"/>
          <w:highlight w:val="none"/>
        </w:rPr>
        <w:t>，</w:t>
      </w:r>
      <w:r>
        <w:rPr>
          <w:rFonts w:hint="eastAsia" w:ascii="Times New Roman" w:hAnsi="Times New Roman" w:eastAsiaTheme="minorEastAsia"/>
          <w:snapToGrid w:val="0"/>
          <w:color w:val="auto"/>
          <w:w w:val="99"/>
          <w:highlight w:val="none"/>
          <w:lang w:eastAsia="zh-CN"/>
        </w:rPr>
        <w:t>小</w:t>
      </w:r>
      <w:r>
        <w:rPr>
          <w:rFonts w:ascii="Times New Roman" w:hAnsi="Times New Roman" w:eastAsiaTheme="minorEastAsia"/>
          <w:snapToGrid w:val="0"/>
          <w:color w:val="auto"/>
          <w:w w:val="99"/>
          <w:highlight w:val="none"/>
        </w:rPr>
        <w:t>于5</w:t>
      </w:r>
      <w:r>
        <w:rPr>
          <w:rFonts w:hint="eastAsia" w:ascii="Times New Roman" w:hAnsi="Times New Roman" w:eastAsiaTheme="minorEastAsia"/>
          <w:snapToGrid w:val="0"/>
          <w:color w:val="auto"/>
          <w:w w:val="99"/>
          <w:highlight w:val="none"/>
        </w:rPr>
        <w:t>0</w:t>
      </w:r>
      <w:r>
        <w:rPr>
          <w:rFonts w:ascii="Times New Roman" w:hAnsi="Times New Roman" w:eastAsiaTheme="minorEastAsia"/>
          <w:snapToGrid w:val="0"/>
          <w:color w:val="auto"/>
          <w:w w:val="99"/>
          <w:highlight w:val="none"/>
        </w:rPr>
        <w:t>hm</w:t>
      </w:r>
      <w:r>
        <w:rPr>
          <w:rFonts w:ascii="Times New Roman" w:hAnsi="Times New Roman" w:eastAsiaTheme="minorEastAsia"/>
          <w:snapToGrid w:val="0"/>
          <w:color w:val="auto"/>
          <w:w w:val="99"/>
          <w:highlight w:val="none"/>
          <w:vertAlign w:val="superscript"/>
        </w:rPr>
        <w:t>2</w:t>
      </w:r>
      <w:r>
        <w:rPr>
          <w:rFonts w:hint="eastAsia" w:ascii="Times New Roman" w:hAnsi="Times New Roman" w:eastAsiaTheme="minorEastAsia"/>
          <w:snapToGrid w:val="0"/>
          <w:color w:val="auto"/>
          <w:w w:val="99"/>
          <w:highlight w:val="none"/>
          <w:vertAlign w:val="baseline"/>
          <w:lang w:eastAsia="zh-CN"/>
        </w:rPr>
        <w:t>大于</w:t>
      </w:r>
      <w:r>
        <w:rPr>
          <w:rFonts w:ascii="Times New Roman" w:hAnsi="Times New Roman" w:eastAsiaTheme="minorEastAsia"/>
          <w:snapToGrid w:val="0"/>
          <w:color w:val="auto"/>
          <w:w w:val="99"/>
          <w:highlight w:val="none"/>
        </w:rPr>
        <w:t>5 hm</w:t>
      </w:r>
      <w:r>
        <w:rPr>
          <w:rFonts w:ascii="Times New Roman" w:hAnsi="Times New Roman" w:eastAsiaTheme="minorEastAsia"/>
          <w:snapToGrid w:val="0"/>
          <w:color w:val="auto"/>
          <w:w w:val="99"/>
          <w:highlight w:val="none"/>
          <w:vertAlign w:val="superscript"/>
        </w:rPr>
        <w:t>2</w:t>
      </w:r>
      <w:r>
        <w:rPr>
          <w:rFonts w:ascii="Times New Roman" w:hAnsi="Times New Roman" w:eastAsiaTheme="minorEastAsia"/>
          <w:snapToGrid w:val="0"/>
          <w:color w:val="auto"/>
          <w:w w:val="99"/>
          <w:highlight w:val="none"/>
        </w:rPr>
        <w:t>；占地面积属于“</w:t>
      </w:r>
      <w:r>
        <w:rPr>
          <w:rFonts w:hint="eastAsia" w:ascii="Times New Roman" w:hAnsi="Times New Roman" w:eastAsiaTheme="minorEastAsia"/>
          <w:snapToGrid w:val="0"/>
          <w:color w:val="auto"/>
          <w:w w:val="99"/>
          <w:highlight w:val="none"/>
          <w:lang w:eastAsia="zh-CN"/>
        </w:rPr>
        <w:t>中</w:t>
      </w:r>
      <w:r>
        <w:rPr>
          <w:rFonts w:ascii="Times New Roman" w:hAnsi="Times New Roman" w:eastAsiaTheme="minorEastAsia"/>
          <w:snapToGrid w:val="0"/>
          <w:color w:val="auto"/>
          <w:w w:val="99"/>
          <w:highlight w:val="none"/>
        </w:rPr>
        <w:t>型”规模</w:t>
      </w: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污染影响型评价工作等级划分依据见</w:t>
      </w:r>
      <w:r>
        <w:rPr>
          <w:rFonts w:ascii="Times New Roman" w:hAnsi="Times New Roman" w:eastAsiaTheme="minorEastAsia"/>
          <w:color w:val="auto"/>
          <w:w w:val="99"/>
          <w:kern w:val="21"/>
          <w:highlight w:val="none"/>
          <w:lang w:val="zh-CN" w:bidi="zh-CN"/>
        </w:rPr>
        <w:t>表</w:t>
      </w:r>
      <w:r>
        <w:rPr>
          <w:rFonts w:ascii="Times New Roman" w:hAnsi="Times New Roman" w:eastAsiaTheme="minorEastAsia"/>
          <w:color w:val="auto"/>
          <w:w w:val="99"/>
          <w:kern w:val="21"/>
          <w:highlight w:val="none"/>
          <w:lang w:bidi="zh-CN"/>
        </w:rPr>
        <w:t>2.6-13</w:t>
      </w:r>
      <w:r>
        <w:rPr>
          <w:rFonts w:ascii="Times New Roman" w:hAnsi="Times New Roman" w:eastAsiaTheme="minorEastAsia"/>
          <w:snapToGrid w:val="0"/>
          <w:color w:val="auto"/>
          <w:w w:val="99"/>
          <w:highlight w:val="none"/>
        </w:rPr>
        <w:t>。</w:t>
      </w:r>
    </w:p>
    <w:p>
      <w:pPr>
        <w:pStyle w:val="109"/>
        <w:widowControl w:val="0"/>
        <w:ind w:firstLine="473"/>
        <w:rPr>
          <w:rFonts w:ascii="Times New Roman" w:hAnsi="Times New Roman" w:eastAsiaTheme="minorEastAsia"/>
          <w:b/>
          <w:bCs/>
          <w:snapToGrid w:val="0"/>
          <w:color w:val="auto"/>
          <w:w w:val="99"/>
          <w:highlight w:val="none"/>
        </w:rPr>
      </w:pPr>
      <w:r>
        <w:rPr>
          <w:rFonts w:ascii="Times New Roman" w:hAnsi="Times New Roman" w:eastAsiaTheme="minorEastAsia"/>
          <w:b/>
          <w:bCs/>
          <w:color w:val="auto"/>
          <w:w w:val="99"/>
          <w:kern w:val="21"/>
          <w:highlight w:val="none"/>
          <w:lang w:val="zh-CN" w:bidi="zh-CN"/>
        </w:rPr>
        <w:t>表</w:t>
      </w:r>
      <w:r>
        <w:rPr>
          <w:rFonts w:ascii="Times New Roman" w:hAnsi="Times New Roman" w:eastAsiaTheme="minorEastAsia"/>
          <w:b/>
          <w:bCs/>
          <w:color w:val="auto"/>
          <w:w w:val="99"/>
          <w:kern w:val="21"/>
          <w:highlight w:val="none"/>
          <w:lang w:bidi="zh-CN"/>
        </w:rPr>
        <w:t>2.6-13</w:t>
      </w:r>
      <w:r>
        <w:rPr>
          <w:rFonts w:ascii="Times New Roman" w:hAnsi="Times New Roman" w:eastAsiaTheme="minorEastAsia"/>
          <w:b/>
          <w:bCs/>
          <w:snapToGrid w:val="0"/>
          <w:color w:val="auto"/>
          <w:w w:val="99"/>
          <w:highlight w:val="none"/>
        </w:rPr>
        <w:t xml:space="preserve">               污染影响型评价工作等级划分表</w:t>
      </w:r>
    </w:p>
    <w:tbl>
      <w:tblPr>
        <w:tblStyle w:val="82"/>
        <w:tblW w:w="928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799"/>
        <w:gridCol w:w="799"/>
        <w:gridCol w:w="799"/>
        <w:gridCol w:w="799"/>
        <w:gridCol w:w="800"/>
        <w:gridCol w:w="799"/>
        <w:gridCol w:w="799"/>
        <w:gridCol w:w="799"/>
        <w:gridCol w:w="8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vMerge w:val="restar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highlight w:val="none"/>
              </w:rPr>
              <mc:AlternateContent>
                <mc:Choice Requires="wps">
                  <w:drawing>
                    <wp:anchor distT="0" distB="0" distL="114300" distR="114300" simplePos="0" relativeHeight="251660288" behindDoc="0" locked="0" layoutInCell="1" allowOverlap="1">
                      <wp:simplePos x="0" y="0"/>
                      <wp:positionH relativeFrom="column">
                        <wp:posOffset>-50800</wp:posOffset>
                      </wp:positionH>
                      <wp:positionV relativeFrom="paragraph">
                        <wp:posOffset>-15875</wp:posOffset>
                      </wp:positionV>
                      <wp:extent cx="590550" cy="676275"/>
                      <wp:effectExtent l="0" t="0" r="19050" b="28575"/>
                      <wp:wrapNone/>
                      <wp:docPr id="8" name="Line 11"/>
                      <wp:cNvGraphicFramePr/>
                      <a:graphic xmlns:a="http://schemas.openxmlformats.org/drawingml/2006/main">
                        <a:graphicData uri="http://schemas.microsoft.com/office/word/2010/wordprocessingShape">
                          <wps:wsp>
                            <wps:cNvCnPr>
                              <a:cxnSpLocks noChangeShapeType="1"/>
                            </wps:cNvCnPr>
                            <wps:spPr bwMode="auto">
                              <a:xfrm>
                                <a:off x="0" y="0"/>
                                <a:ext cx="590550" cy="676275"/>
                              </a:xfrm>
                              <a:prstGeom prst="line">
                                <a:avLst/>
                              </a:prstGeom>
                              <a:noFill/>
                              <a:ln w="6350">
                                <a:solidFill>
                                  <a:schemeClr val="tx1">
                                    <a:lumMod val="100000"/>
                                    <a:lumOff val="0"/>
                                  </a:schemeClr>
                                </a:solidFill>
                                <a:miter lim="800000"/>
                              </a:ln>
                            </wps:spPr>
                            <wps:bodyPr/>
                          </wps:wsp>
                        </a:graphicData>
                      </a:graphic>
                    </wp:anchor>
                  </w:drawing>
                </mc:Choice>
                <mc:Fallback>
                  <w:pict>
                    <v:line id="Line 11" o:spid="_x0000_s1026" o:spt="20" style="position:absolute;left:0pt;margin-left:-4pt;margin-top:-1.25pt;height:53.25pt;width:46.5pt;z-index:251660288;mso-width-relative:page;mso-height-relative:page;" filled="f" stroked="t" coordsize="21600,21600" o:gfxdata="UEsDBAoAAAAAAIdO4kAAAAAAAAAAAAAAAAAEAAAAZHJzL1BLAwQUAAAACACHTuJAskgmaNYAAAAI&#10;AQAADwAAAGRycy9kb3ducmV2LnhtbE2PwU7DMBBE70j8g7WVuLV2K0qjEKcHJA5ISEDKgaObbJNQ&#10;ex1sNwl/z3KC02o0o9k3xX52VowYYu9Jw3qlQCDVvump1fB+eFxmIGIy1BjrCTV8Y4R9eX1VmLzx&#10;E73hWKVWcAnF3GjoUhpyKWPdoTNx5Qck9k4+OJNYhlY2wUxc7qzcKHUnnemJP3RmwIcO63N1cdxC&#10;u6/TbMPH68tzl1XTJz6NO9T6ZrFW9yASzukvDL/4jA4lMx39hZoorIZlxlMS380WBPvZlvWRc+pW&#10;gSwL+X9A+QNQSwMEFAAAAAgAh07iQEYgx0noAQAA5wMAAA4AAABkcnMvZTJvRG9jLnhtbK2TwW7b&#10;MAyG7wP2DoLui50MSTcjTg8Juku2BWj3AIosx0IlURDlOHn7UXKSrt2lh/pgWCT1if9PeXl/soYd&#10;VUANrubTScmZchIa7Q41//P08OUbZxiFa4QBp2p+VsjvV58/LQdfqRl0YBoVGEEcVoOveRejr4oC&#10;ZaeswAl45SjZQrAi0jIciiaIgejWFLOyXBQDhMYHkAqRopsxyS/E8B4gtK2WagOyt8rFkRqUEZEk&#10;Yac98lXutm2VjL/bFlVkpuakNOY3HULf+/QuVktRHYLwnZaXFsR7WnijyQrt6NAbaiOiYH3Q/6Gs&#10;lgEQ2jiRYItRSHaEVEzLN948dsKrrIWsRn8zHT8OK38dd4HppuY0dicsDXyrnWLTabJm8FhRxdrt&#10;QhInT+7Rb0E+I3Ow7oQ7qNzi09nTvryjeLUlLdDTAfvhJzRUI/oI2adTG2xCkgPslMdxvo1DnSKT&#10;FJx/L+dzGpSk1OJuMbubp54KUV03+4DxhwLL0kfNDTWe4eK4xTiWXkvSWQ4etDF54saxgaBfCZ8y&#10;CEY3KZkX4bBfm8COIt2Z/OQi01sSMYanY3hk9Zbu2KX80iGOjNztK7jVkf4eoy0ZfmOQJOOo9mrX&#10;aPwemvMuJBkpTvPPtMtdTRfs33Wuevk/V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skgmaNYA&#10;AAAIAQAADwAAAAAAAAABACAAAAAiAAAAZHJzL2Rvd25yZXYueG1sUEsBAhQAFAAAAAgAh07iQEYg&#10;x0noAQAA5wMAAA4AAAAAAAAAAQAgAAAAJQEAAGRycy9lMm9Eb2MueG1sUEsFBgAAAAAGAAYAWQEA&#10;AH8FAAAAAA==&#10;">
                      <v:fill on="f" focussize="0,0"/>
                      <v:stroke weight="0.5pt" color="#000000 [3229]" miterlimit="8" joinstyle="miter"/>
                      <v:imagedata o:title=""/>
                      <o:lock v:ext="edit" aspectratio="f"/>
                    </v:line>
                  </w:pict>
                </mc:Fallback>
              </mc:AlternateContent>
            </w:r>
            <w:r>
              <w:rPr>
                <w:rFonts w:ascii="Times New Roman" w:hAnsi="Times New Roman" w:cs="Times New Roman" w:eastAsiaTheme="minorEastAsia"/>
                <w:color w:val="auto"/>
                <w:w w:val="99"/>
                <w:sz w:val="21"/>
                <w:highlight w:val="none"/>
              </w:rPr>
              <mc:AlternateContent>
                <mc:Choice Requires="wps">
                  <w:drawing>
                    <wp:anchor distT="0" distB="0" distL="114300" distR="114300" simplePos="0" relativeHeight="251659264" behindDoc="0" locked="0" layoutInCell="1" allowOverlap="1">
                      <wp:simplePos x="0" y="0"/>
                      <wp:positionH relativeFrom="column">
                        <wp:posOffset>-41275</wp:posOffset>
                      </wp:positionH>
                      <wp:positionV relativeFrom="paragraph">
                        <wp:posOffset>-5715</wp:posOffset>
                      </wp:positionV>
                      <wp:extent cx="1285875" cy="523875"/>
                      <wp:effectExtent l="0" t="0" r="28575" b="28575"/>
                      <wp:wrapNone/>
                      <wp:docPr id="12" name="Line 12"/>
                      <wp:cNvGraphicFramePr/>
                      <a:graphic xmlns:a="http://schemas.openxmlformats.org/drawingml/2006/main">
                        <a:graphicData uri="http://schemas.microsoft.com/office/word/2010/wordprocessingShape">
                          <wps:wsp>
                            <wps:cNvCnPr>
                              <a:cxnSpLocks noChangeShapeType="1"/>
                            </wps:cNvCnPr>
                            <wps:spPr bwMode="auto">
                              <a:xfrm>
                                <a:off x="0" y="0"/>
                                <a:ext cx="1285875" cy="523875"/>
                              </a:xfrm>
                              <a:prstGeom prst="line">
                                <a:avLst/>
                              </a:prstGeom>
                              <a:noFill/>
                              <a:ln w="6350">
                                <a:solidFill>
                                  <a:schemeClr val="dk1">
                                    <a:lumMod val="100000"/>
                                    <a:lumOff val="0"/>
                                  </a:schemeClr>
                                </a:solidFill>
                                <a:miter lim="800000"/>
                              </a:ln>
                            </wps:spPr>
                            <wps:bodyPr/>
                          </wps:wsp>
                        </a:graphicData>
                      </a:graphic>
                    </wp:anchor>
                  </w:drawing>
                </mc:Choice>
                <mc:Fallback>
                  <w:pict>
                    <v:line id="Line 12" o:spid="_x0000_s1026" o:spt="20" style="position:absolute;left:0pt;margin-left:-3.25pt;margin-top:-0.45pt;height:41.25pt;width:101.25pt;z-index:251659264;mso-width-relative:page;mso-height-relative:page;" filled="f" stroked="t" coordsize="21600,21600" o:gfxdata="UEsDBAoAAAAAAIdO4kAAAAAAAAAAAAAAAAAEAAAAZHJzL1BLAwQUAAAACACHTuJAkB3J8NYAAAAH&#10;AQAADwAAAGRycy9kb3ducmV2LnhtbE2PwU7DMAyG70i8Q2QkbltaJLquNN0BiQMSElA4cMxar+2W&#10;OCXJ2vL2eCc4Wdb/6/PncrdYIyb0YXCkIF0nIJAa1w7UKfj8eFrlIELU1GrjCBX8YIBddX1V6qJ1&#10;M73jVMdOMIRCoRX0MY6FlKHp0eqwdiMSZwfnrY68+k62Xs8Mt0beJUkmrR6IL/R6xMcem1N9tkyh&#10;zfdhMf7r7fWlz+v5iM/TBpW6vUmTBxARl/hXhos+q0PFTnt3pjYIo2CV3XOT5xbEJd5m/NpeQZ5m&#10;IKtS/vevfgFQSwMEFAAAAAgAh07iQJT6BsXpAQAA6QMAAA4AAABkcnMvZTJvRG9jLnhtbK1Ty27b&#10;MBC8F+g/ELzXkhU4NQTLOdhIL25rIOkH0BRlESW5BJe27L/vklKcJr3kUB0E7mt2Z7hcPVysYWcV&#10;UINr+HxWcqachFa7Y8N/PT9+WXKGUbhWGHCq4VeF/GH9+dNq8LWqoAfTqsAIxGE9+Ib3Mfq6KFD2&#10;ygqcgVeOgh0EKyKZ4Vi0QQyEbk1RleV9MUBofQCpEMm7HYN8QgwfAYSu01JtQZ6scnFEDcqISJSw&#10;1x75Ok/bdUrGn12HKjLTcGIa85+a0PmQ/sV6JepjEL7XchpBfGSEd5ys0I6a3qC2Igp2CvofKKtl&#10;AIQuziTYYiSSFSEW8/KdNk+98CpzIanR30TH/wcrf5z3gemWNqHizAlLN77TTjEySZvBY00pG7cP&#10;iZ28uCe/A/kbmYNNL9xR5Rmfr57q5qmieFOSDPTU4TB8h5ZyxClCFurSBZsgSQJ2yfdxvd2HukQm&#10;yTmvlovl1wVnkmKL6i6dUwtRv1T7gPGbAsvSoeGGJs/o4rzDOKa+pKRmDh61MeQXtXFsaPj93aLM&#10;BQhGtymYYhiOh40J7CzS1uQvJ5mTJRajez66R6yTpS2b0qcJJ4w87RtwqyO9H6Ntw5c3DKJk3CRe&#10;0mtU/gDtdR8SjaQjbUBGm7Y1rdjfds56faH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AdyfDW&#10;AAAABwEAAA8AAAAAAAAAAQAgAAAAIgAAAGRycy9kb3ducmV2LnhtbFBLAQIUABQAAAAIAIdO4kCU&#10;+gbF6QEAAOkDAAAOAAAAAAAAAAEAIAAAACUBAABkcnMvZTJvRG9jLnhtbFBLBQYAAAAABgAGAFkB&#10;AACABQAAAAA=&#10;">
                      <v:fill on="f" focussize="0,0"/>
                      <v:stroke weight="0.5pt" color="#000000 [3216]" miterlimit="8" joinstyle="miter"/>
                      <v:imagedata o:title=""/>
                      <o:lock v:ext="edit" aspectratio="f"/>
                    </v:line>
                  </w:pict>
                </mc:Fallback>
              </mc:AlternateContent>
            </w:r>
            <w:r>
              <w:rPr>
                <w:rFonts w:ascii="Times New Roman" w:hAnsi="Times New Roman" w:cs="Times New Roman" w:eastAsiaTheme="minorEastAsia"/>
                <w:color w:val="auto"/>
                <w:w w:val="99"/>
                <w:sz w:val="21"/>
                <w:szCs w:val="21"/>
                <w:highlight w:val="none"/>
              </w:rPr>
              <w:t xml:space="preserve">         占地规模</w:t>
            </w:r>
          </w:p>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敏感    评价</w:t>
            </w:r>
          </w:p>
          <w:p>
            <w:pPr>
              <w:spacing w:line="360" w:lineRule="exact"/>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程度    等级</w:t>
            </w:r>
          </w:p>
        </w:tc>
        <w:tc>
          <w:tcPr>
            <w:tcW w:w="2397" w:type="dxa"/>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color w:val="auto"/>
                <w:w w:val="99"/>
                <w:sz w:val="21"/>
                <w:szCs w:val="21"/>
                <w:highlight w:val="none"/>
              </w:rPr>
              <w:t>Ⅰ</w:t>
            </w:r>
            <w:r>
              <w:rPr>
                <w:rFonts w:ascii="Times New Roman" w:hAnsi="Times New Roman" w:cs="Times New Roman" w:eastAsiaTheme="minorEastAsia"/>
                <w:color w:val="auto"/>
                <w:w w:val="99"/>
                <w:sz w:val="21"/>
                <w:szCs w:val="21"/>
                <w:highlight w:val="none"/>
              </w:rPr>
              <w:t>类</w:t>
            </w:r>
          </w:p>
        </w:tc>
        <w:tc>
          <w:tcPr>
            <w:tcW w:w="2398" w:type="dxa"/>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color w:val="auto"/>
                <w:w w:val="99"/>
                <w:sz w:val="21"/>
                <w:szCs w:val="21"/>
                <w:highlight w:val="none"/>
              </w:rPr>
              <w:t>Ⅱ</w:t>
            </w:r>
            <w:r>
              <w:rPr>
                <w:rFonts w:ascii="Times New Roman" w:hAnsi="Times New Roman" w:cs="Times New Roman" w:eastAsiaTheme="minorEastAsia"/>
                <w:color w:val="auto"/>
                <w:w w:val="99"/>
                <w:sz w:val="21"/>
                <w:szCs w:val="21"/>
                <w:highlight w:val="none"/>
              </w:rPr>
              <w:t>类</w:t>
            </w:r>
          </w:p>
        </w:tc>
        <w:tc>
          <w:tcPr>
            <w:tcW w:w="2398" w:type="dxa"/>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color w:val="auto"/>
                <w:w w:val="99"/>
                <w:sz w:val="21"/>
                <w:szCs w:val="21"/>
                <w:highlight w:val="none"/>
              </w:rPr>
              <w:t>Ⅲ</w:t>
            </w:r>
            <w:r>
              <w:rPr>
                <w:rFonts w:ascii="Times New Roman" w:hAnsi="Times New Roman" w:cs="Times New Roman" w:eastAsiaTheme="minorEastAsia"/>
                <w:color w:val="auto"/>
                <w:w w:val="99"/>
                <w:sz w:val="21"/>
                <w:szCs w:val="21"/>
                <w:highlight w:val="none"/>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中</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小</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大</w:t>
            </w:r>
          </w:p>
        </w:tc>
        <w:tc>
          <w:tcPr>
            <w:tcW w:w="80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中</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小</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中</w:t>
            </w:r>
          </w:p>
        </w:tc>
        <w:tc>
          <w:tcPr>
            <w:tcW w:w="80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敏感</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shd w:val="pct10" w:color="auto" w:fill="FFFFFF"/>
              </w:rPr>
              <w:t>一级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80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c>
          <w:tcPr>
            <w:tcW w:w="80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较敏感</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80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c>
          <w:tcPr>
            <w:tcW w:w="80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不敏感</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80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c>
          <w:tcPr>
            <w:tcW w:w="80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86" w:type="dxa"/>
            <w:gridSpan w:val="10"/>
            <w:vAlign w:val="center"/>
          </w:tcPr>
          <w:p>
            <w:pPr>
              <w:spacing w:line="360" w:lineRule="exact"/>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注：“-”表示可不开展土壤环境影响评价工作</w:t>
            </w:r>
          </w:p>
        </w:tc>
      </w:tr>
    </w:tbl>
    <w:p>
      <w:pPr>
        <w:widowControl w:val="0"/>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综上分析，本项目属于土壤环境影响评价分类的</w:t>
      </w:r>
      <w:r>
        <w:rPr>
          <w:rFonts w:ascii="Times New Roman" w:hAnsi="Times New Roman" w:cs="Times New Roman" w:eastAsiaTheme="minorEastAsia"/>
          <w:color w:val="auto"/>
          <w:w w:val="99"/>
          <w:highlight w:val="none"/>
        </w:rPr>
        <w:fldChar w:fldCharType="begin"/>
      </w:r>
      <w:r>
        <w:rPr>
          <w:rFonts w:ascii="Times New Roman" w:hAnsi="Times New Roman" w:cs="Times New Roman" w:eastAsiaTheme="minorEastAsia"/>
          <w:color w:val="auto"/>
          <w:w w:val="99"/>
          <w:highlight w:val="none"/>
        </w:rPr>
        <w:instrText xml:space="preserve"> = 1 \* ROMAN </w:instrText>
      </w:r>
      <w:r>
        <w:rPr>
          <w:rFonts w:ascii="Times New Roman" w:hAnsi="Times New Roman" w:cs="Times New Roman" w:eastAsiaTheme="minorEastAsia"/>
          <w:color w:val="auto"/>
          <w:w w:val="99"/>
          <w:highlight w:val="none"/>
        </w:rPr>
        <w:fldChar w:fldCharType="separate"/>
      </w:r>
      <w:r>
        <w:rPr>
          <w:rFonts w:ascii="Times New Roman" w:hAnsi="Times New Roman" w:cs="Times New Roman" w:eastAsiaTheme="minorEastAsia"/>
          <w:color w:val="auto"/>
          <w:w w:val="99"/>
          <w:highlight w:val="none"/>
        </w:rPr>
        <w:t>I</w:t>
      </w:r>
      <w:r>
        <w:rPr>
          <w:rFonts w:ascii="Times New Roman" w:hAnsi="Times New Roman" w:cs="Times New Roman" w:eastAsiaTheme="minorEastAsia"/>
          <w:color w:val="auto"/>
          <w:w w:val="99"/>
          <w:highlight w:val="none"/>
        </w:rPr>
        <w:fldChar w:fldCharType="end"/>
      </w:r>
      <w:r>
        <w:rPr>
          <w:rFonts w:ascii="Times New Roman" w:hAnsi="Times New Roman" w:cs="Times New Roman" w:eastAsiaTheme="minorEastAsia"/>
          <w:color w:val="auto"/>
          <w:w w:val="99"/>
          <w:highlight w:val="none"/>
        </w:rPr>
        <w:t>类项目，占地规模为</w:t>
      </w:r>
      <w:r>
        <w:rPr>
          <w:rFonts w:hint="eastAsia" w:ascii="Times New Roman" w:hAnsi="Times New Roman" w:cs="Times New Roman" w:eastAsiaTheme="minorEastAsia"/>
          <w:color w:val="auto"/>
          <w:w w:val="99"/>
          <w:highlight w:val="none"/>
          <w:lang w:eastAsia="zh-CN"/>
        </w:rPr>
        <w:t>中</w:t>
      </w:r>
      <w:r>
        <w:rPr>
          <w:rFonts w:ascii="Times New Roman" w:hAnsi="Times New Roman" w:cs="Times New Roman" w:eastAsiaTheme="minorEastAsia"/>
          <w:color w:val="auto"/>
          <w:w w:val="99"/>
          <w:highlight w:val="none"/>
        </w:rPr>
        <w:t>型，土壤环境敏感程度为敏感，因此评价工作等级确定为一级。</w:t>
      </w:r>
    </w:p>
    <w:p>
      <w:pPr>
        <w:pStyle w:val="7"/>
        <w:keepNext w:val="0"/>
        <w:keepLines w:val="0"/>
        <w:widowControl w:val="0"/>
        <w:rPr>
          <w:b/>
          <w:color w:val="auto"/>
          <w:w w:val="99"/>
          <w:kern w:val="2"/>
          <w:sz w:val="24"/>
          <w:szCs w:val="24"/>
          <w:highlight w:val="none"/>
        </w:rPr>
      </w:pPr>
      <w:bookmarkStart w:id="283" w:name="_Toc71371935"/>
      <w:bookmarkStart w:id="284" w:name="_Toc80105126"/>
      <w:bookmarkStart w:id="285" w:name="_Toc77667270"/>
      <w:bookmarkStart w:id="286" w:name="_Toc74812297"/>
      <w:bookmarkStart w:id="287" w:name="_Toc69690802"/>
      <w:r>
        <w:rPr>
          <w:b/>
          <w:color w:val="auto"/>
          <w:w w:val="99"/>
          <w:kern w:val="2"/>
          <w:sz w:val="24"/>
          <w:szCs w:val="24"/>
          <w:highlight w:val="none"/>
        </w:rPr>
        <w:t>2.6.7环境风险</w:t>
      </w:r>
      <w:bookmarkEnd w:id="283"/>
      <w:bookmarkEnd w:id="284"/>
      <w:bookmarkEnd w:id="285"/>
      <w:bookmarkEnd w:id="286"/>
      <w:bookmarkEnd w:id="287"/>
    </w:p>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2.6.7.1风险潜势初判</w:t>
      </w:r>
    </w:p>
    <w:p>
      <w:pPr>
        <w:widowControl w:val="0"/>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kern w:val="21"/>
          <w:szCs w:val="20"/>
          <w:highlight w:val="none"/>
        </w:rPr>
        <w:t>本项目井场危险单元主要为井场柴油罐及氢氧化钾材料库。本工程各井场距离较远，属于不在同一厂界范围内，单个井场施工期设置柴油罐1座，单个储油罐储量为40t。</w:t>
      </w:r>
      <w:r>
        <w:rPr>
          <w:rFonts w:hint="eastAsia" w:ascii="Times New Roman" w:hAnsi="Times New Roman" w:cs="Times New Roman" w:eastAsiaTheme="minorEastAsia"/>
          <w:color w:val="auto"/>
          <w:w w:val="99"/>
          <w:kern w:val="21"/>
          <w:szCs w:val="20"/>
          <w:highlight w:val="none"/>
        </w:rPr>
        <w:t>单口</w:t>
      </w:r>
      <w:r>
        <w:rPr>
          <w:rFonts w:ascii="Times New Roman" w:hAnsi="Times New Roman" w:cs="Times New Roman" w:eastAsiaTheme="minorEastAsia"/>
          <w:color w:val="auto"/>
          <w:w w:val="99"/>
          <w:kern w:val="21"/>
          <w:szCs w:val="20"/>
          <w:highlight w:val="none"/>
        </w:rPr>
        <w:t>钻井氢氧化钾</w:t>
      </w:r>
      <w:r>
        <w:rPr>
          <w:rFonts w:hint="eastAsia" w:ascii="Times New Roman" w:hAnsi="Times New Roman" w:cs="Times New Roman" w:eastAsiaTheme="minorEastAsia"/>
          <w:color w:val="auto"/>
          <w:w w:val="99"/>
          <w:kern w:val="21"/>
          <w:szCs w:val="20"/>
          <w:highlight w:val="none"/>
        </w:rPr>
        <w:t>最大</w:t>
      </w:r>
      <w:r>
        <w:rPr>
          <w:rFonts w:ascii="Times New Roman" w:hAnsi="Times New Roman" w:cs="Times New Roman" w:eastAsiaTheme="minorEastAsia"/>
          <w:color w:val="auto"/>
          <w:w w:val="99"/>
          <w:kern w:val="21"/>
          <w:szCs w:val="20"/>
          <w:highlight w:val="none"/>
        </w:rPr>
        <w:t>用量为</w:t>
      </w:r>
      <w:r>
        <w:rPr>
          <w:rFonts w:hint="eastAsia" w:ascii="Times New Roman" w:hAnsi="Times New Roman" w:cs="Times New Roman" w:eastAsiaTheme="minorEastAsia"/>
          <w:color w:val="auto"/>
          <w:w w:val="99"/>
          <w:kern w:val="21"/>
          <w:szCs w:val="20"/>
          <w:highlight w:val="none"/>
        </w:rPr>
        <w:t>0.2</w:t>
      </w:r>
      <w:r>
        <w:rPr>
          <w:rFonts w:ascii="Times New Roman" w:hAnsi="Times New Roman" w:cs="Times New Roman" w:eastAsiaTheme="minorEastAsia"/>
          <w:color w:val="auto"/>
          <w:w w:val="99"/>
          <w:kern w:val="21"/>
          <w:szCs w:val="20"/>
          <w:highlight w:val="none"/>
        </w:rPr>
        <w:t>t。</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根据《建设项目环境风险评价技术导则》（HJ169-2018），危险物质数量与临界量的比值（Q）计算式如下：</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 xml:space="preserve">    Q＝q</w:t>
      </w:r>
      <w:r>
        <w:rPr>
          <w:rFonts w:ascii="Times New Roman" w:hAnsi="Times New Roman" w:cs="Times New Roman" w:eastAsiaTheme="minorEastAsia"/>
          <w:color w:val="auto"/>
          <w:w w:val="99"/>
          <w:kern w:val="2"/>
          <w:szCs w:val="20"/>
          <w:highlight w:val="none"/>
          <w:vertAlign w:val="subscript"/>
        </w:rPr>
        <w:t>1</w:t>
      </w:r>
      <w:r>
        <w:rPr>
          <w:rFonts w:ascii="Times New Roman" w:hAnsi="Times New Roman" w:cs="Times New Roman" w:eastAsiaTheme="minorEastAsia"/>
          <w:color w:val="auto"/>
          <w:w w:val="99"/>
          <w:kern w:val="2"/>
          <w:szCs w:val="20"/>
          <w:highlight w:val="none"/>
        </w:rPr>
        <w:t>/Q</w:t>
      </w:r>
      <w:r>
        <w:rPr>
          <w:rFonts w:ascii="Times New Roman" w:hAnsi="Times New Roman" w:cs="Times New Roman" w:eastAsiaTheme="minorEastAsia"/>
          <w:color w:val="auto"/>
          <w:w w:val="99"/>
          <w:kern w:val="2"/>
          <w:szCs w:val="20"/>
          <w:highlight w:val="none"/>
          <w:vertAlign w:val="subscript"/>
        </w:rPr>
        <w:t>1</w:t>
      </w:r>
      <w:r>
        <w:rPr>
          <w:rFonts w:ascii="Times New Roman" w:hAnsi="Times New Roman" w:cs="Times New Roman" w:eastAsiaTheme="minorEastAsia"/>
          <w:color w:val="auto"/>
          <w:w w:val="99"/>
          <w:kern w:val="2"/>
          <w:szCs w:val="20"/>
          <w:highlight w:val="none"/>
        </w:rPr>
        <w:t>＋q</w:t>
      </w:r>
      <w:r>
        <w:rPr>
          <w:rFonts w:ascii="Times New Roman" w:hAnsi="Times New Roman" w:cs="Times New Roman" w:eastAsiaTheme="minorEastAsia"/>
          <w:color w:val="auto"/>
          <w:w w:val="99"/>
          <w:kern w:val="2"/>
          <w:szCs w:val="20"/>
          <w:highlight w:val="none"/>
          <w:vertAlign w:val="subscript"/>
        </w:rPr>
        <w:t>2</w:t>
      </w:r>
      <w:r>
        <w:rPr>
          <w:rFonts w:ascii="Times New Roman" w:hAnsi="Times New Roman" w:cs="Times New Roman" w:eastAsiaTheme="minorEastAsia"/>
          <w:color w:val="auto"/>
          <w:w w:val="99"/>
          <w:kern w:val="2"/>
          <w:szCs w:val="20"/>
          <w:highlight w:val="none"/>
        </w:rPr>
        <w:t>/Q</w:t>
      </w:r>
      <w:r>
        <w:rPr>
          <w:rFonts w:ascii="Times New Roman" w:hAnsi="Times New Roman" w:cs="Times New Roman" w:eastAsiaTheme="minorEastAsia"/>
          <w:color w:val="auto"/>
          <w:w w:val="99"/>
          <w:kern w:val="2"/>
          <w:szCs w:val="20"/>
          <w:highlight w:val="none"/>
          <w:vertAlign w:val="subscript"/>
        </w:rPr>
        <w:t>2</w:t>
      </w:r>
      <w:r>
        <w:rPr>
          <w:rFonts w:ascii="Times New Roman" w:hAnsi="Times New Roman" w:cs="Times New Roman" w:eastAsiaTheme="minorEastAsia"/>
          <w:color w:val="auto"/>
          <w:w w:val="99"/>
          <w:kern w:val="2"/>
          <w:szCs w:val="20"/>
          <w:highlight w:val="none"/>
        </w:rPr>
        <w:t>＋…q</w:t>
      </w:r>
      <w:r>
        <w:rPr>
          <w:rFonts w:ascii="Times New Roman" w:hAnsi="Times New Roman" w:cs="Times New Roman" w:eastAsiaTheme="minorEastAsia"/>
          <w:color w:val="auto"/>
          <w:w w:val="99"/>
          <w:kern w:val="2"/>
          <w:szCs w:val="20"/>
          <w:highlight w:val="none"/>
          <w:vertAlign w:val="subscript"/>
        </w:rPr>
        <w:t>n</w:t>
      </w:r>
      <w:r>
        <w:rPr>
          <w:rFonts w:ascii="Times New Roman" w:hAnsi="Times New Roman" w:cs="Times New Roman" w:eastAsiaTheme="minorEastAsia"/>
          <w:color w:val="auto"/>
          <w:w w:val="99"/>
          <w:kern w:val="2"/>
          <w:szCs w:val="20"/>
          <w:highlight w:val="none"/>
        </w:rPr>
        <w:t>/Q</w:t>
      </w:r>
      <w:r>
        <w:rPr>
          <w:rFonts w:ascii="Times New Roman" w:hAnsi="Times New Roman" w:cs="Times New Roman" w:eastAsiaTheme="minorEastAsia"/>
          <w:color w:val="auto"/>
          <w:w w:val="99"/>
          <w:kern w:val="2"/>
          <w:szCs w:val="20"/>
          <w:highlight w:val="none"/>
          <w:vertAlign w:val="subscript"/>
        </w:rPr>
        <w:t>n</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式中：q</w:t>
      </w:r>
      <w:r>
        <w:rPr>
          <w:rFonts w:ascii="Times New Roman" w:hAnsi="Times New Roman" w:cs="Times New Roman" w:eastAsiaTheme="minorEastAsia"/>
          <w:color w:val="auto"/>
          <w:w w:val="99"/>
          <w:kern w:val="2"/>
          <w:szCs w:val="20"/>
          <w:highlight w:val="none"/>
          <w:vertAlign w:val="subscript"/>
        </w:rPr>
        <w:t>1</w:t>
      </w:r>
      <w:r>
        <w:rPr>
          <w:rFonts w:ascii="Times New Roman" w:hAnsi="Times New Roman" w:cs="Times New Roman" w:eastAsiaTheme="minorEastAsia"/>
          <w:color w:val="auto"/>
          <w:w w:val="99"/>
          <w:kern w:val="2"/>
          <w:szCs w:val="20"/>
          <w:highlight w:val="none"/>
        </w:rPr>
        <w:t>，q</w:t>
      </w:r>
      <w:r>
        <w:rPr>
          <w:rFonts w:ascii="Times New Roman" w:hAnsi="Times New Roman" w:cs="Times New Roman" w:eastAsiaTheme="minorEastAsia"/>
          <w:color w:val="auto"/>
          <w:w w:val="99"/>
          <w:kern w:val="2"/>
          <w:szCs w:val="20"/>
          <w:highlight w:val="none"/>
          <w:vertAlign w:val="subscript"/>
        </w:rPr>
        <w:t>2</w:t>
      </w:r>
      <w:r>
        <w:rPr>
          <w:rFonts w:ascii="Times New Roman" w:hAnsi="Times New Roman" w:cs="Times New Roman" w:eastAsiaTheme="minorEastAsia"/>
          <w:color w:val="auto"/>
          <w:w w:val="99"/>
          <w:kern w:val="2"/>
          <w:szCs w:val="20"/>
          <w:highlight w:val="none"/>
        </w:rPr>
        <w:t>，…，q</w:t>
      </w:r>
      <w:r>
        <w:rPr>
          <w:rFonts w:ascii="Times New Roman" w:hAnsi="Times New Roman" w:cs="Times New Roman" w:eastAsiaTheme="minorEastAsia"/>
          <w:color w:val="auto"/>
          <w:w w:val="99"/>
          <w:kern w:val="2"/>
          <w:szCs w:val="20"/>
          <w:highlight w:val="none"/>
          <w:vertAlign w:val="subscript"/>
        </w:rPr>
        <w:t>n</w:t>
      </w:r>
      <w:r>
        <w:rPr>
          <w:rFonts w:ascii="Times New Roman" w:hAnsi="Times New Roman" w:cs="Times New Roman" w:eastAsiaTheme="minorEastAsia"/>
          <w:color w:val="auto"/>
          <w:w w:val="99"/>
          <w:kern w:val="2"/>
          <w:szCs w:val="20"/>
          <w:highlight w:val="none"/>
        </w:rPr>
        <w:t>——每种危险物质的最大存在总量，t；</w:t>
      </w:r>
    </w:p>
    <w:p>
      <w:pPr>
        <w:widowControl w:val="0"/>
        <w:spacing w:line="500" w:lineRule="exact"/>
        <w:ind w:firstLine="1185" w:firstLineChars="5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Q</w:t>
      </w:r>
      <w:r>
        <w:rPr>
          <w:rFonts w:ascii="Times New Roman" w:hAnsi="Times New Roman" w:cs="Times New Roman" w:eastAsiaTheme="minorEastAsia"/>
          <w:color w:val="auto"/>
          <w:w w:val="99"/>
          <w:kern w:val="2"/>
          <w:szCs w:val="20"/>
          <w:highlight w:val="none"/>
          <w:vertAlign w:val="subscript"/>
        </w:rPr>
        <w:t>1</w:t>
      </w:r>
      <w:r>
        <w:rPr>
          <w:rFonts w:ascii="Times New Roman" w:hAnsi="Times New Roman" w:cs="Times New Roman" w:eastAsiaTheme="minorEastAsia"/>
          <w:color w:val="auto"/>
          <w:w w:val="99"/>
          <w:kern w:val="2"/>
          <w:szCs w:val="20"/>
          <w:highlight w:val="none"/>
        </w:rPr>
        <w:t>，Q</w:t>
      </w:r>
      <w:r>
        <w:rPr>
          <w:rFonts w:ascii="Times New Roman" w:hAnsi="Times New Roman" w:cs="Times New Roman" w:eastAsiaTheme="minorEastAsia"/>
          <w:color w:val="auto"/>
          <w:w w:val="99"/>
          <w:kern w:val="2"/>
          <w:szCs w:val="20"/>
          <w:highlight w:val="none"/>
          <w:vertAlign w:val="subscript"/>
        </w:rPr>
        <w:t>2</w:t>
      </w:r>
      <w:r>
        <w:rPr>
          <w:rFonts w:ascii="Times New Roman" w:hAnsi="Times New Roman" w:cs="Times New Roman" w:eastAsiaTheme="minorEastAsia"/>
          <w:color w:val="auto"/>
          <w:w w:val="99"/>
          <w:kern w:val="2"/>
          <w:szCs w:val="20"/>
          <w:highlight w:val="none"/>
        </w:rPr>
        <w:t>，…，Q</w:t>
      </w:r>
      <w:r>
        <w:rPr>
          <w:rFonts w:ascii="Times New Roman" w:hAnsi="Times New Roman" w:cs="Times New Roman" w:eastAsiaTheme="minorEastAsia"/>
          <w:color w:val="auto"/>
          <w:w w:val="99"/>
          <w:kern w:val="2"/>
          <w:szCs w:val="20"/>
          <w:highlight w:val="none"/>
          <w:vertAlign w:val="subscript"/>
        </w:rPr>
        <w:t>n</w:t>
      </w:r>
      <w:r>
        <w:rPr>
          <w:rFonts w:ascii="Times New Roman" w:hAnsi="Times New Roman" w:cs="Times New Roman" w:eastAsiaTheme="minorEastAsia"/>
          <w:color w:val="auto"/>
          <w:w w:val="99"/>
          <w:kern w:val="2"/>
          <w:szCs w:val="20"/>
          <w:highlight w:val="none"/>
        </w:rPr>
        <w:t>——每种危险物质的临界量，t；</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根据《建设项目环境风险评价技术导则》（HJ169-2018）附录C，当Q＜1时，该项目环境风险潜势为I，当Q≥1时，按照危险物质及工艺系统危险性确定P值，并结合建设项目各环境敏感程度E值进行建设项目环境风险潜势的划分。</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本项目涉及的原油、天然气易燃物质主要在可能发生的井喷事故中有所体现，井场存在量均为0；根据《化学品分类和标签规范-第18部分：急性毒性》（GB30000.18-2013），氢氧化钾属于健康危险急性毒性物质类别3，根据《建设项目环境风险评价技术导则》（HJ169-2018）附录B表B.1-突发环境事件风险物质及临界量，氢氧化钾的临界量为50t，柴油的临界量为2500t。因此，项目所涉及的危险物质数量与临界量的比值计算结果及环境风险潜势判定见</w:t>
      </w:r>
      <w:r>
        <w:rPr>
          <w:rFonts w:ascii="Times New Roman" w:hAnsi="Times New Roman" w:cs="Times New Roman" w:eastAsiaTheme="minorEastAsia"/>
          <w:color w:val="auto"/>
          <w:w w:val="99"/>
          <w:kern w:val="21"/>
          <w:highlight w:val="none"/>
          <w:lang w:val="zh-CN" w:bidi="zh-CN"/>
        </w:rPr>
        <w:t>表</w:t>
      </w:r>
      <w:r>
        <w:rPr>
          <w:rFonts w:ascii="Times New Roman" w:hAnsi="Times New Roman" w:cs="Times New Roman" w:eastAsiaTheme="minorEastAsia"/>
          <w:color w:val="auto"/>
          <w:w w:val="99"/>
          <w:kern w:val="21"/>
          <w:highlight w:val="none"/>
          <w:lang w:bidi="zh-CN"/>
        </w:rPr>
        <w:t>2.6-14</w:t>
      </w:r>
      <w:r>
        <w:rPr>
          <w:rFonts w:ascii="Times New Roman" w:hAnsi="Times New Roman" w:cs="Times New Roman" w:eastAsiaTheme="minorEastAsia"/>
          <w:color w:val="auto"/>
          <w:w w:val="99"/>
          <w:kern w:val="2"/>
          <w:szCs w:val="20"/>
          <w:highlight w:val="none"/>
        </w:rPr>
        <w:t>。</w:t>
      </w:r>
    </w:p>
    <w:p>
      <w:pPr>
        <w:widowControl w:val="0"/>
        <w:spacing w:line="500" w:lineRule="exact"/>
        <w:ind w:firstLine="476" w:firstLineChars="200"/>
        <w:rPr>
          <w:rFonts w:ascii="Times New Roman" w:hAnsi="Times New Roman" w:cs="Times New Roman" w:eastAsiaTheme="minorEastAsia"/>
          <w:b/>
          <w:bCs/>
          <w:color w:val="auto"/>
          <w:w w:val="99"/>
          <w:kern w:val="2"/>
          <w:szCs w:val="20"/>
          <w:highlight w:val="none"/>
        </w:rPr>
      </w:pPr>
      <w:r>
        <w:rPr>
          <w:rFonts w:ascii="Times New Roman" w:hAnsi="Times New Roman" w:cs="Times New Roman" w:eastAsiaTheme="minorEastAsia"/>
          <w:b/>
          <w:bCs/>
          <w:color w:val="auto"/>
          <w:w w:val="99"/>
          <w:kern w:val="21"/>
          <w:highlight w:val="none"/>
          <w:lang w:val="zh-CN" w:bidi="zh-CN"/>
        </w:rPr>
        <w:t>表</w:t>
      </w:r>
      <w:r>
        <w:rPr>
          <w:rFonts w:ascii="Times New Roman" w:hAnsi="Times New Roman" w:cs="Times New Roman" w:eastAsiaTheme="minorEastAsia"/>
          <w:b/>
          <w:bCs/>
          <w:color w:val="auto"/>
          <w:w w:val="99"/>
          <w:kern w:val="21"/>
          <w:highlight w:val="none"/>
          <w:lang w:bidi="zh-CN"/>
        </w:rPr>
        <w:t>2.6-14</w:t>
      </w:r>
      <w:r>
        <w:rPr>
          <w:rFonts w:ascii="Times New Roman" w:hAnsi="Times New Roman" w:cs="Times New Roman" w:eastAsiaTheme="minorEastAsia"/>
          <w:b/>
          <w:bCs/>
          <w:color w:val="auto"/>
          <w:w w:val="99"/>
          <w:kern w:val="2"/>
          <w:szCs w:val="20"/>
          <w:highlight w:val="none"/>
        </w:rPr>
        <w:t xml:space="preserve">            危险物质数量与临界量的比值</w:t>
      </w:r>
    </w:p>
    <w:tbl>
      <w:tblPr>
        <w:tblStyle w:val="8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1857"/>
        <w:gridCol w:w="1857"/>
        <w:gridCol w:w="1857"/>
        <w:gridCol w:w="18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危险物质</w:t>
            </w:r>
          </w:p>
        </w:tc>
        <w:tc>
          <w:tcPr>
            <w:tcW w:w="1000"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Q</w:t>
            </w:r>
            <w:r>
              <w:rPr>
                <w:rFonts w:ascii="Times New Roman" w:hAnsi="Times New Roman" w:cs="Times New Roman" w:eastAsiaTheme="minorEastAsia"/>
                <w:color w:val="auto"/>
                <w:w w:val="99"/>
                <w:kern w:val="2"/>
                <w:sz w:val="21"/>
                <w:szCs w:val="21"/>
                <w:highlight w:val="none"/>
                <w:vertAlign w:val="subscript"/>
              </w:rPr>
              <w:t>n</w:t>
            </w:r>
            <w:r>
              <w:rPr>
                <w:rFonts w:ascii="Times New Roman" w:hAnsi="Times New Roman" w:cs="Times New Roman" w:eastAsiaTheme="minorEastAsia"/>
                <w:color w:val="auto"/>
                <w:w w:val="99"/>
                <w:kern w:val="2"/>
                <w:sz w:val="21"/>
                <w:szCs w:val="21"/>
                <w:highlight w:val="none"/>
              </w:rPr>
              <w:t>（t）</w:t>
            </w:r>
          </w:p>
        </w:tc>
        <w:tc>
          <w:tcPr>
            <w:tcW w:w="1000"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Q</w:t>
            </w:r>
            <w:r>
              <w:rPr>
                <w:rFonts w:ascii="Times New Roman" w:hAnsi="Times New Roman" w:cs="Times New Roman" w:eastAsiaTheme="minorEastAsia"/>
                <w:color w:val="auto"/>
                <w:w w:val="99"/>
                <w:kern w:val="2"/>
                <w:sz w:val="21"/>
                <w:szCs w:val="21"/>
                <w:highlight w:val="none"/>
                <w:vertAlign w:val="subscript"/>
              </w:rPr>
              <w:t>n</w:t>
            </w:r>
            <w:r>
              <w:rPr>
                <w:rFonts w:ascii="Times New Roman" w:hAnsi="Times New Roman" w:cs="Times New Roman" w:eastAsiaTheme="minorEastAsia"/>
                <w:color w:val="auto"/>
                <w:w w:val="99"/>
                <w:kern w:val="2"/>
                <w:sz w:val="21"/>
                <w:szCs w:val="21"/>
                <w:highlight w:val="none"/>
              </w:rPr>
              <w:t>（t）</w:t>
            </w:r>
          </w:p>
        </w:tc>
        <w:tc>
          <w:tcPr>
            <w:tcW w:w="1000"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q</w:t>
            </w:r>
            <w:r>
              <w:rPr>
                <w:rFonts w:ascii="Times New Roman" w:hAnsi="Times New Roman" w:cs="Times New Roman" w:eastAsiaTheme="minorEastAsia"/>
                <w:color w:val="auto"/>
                <w:w w:val="99"/>
                <w:kern w:val="2"/>
                <w:sz w:val="21"/>
                <w:szCs w:val="21"/>
                <w:highlight w:val="none"/>
                <w:vertAlign w:val="subscript"/>
              </w:rPr>
              <w:t>n</w:t>
            </w:r>
            <w:r>
              <w:rPr>
                <w:rFonts w:ascii="Times New Roman" w:hAnsi="Times New Roman" w:cs="Times New Roman" w:eastAsiaTheme="minorEastAsia"/>
                <w:color w:val="auto"/>
                <w:w w:val="99"/>
                <w:kern w:val="2"/>
                <w:sz w:val="21"/>
                <w:szCs w:val="21"/>
                <w:highlight w:val="none"/>
              </w:rPr>
              <w:t>/Q</w:t>
            </w:r>
            <w:r>
              <w:rPr>
                <w:rFonts w:ascii="Times New Roman" w:hAnsi="Times New Roman" w:cs="Times New Roman" w:eastAsiaTheme="minorEastAsia"/>
                <w:color w:val="auto"/>
                <w:w w:val="99"/>
                <w:kern w:val="2"/>
                <w:sz w:val="21"/>
                <w:szCs w:val="21"/>
                <w:highlight w:val="none"/>
                <w:vertAlign w:val="subscript"/>
              </w:rPr>
              <w:t>n</w:t>
            </w:r>
          </w:p>
        </w:tc>
        <w:tc>
          <w:tcPr>
            <w:tcW w:w="1000"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Q</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柴油</w:t>
            </w:r>
          </w:p>
        </w:tc>
        <w:tc>
          <w:tcPr>
            <w:tcW w:w="1000"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4</w:t>
            </w:r>
            <w:r>
              <w:rPr>
                <w:rFonts w:hint="eastAsia" w:ascii="Times New Roman" w:hAnsi="Times New Roman" w:cs="Times New Roman" w:eastAsiaTheme="minorEastAsia"/>
                <w:color w:val="auto"/>
                <w:w w:val="99"/>
                <w:kern w:val="2"/>
                <w:sz w:val="21"/>
                <w:szCs w:val="21"/>
                <w:highlight w:val="none"/>
              </w:rPr>
              <w:t>0</w:t>
            </w:r>
          </w:p>
        </w:tc>
        <w:tc>
          <w:tcPr>
            <w:tcW w:w="1000"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2500</w:t>
            </w:r>
          </w:p>
        </w:tc>
        <w:tc>
          <w:tcPr>
            <w:tcW w:w="1000" w:type="pct"/>
            <w:vAlign w:val="center"/>
          </w:tcPr>
          <w:p>
            <w:pPr>
              <w:widowControl w:val="0"/>
              <w:spacing w:line="32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ascii="Times New Roman" w:hAnsi="Times New Roman" w:cs="Times New Roman" w:eastAsiaTheme="minorEastAsia"/>
                <w:color w:val="auto"/>
                <w:w w:val="99"/>
                <w:kern w:val="2"/>
                <w:sz w:val="21"/>
                <w:szCs w:val="21"/>
                <w:highlight w:val="none"/>
              </w:rPr>
              <w:t>0.0</w:t>
            </w:r>
            <w:r>
              <w:rPr>
                <w:rFonts w:hint="eastAsia" w:ascii="Times New Roman" w:hAnsi="Times New Roman" w:cs="Times New Roman" w:eastAsiaTheme="minorEastAsia"/>
                <w:color w:val="auto"/>
                <w:w w:val="99"/>
                <w:kern w:val="2"/>
                <w:sz w:val="21"/>
                <w:szCs w:val="21"/>
                <w:highlight w:val="none"/>
                <w:lang w:val="en-US" w:eastAsia="zh-CN"/>
              </w:rPr>
              <w:t>16</w:t>
            </w:r>
          </w:p>
        </w:tc>
        <w:tc>
          <w:tcPr>
            <w:tcW w:w="1000" w:type="pct"/>
            <w:vMerge w:val="restart"/>
            <w:vAlign w:val="center"/>
          </w:tcPr>
          <w:p>
            <w:pPr>
              <w:widowControl w:val="0"/>
              <w:spacing w:line="32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ascii="Times New Roman" w:hAnsi="Times New Roman" w:cs="Times New Roman" w:eastAsiaTheme="minorEastAsia"/>
                <w:color w:val="auto"/>
                <w:w w:val="99"/>
                <w:kern w:val="2"/>
                <w:sz w:val="21"/>
                <w:szCs w:val="21"/>
                <w:highlight w:val="none"/>
              </w:rPr>
              <w:t>0.</w:t>
            </w:r>
            <w:r>
              <w:rPr>
                <w:rFonts w:hint="eastAsia" w:ascii="Times New Roman" w:hAnsi="Times New Roman" w:cs="Times New Roman" w:eastAsiaTheme="minorEastAsia"/>
                <w:color w:val="auto"/>
                <w:w w:val="99"/>
                <w:kern w:val="2"/>
                <w:sz w:val="21"/>
                <w:szCs w:val="21"/>
                <w:highlight w:val="non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KOH</w:t>
            </w:r>
          </w:p>
        </w:tc>
        <w:tc>
          <w:tcPr>
            <w:tcW w:w="1000" w:type="pct"/>
            <w:vAlign w:val="center"/>
          </w:tcPr>
          <w:p>
            <w:pPr>
              <w:widowControl w:val="0"/>
              <w:spacing w:line="32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0.2</w:t>
            </w:r>
          </w:p>
        </w:tc>
        <w:tc>
          <w:tcPr>
            <w:tcW w:w="1000"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50</w:t>
            </w:r>
          </w:p>
        </w:tc>
        <w:tc>
          <w:tcPr>
            <w:tcW w:w="1000" w:type="pct"/>
            <w:vAlign w:val="center"/>
          </w:tcPr>
          <w:p>
            <w:pPr>
              <w:widowControl w:val="0"/>
              <w:spacing w:line="32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ascii="Times New Roman" w:hAnsi="Times New Roman" w:cs="Times New Roman" w:eastAsiaTheme="minorEastAsia"/>
                <w:color w:val="auto"/>
                <w:w w:val="99"/>
                <w:kern w:val="2"/>
                <w:sz w:val="21"/>
                <w:szCs w:val="21"/>
                <w:highlight w:val="none"/>
              </w:rPr>
              <w:t>0.0</w:t>
            </w:r>
            <w:r>
              <w:rPr>
                <w:rFonts w:hint="eastAsia" w:ascii="Times New Roman" w:hAnsi="Times New Roman" w:cs="Times New Roman" w:eastAsiaTheme="minorEastAsia"/>
                <w:color w:val="auto"/>
                <w:w w:val="99"/>
                <w:kern w:val="2"/>
                <w:sz w:val="21"/>
                <w:szCs w:val="21"/>
                <w:highlight w:val="none"/>
                <w:lang w:val="en-US" w:eastAsia="zh-CN"/>
              </w:rPr>
              <w:t>04</w:t>
            </w:r>
          </w:p>
        </w:tc>
        <w:tc>
          <w:tcPr>
            <w:tcW w:w="1000"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r>
    </w:tbl>
    <w:p>
      <w:pPr>
        <w:widowControl w:val="0"/>
        <w:spacing w:line="500" w:lineRule="exact"/>
        <w:ind w:firstLine="474" w:firstLineChars="200"/>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
          <w:szCs w:val="20"/>
          <w:highlight w:val="none"/>
        </w:rPr>
        <w:t>计算结果表明：Q＜1，该项目环境风险潜势为</w:t>
      </w:r>
      <w:r>
        <w:rPr>
          <w:rFonts w:hint="eastAsia"/>
          <w:color w:val="auto"/>
          <w:w w:val="99"/>
          <w:kern w:val="2"/>
          <w:szCs w:val="20"/>
          <w:highlight w:val="none"/>
        </w:rPr>
        <w:t>Ⅰ</w:t>
      </w:r>
      <w:r>
        <w:rPr>
          <w:rFonts w:ascii="Times New Roman" w:hAnsi="Times New Roman" w:cs="Times New Roman" w:eastAsiaTheme="minorEastAsia"/>
          <w:color w:val="auto"/>
          <w:w w:val="99"/>
          <w:kern w:val="2"/>
          <w:szCs w:val="20"/>
          <w:highlight w:val="none"/>
        </w:rPr>
        <w:t>。</w:t>
      </w:r>
    </w:p>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2.6.7.2评价等级</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根据《建设项目环境风险评价技术导则》（HJ169-2018）中关于环境风险评价工作等级的划分，具体见</w:t>
      </w:r>
      <w:r>
        <w:rPr>
          <w:rFonts w:ascii="Times New Roman" w:hAnsi="Times New Roman" w:cs="Times New Roman" w:eastAsiaTheme="minorEastAsia"/>
          <w:color w:val="auto"/>
          <w:w w:val="99"/>
          <w:kern w:val="21"/>
          <w:highlight w:val="none"/>
          <w:lang w:val="zh-CN" w:bidi="zh-CN"/>
        </w:rPr>
        <w:t>表</w:t>
      </w:r>
      <w:r>
        <w:rPr>
          <w:rFonts w:ascii="Times New Roman" w:hAnsi="Times New Roman" w:cs="Times New Roman" w:eastAsiaTheme="minorEastAsia"/>
          <w:color w:val="auto"/>
          <w:w w:val="99"/>
          <w:kern w:val="21"/>
          <w:highlight w:val="none"/>
          <w:lang w:bidi="zh-CN"/>
        </w:rPr>
        <w:t>2.6-15</w:t>
      </w:r>
      <w:r>
        <w:rPr>
          <w:rFonts w:ascii="Times New Roman" w:hAnsi="Times New Roman" w:cs="Times New Roman" w:eastAsiaTheme="minorEastAsia"/>
          <w:color w:val="auto"/>
          <w:w w:val="99"/>
          <w:kern w:val="2"/>
          <w:highlight w:val="none"/>
        </w:rPr>
        <w:t>，本项目风险潜势为I，应进行简单分析。</w:t>
      </w:r>
    </w:p>
    <w:p>
      <w:pPr>
        <w:widowControl w:val="0"/>
        <w:spacing w:line="500" w:lineRule="exact"/>
        <w:ind w:firstLine="476" w:firstLineChars="200"/>
        <w:rPr>
          <w:rFonts w:ascii="Times New Roman" w:hAnsi="Times New Roman" w:cs="Times New Roman" w:eastAsiaTheme="minorEastAsia"/>
          <w:b/>
          <w:bCs/>
          <w:color w:val="auto"/>
          <w:w w:val="99"/>
          <w:kern w:val="2"/>
          <w:szCs w:val="20"/>
          <w:highlight w:val="none"/>
        </w:rPr>
      </w:pPr>
      <w:r>
        <w:rPr>
          <w:rFonts w:ascii="Times New Roman" w:hAnsi="Times New Roman" w:cs="Times New Roman" w:eastAsiaTheme="minorEastAsia"/>
          <w:b/>
          <w:bCs/>
          <w:color w:val="auto"/>
          <w:w w:val="99"/>
          <w:kern w:val="21"/>
          <w:highlight w:val="none"/>
          <w:lang w:val="zh-CN" w:bidi="zh-CN"/>
        </w:rPr>
        <w:t>表</w:t>
      </w:r>
      <w:r>
        <w:rPr>
          <w:rFonts w:ascii="Times New Roman" w:hAnsi="Times New Roman" w:cs="Times New Roman" w:eastAsiaTheme="minorEastAsia"/>
          <w:b/>
          <w:bCs/>
          <w:color w:val="auto"/>
          <w:w w:val="99"/>
          <w:kern w:val="21"/>
          <w:highlight w:val="none"/>
          <w:lang w:bidi="zh-CN"/>
        </w:rPr>
        <w:t>2.6-15</w:t>
      </w:r>
      <w:r>
        <w:rPr>
          <w:rFonts w:ascii="Times New Roman" w:hAnsi="Times New Roman" w:cs="Times New Roman" w:eastAsiaTheme="minorEastAsia"/>
          <w:b/>
          <w:bCs/>
          <w:color w:val="auto"/>
          <w:w w:val="99"/>
          <w:kern w:val="2"/>
          <w:szCs w:val="20"/>
          <w:highlight w:val="none"/>
        </w:rPr>
        <w:t xml:space="preserve">                环境风险评价工作等级</w:t>
      </w:r>
    </w:p>
    <w:tbl>
      <w:tblPr>
        <w:tblStyle w:val="8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86"/>
        <w:gridCol w:w="1785"/>
        <w:gridCol w:w="1785"/>
        <w:gridCol w:w="1785"/>
        <w:gridCol w:w="21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2"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环境风险潜势</w:t>
            </w:r>
          </w:p>
        </w:tc>
        <w:tc>
          <w:tcPr>
            <w:tcW w:w="96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IV、IV</w:t>
            </w:r>
            <w:r>
              <w:rPr>
                <w:rFonts w:ascii="Times New Roman" w:hAnsi="Times New Roman" w:cs="Times New Roman" w:eastAsiaTheme="minorEastAsia"/>
                <w:color w:val="auto"/>
                <w:w w:val="99"/>
                <w:kern w:val="2"/>
                <w:sz w:val="21"/>
                <w:szCs w:val="21"/>
                <w:highlight w:val="none"/>
                <w:vertAlign w:val="superscript"/>
              </w:rPr>
              <w:t>+</w:t>
            </w:r>
          </w:p>
        </w:tc>
        <w:tc>
          <w:tcPr>
            <w:tcW w:w="96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III</w:t>
            </w:r>
          </w:p>
        </w:tc>
        <w:tc>
          <w:tcPr>
            <w:tcW w:w="96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II</w:t>
            </w:r>
          </w:p>
        </w:tc>
        <w:tc>
          <w:tcPr>
            <w:tcW w:w="1155"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2"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评价工作等级</w:t>
            </w:r>
          </w:p>
        </w:tc>
        <w:tc>
          <w:tcPr>
            <w:tcW w:w="96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一</w:t>
            </w:r>
          </w:p>
        </w:tc>
        <w:tc>
          <w:tcPr>
            <w:tcW w:w="96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w:t>
            </w:r>
          </w:p>
        </w:tc>
        <w:tc>
          <w:tcPr>
            <w:tcW w:w="96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三</w:t>
            </w:r>
          </w:p>
        </w:tc>
        <w:tc>
          <w:tcPr>
            <w:tcW w:w="1155"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shd w:val="pct10" w:color="auto" w:fill="FFFFFF"/>
              </w:rPr>
              <w:t>简单分析</w:t>
            </w:r>
            <w:r>
              <w:rPr>
                <w:rFonts w:ascii="Times New Roman" w:hAnsi="Times New Roman" w:cs="Times New Roman" w:eastAsiaTheme="minorEastAsia"/>
                <w:color w:val="auto"/>
                <w:w w:val="99"/>
                <w:kern w:val="2"/>
                <w:sz w:val="21"/>
                <w:szCs w:val="21"/>
                <w:highlight w:val="none"/>
                <w:shd w:val="pct10" w:color="auto" w:fill="FFFFFF"/>
                <w:vertAlign w:val="superscript"/>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vAlign w:val="center"/>
          </w:tcPr>
          <w:p>
            <w:pPr>
              <w:adjustRightIn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vertAlign w:val="superscript"/>
              </w:rPr>
              <w:t>a</w:t>
            </w:r>
            <w:r>
              <w:rPr>
                <w:rFonts w:ascii="Times New Roman" w:hAnsi="Times New Roman" w:cs="Times New Roman" w:eastAsiaTheme="minorEastAsia"/>
                <w:color w:val="auto"/>
                <w:w w:val="99"/>
                <w:sz w:val="21"/>
                <w:szCs w:val="21"/>
                <w:highlight w:val="none"/>
              </w:rPr>
              <w:t>是相对于详细评价工作内容而言，在描述危险物质、环境影响途径、环境危害后果、风险防范措施等方面给出定性的说明。</w:t>
            </w:r>
          </w:p>
        </w:tc>
      </w:tr>
    </w:tbl>
    <w:p>
      <w:pPr>
        <w:pStyle w:val="5"/>
        <w:keepNext w:val="0"/>
        <w:keepLines w:val="0"/>
        <w:widowControl w:val="0"/>
        <w:rPr>
          <w:rFonts w:ascii="Times New Roman" w:hAnsi="Times New Roman"/>
          <w:b/>
          <w:snapToGrid w:val="0"/>
          <w:color w:val="auto"/>
          <w:w w:val="99"/>
          <w:highlight w:val="none"/>
        </w:rPr>
      </w:pPr>
      <w:bookmarkStart w:id="288" w:name="_Toc80105127"/>
      <w:bookmarkStart w:id="289" w:name="_Toc67523575"/>
      <w:bookmarkStart w:id="290" w:name="_Toc61597203"/>
      <w:r>
        <w:rPr>
          <w:rFonts w:ascii="Times New Roman" w:hAnsi="Times New Roman"/>
          <w:b/>
          <w:snapToGrid w:val="0"/>
          <w:color w:val="auto"/>
          <w:w w:val="99"/>
          <w:highlight w:val="none"/>
        </w:rPr>
        <w:t>2.7评价范围</w:t>
      </w:r>
      <w:bookmarkEnd w:id="288"/>
    </w:p>
    <w:p>
      <w:pPr>
        <w:pStyle w:val="7"/>
        <w:keepNext w:val="0"/>
        <w:keepLines w:val="0"/>
        <w:widowControl w:val="0"/>
        <w:rPr>
          <w:b/>
          <w:color w:val="auto"/>
          <w:w w:val="99"/>
          <w:kern w:val="2"/>
          <w:sz w:val="24"/>
          <w:szCs w:val="24"/>
          <w:highlight w:val="none"/>
        </w:rPr>
      </w:pPr>
      <w:bookmarkStart w:id="291" w:name="_Toc77667272"/>
      <w:bookmarkStart w:id="292" w:name="_Toc71371927"/>
      <w:bookmarkStart w:id="293" w:name="_Toc69690794"/>
      <w:bookmarkStart w:id="294" w:name="_Toc61597205"/>
      <w:bookmarkStart w:id="295" w:name="_Toc74812299"/>
      <w:bookmarkStart w:id="296" w:name="_Toc67523577"/>
      <w:bookmarkStart w:id="297" w:name="_Toc80105128"/>
      <w:r>
        <w:rPr>
          <w:b/>
          <w:color w:val="auto"/>
          <w:w w:val="99"/>
          <w:kern w:val="2"/>
          <w:sz w:val="24"/>
          <w:szCs w:val="24"/>
          <w:highlight w:val="none"/>
        </w:rPr>
        <w:t>2.7.1环境空气</w:t>
      </w:r>
      <w:bookmarkEnd w:id="291"/>
      <w:bookmarkEnd w:id="292"/>
      <w:bookmarkEnd w:id="293"/>
      <w:bookmarkEnd w:id="294"/>
      <w:bookmarkEnd w:id="295"/>
      <w:bookmarkEnd w:id="296"/>
      <w:bookmarkEnd w:id="297"/>
    </w:p>
    <w:p>
      <w:pPr>
        <w:pStyle w:val="109"/>
        <w:widowControl w:val="0"/>
        <w:ind w:firstLine="473"/>
        <w:rPr>
          <w:rFonts w:ascii="Times New Roman" w:hAnsi="Times New Roman" w:eastAsiaTheme="minorEastAsia"/>
          <w:color w:val="auto"/>
          <w:w w:val="99"/>
          <w:sz w:val="28"/>
          <w:highlight w:val="none"/>
          <w:lang w:val="en-GB"/>
        </w:rPr>
      </w:pPr>
      <w:r>
        <w:rPr>
          <w:rFonts w:ascii="Times New Roman" w:hAnsi="Times New Roman" w:eastAsiaTheme="minorEastAsia"/>
          <w:color w:val="auto"/>
          <w:w w:val="99"/>
          <w:kern w:val="2"/>
          <w:highlight w:val="none"/>
        </w:rPr>
        <w:t>本项目仅针对钻井施工期进行评价，不划定大气环境评价等级，</w:t>
      </w:r>
      <w:r>
        <w:rPr>
          <w:rFonts w:hint="eastAsia" w:ascii="Times New Roman" w:hAnsi="Times New Roman" w:eastAsiaTheme="minorEastAsia"/>
          <w:color w:val="auto"/>
          <w:w w:val="99"/>
          <w:kern w:val="2"/>
          <w:highlight w:val="none"/>
        </w:rPr>
        <w:t>以</w:t>
      </w:r>
      <w:r>
        <w:rPr>
          <w:rFonts w:ascii="Times New Roman" w:hAnsi="Times New Roman" w:eastAsiaTheme="minorEastAsia"/>
          <w:color w:val="auto"/>
          <w:w w:val="99"/>
          <w:kern w:val="2"/>
          <w:highlight w:val="none"/>
        </w:rPr>
        <w:t>井场周边</w:t>
      </w:r>
      <w:r>
        <w:rPr>
          <w:rFonts w:hint="eastAsia" w:ascii="Times New Roman" w:hAnsi="Times New Roman" w:eastAsiaTheme="minorEastAsia"/>
          <w:color w:val="auto"/>
          <w:w w:val="99"/>
          <w:kern w:val="2"/>
          <w:highlight w:val="none"/>
        </w:rPr>
        <w:t>500</w:t>
      </w:r>
      <w:r>
        <w:rPr>
          <w:rFonts w:ascii="Times New Roman" w:hAnsi="Times New Roman" w:eastAsiaTheme="minorEastAsia"/>
          <w:color w:val="auto"/>
          <w:w w:val="99"/>
          <w:kern w:val="2"/>
          <w:highlight w:val="none"/>
        </w:rPr>
        <w:t>m</w:t>
      </w:r>
      <w:r>
        <w:rPr>
          <w:rFonts w:hint="eastAsia" w:ascii="Times New Roman" w:hAnsi="Times New Roman" w:eastAsiaTheme="minorEastAsia"/>
          <w:color w:val="auto"/>
          <w:w w:val="99"/>
          <w:kern w:val="2"/>
          <w:highlight w:val="none"/>
        </w:rPr>
        <w:t>作为大气</w:t>
      </w:r>
      <w:r>
        <w:rPr>
          <w:rFonts w:ascii="Times New Roman" w:hAnsi="Times New Roman" w:eastAsiaTheme="minorEastAsia"/>
          <w:color w:val="auto"/>
          <w:w w:val="99"/>
          <w:kern w:val="2"/>
          <w:highlight w:val="none"/>
        </w:rPr>
        <w:t>评价范围。</w:t>
      </w:r>
    </w:p>
    <w:p>
      <w:pPr>
        <w:pStyle w:val="7"/>
        <w:keepNext w:val="0"/>
        <w:keepLines w:val="0"/>
        <w:widowControl w:val="0"/>
        <w:rPr>
          <w:b/>
          <w:color w:val="auto"/>
          <w:w w:val="99"/>
          <w:kern w:val="2"/>
          <w:sz w:val="24"/>
          <w:szCs w:val="24"/>
          <w:highlight w:val="none"/>
        </w:rPr>
      </w:pPr>
      <w:bookmarkStart w:id="298" w:name="_Toc80105129"/>
      <w:bookmarkStart w:id="299" w:name="_Toc69690795"/>
      <w:bookmarkStart w:id="300" w:name="_Toc77667273"/>
      <w:bookmarkStart w:id="301" w:name="_Toc74812300"/>
      <w:bookmarkStart w:id="302" w:name="_Toc71371928"/>
      <w:bookmarkStart w:id="303" w:name="_Toc67523578"/>
      <w:bookmarkStart w:id="304" w:name="_Toc61597206"/>
      <w:r>
        <w:rPr>
          <w:b/>
          <w:color w:val="auto"/>
          <w:w w:val="99"/>
          <w:kern w:val="2"/>
          <w:sz w:val="24"/>
          <w:szCs w:val="24"/>
          <w:highlight w:val="none"/>
        </w:rPr>
        <w:t>2.7.2地表水</w:t>
      </w:r>
      <w:bookmarkEnd w:id="298"/>
      <w:bookmarkEnd w:id="299"/>
      <w:bookmarkEnd w:id="300"/>
      <w:bookmarkEnd w:id="301"/>
      <w:bookmarkEnd w:id="302"/>
      <w:bookmarkEnd w:id="303"/>
      <w:bookmarkEnd w:id="304"/>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根据《环境影响评价技术导则 地表水环境》（HJ2.3-2018）中关于地表水评价等级为三级B的评价范围要求，涉及地表水环境风险的，应覆盖环境风险影响范围所及的水环境保护目标水域。</w:t>
      </w:r>
      <w:r>
        <w:rPr>
          <w:rFonts w:hint="default" w:ascii="Times New Roman" w:hAnsi="Times New Roman" w:eastAsiaTheme="minorEastAsia"/>
          <w:snapToGrid w:val="0"/>
          <w:color w:val="auto"/>
          <w:w w:val="99"/>
          <w:highlight w:val="none"/>
        </w:rPr>
        <w:t>本工程开发区块周边</w:t>
      </w:r>
      <w:r>
        <w:rPr>
          <w:rFonts w:hint="default" w:ascii="Times New Roman" w:hAnsi="Times New Roman" w:eastAsiaTheme="minorEastAsia"/>
          <w:snapToGrid w:val="0"/>
          <w:color w:val="auto"/>
          <w:w w:val="99"/>
          <w:highlight w:val="none"/>
          <w:lang w:eastAsia="zh-CN"/>
        </w:rPr>
        <w:t>无</w:t>
      </w:r>
      <w:r>
        <w:rPr>
          <w:rFonts w:hint="default" w:ascii="Times New Roman" w:hAnsi="Times New Roman" w:eastAsiaTheme="minorEastAsia"/>
          <w:snapToGrid w:val="0"/>
          <w:color w:val="auto"/>
          <w:w w:val="99"/>
          <w:highlight w:val="none"/>
        </w:rPr>
        <w:t>地表水体</w:t>
      </w:r>
      <w:r>
        <w:rPr>
          <w:rFonts w:ascii="Times New Roman" w:hAnsi="Times New Roman" w:eastAsiaTheme="minorEastAsia"/>
          <w:snapToGrid w:val="0"/>
          <w:color w:val="auto"/>
          <w:w w:val="99"/>
          <w:highlight w:val="none"/>
        </w:rPr>
        <w:t>。</w:t>
      </w:r>
      <w:r>
        <w:rPr>
          <w:rFonts w:hint="eastAsia" w:ascii="Times New Roman" w:hAnsi="Times New Roman" w:eastAsiaTheme="minorEastAsia"/>
          <w:snapToGrid w:val="0"/>
          <w:color w:val="auto"/>
          <w:w w:val="99"/>
          <w:highlight w:val="none"/>
        </w:rPr>
        <w:tab/>
      </w:r>
    </w:p>
    <w:p>
      <w:pPr>
        <w:pStyle w:val="7"/>
        <w:keepNext w:val="0"/>
        <w:keepLines w:val="0"/>
        <w:widowControl w:val="0"/>
        <w:rPr>
          <w:b/>
          <w:color w:val="auto"/>
          <w:w w:val="99"/>
          <w:kern w:val="2"/>
          <w:sz w:val="24"/>
          <w:szCs w:val="24"/>
          <w:highlight w:val="none"/>
        </w:rPr>
      </w:pPr>
      <w:bookmarkStart w:id="305" w:name="_Toc80105130"/>
      <w:bookmarkStart w:id="306" w:name="_Toc67523579"/>
      <w:bookmarkStart w:id="307" w:name="_Toc71371929"/>
      <w:bookmarkStart w:id="308" w:name="_Toc61597207"/>
      <w:bookmarkStart w:id="309" w:name="_Toc69690796"/>
      <w:bookmarkStart w:id="310" w:name="_Toc77667274"/>
      <w:bookmarkStart w:id="311" w:name="_Toc74812301"/>
      <w:r>
        <w:rPr>
          <w:b/>
          <w:color w:val="auto"/>
          <w:w w:val="99"/>
          <w:kern w:val="2"/>
          <w:sz w:val="24"/>
          <w:szCs w:val="24"/>
          <w:highlight w:val="none"/>
        </w:rPr>
        <w:t>2.7.3地下水</w:t>
      </w:r>
      <w:bookmarkEnd w:id="305"/>
      <w:bookmarkEnd w:id="306"/>
      <w:bookmarkEnd w:id="307"/>
      <w:bookmarkEnd w:id="308"/>
      <w:bookmarkEnd w:id="309"/>
      <w:bookmarkEnd w:id="310"/>
      <w:bookmarkEnd w:id="311"/>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根据《环境影响评价技术导则 地下水环境》（HJ610-2016），采用公式法确定本项目地下水评价范围。计算公式如下：</w:t>
      </w:r>
    </w:p>
    <w:p>
      <w:pPr>
        <w:pStyle w:val="109"/>
        <w:widowControl w:val="0"/>
        <w:ind w:firstLine="0" w:firstLineChars="0"/>
        <w:jc w:val="center"/>
        <w:rPr>
          <w:rFonts w:ascii="Times New Roman" w:hAnsi="Times New Roman" w:eastAsiaTheme="minorEastAsia"/>
          <w:snapToGrid w:val="0"/>
          <w:color w:val="auto"/>
          <w:w w:val="99"/>
          <w:highlight w:val="none"/>
        </w:rPr>
      </w:pPr>
      <w:r>
        <w:rPr>
          <w:rFonts w:ascii="Times New Roman" w:hAnsi="Times New Roman" w:eastAsiaTheme="minorEastAsia"/>
          <w:color w:val="auto"/>
          <w:spacing w:val="-2"/>
          <w:w w:val="99"/>
          <w:highlight w:val="none"/>
        </w:rPr>
        <w:t>L=α</w:t>
      </w:r>
      <w:r>
        <w:rPr>
          <w:rFonts w:ascii="Times New Roman" w:hAnsi="Times New Roman" w:eastAsiaTheme="minorEastAsia"/>
          <w:color w:val="auto"/>
          <w:spacing w:val="-2"/>
          <w:w w:val="99"/>
          <w:highlight w:val="none"/>
          <w:lang w:val="de-DE"/>
        </w:rPr>
        <w:t>×K×I×T/n</w:t>
      </w:r>
      <w:r>
        <w:rPr>
          <w:rFonts w:ascii="Times New Roman" w:hAnsi="Times New Roman" w:eastAsiaTheme="minorEastAsia"/>
          <w:color w:val="auto"/>
          <w:spacing w:val="-2"/>
          <w:w w:val="99"/>
          <w:highlight w:val="none"/>
          <w:vertAlign w:val="subscript"/>
          <w:lang w:val="de-DE"/>
        </w:rPr>
        <w:t>e</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式中：</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L——下游迁移距离，m；</w:t>
      </w:r>
    </w:p>
    <w:p>
      <w:pPr>
        <w:widowControl w:val="0"/>
        <w:spacing w:line="500" w:lineRule="exact"/>
        <w:ind w:firstLine="466" w:firstLineChars="200"/>
        <w:jc w:val="both"/>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α—变化系数，α≥1，一般取2；</w:t>
      </w:r>
    </w:p>
    <w:p>
      <w:pPr>
        <w:widowControl w:val="0"/>
        <w:spacing w:line="500" w:lineRule="exact"/>
        <w:ind w:firstLine="466" w:firstLineChars="200"/>
        <w:jc w:val="both"/>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K—渗透系数，m/d</w:t>
      </w:r>
      <w:r>
        <w:rPr>
          <w:rFonts w:hint="eastAsia" w:ascii="Times New Roman" w:hAnsi="Times New Roman" w:cs="Times New Roman" w:eastAsiaTheme="minorEastAsia"/>
          <w:color w:val="auto"/>
          <w:spacing w:val="-2"/>
          <w:w w:val="99"/>
          <w:highlight w:val="none"/>
        </w:rPr>
        <w:t>，根据《大庆市水文地质勘察报告》（石油管理局）及区域含水层特点综合确定</w:t>
      </w:r>
      <w:r>
        <w:rPr>
          <w:rFonts w:ascii="Times New Roman" w:hAnsi="Times New Roman" w:cs="Times New Roman" w:eastAsiaTheme="minorEastAsia"/>
          <w:color w:val="auto"/>
          <w:spacing w:val="-2"/>
          <w:w w:val="99"/>
          <w:highlight w:val="none"/>
        </w:rPr>
        <w:t>，泰康组承压含水层其岩性主要是砂砾岩</w:t>
      </w:r>
      <w:r>
        <w:rPr>
          <w:rFonts w:hint="eastAsia" w:ascii="Times New Roman" w:hAnsi="Times New Roman" w:cs="Times New Roman" w:eastAsiaTheme="minorEastAsia"/>
          <w:color w:val="auto"/>
          <w:spacing w:val="-2"/>
          <w:w w:val="99"/>
          <w:highlight w:val="none"/>
        </w:rPr>
        <w:t>，K取</w:t>
      </w:r>
      <w:r>
        <w:rPr>
          <w:rFonts w:ascii="Times New Roman" w:hAnsi="Times New Roman" w:cs="Times New Roman" w:eastAsiaTheme="minorEastAsia"/>
          <w:color w:val="auto"/>
          <w:spacing w:val="-2"/>
          <w:w w:val="99"/>
          <w:highlight w:val="none"/>
        </w:rPr>
        <w:t>2</w:t>
      </w:r>
      <w:r>
        <w:rPr>
          <w:rFonts w:hint="eastAsia" w:ascii="Times New Roman" w:hAnsi="Times New Roman" w:cs="Times New Roman" w:eastAsiaTheme="minorEastAsia"/>
          <w:color w:val="auto"/>
          <w:spacing w:val="-2"/>
          <w:w w:val="99"/>
          <w:highlight w:val="none"/>
        </w:rPr>
        <w:t>0</w:t>
      </w:r>
      <w:r>
        <w:rPr>
          <w:rFonts w:ascii="Times New Roman" w:hAnsi="Times New Roman" w:cs="Times New Roman" w:eastAsiaTheme="minorEastAsia"/>
          <w:color w:val="auto"/>
          <w:spacing w:val="-2"/>
          <w:w w:val="99"/>
          <w:highlight w:val="none"/>
        </w:rPr>
        <w:t>m/d；</w:t>
      </w:r>
    </w:p>
    <w:p>
      <w:pPr>
        <w:widowControl w:val="0"/>
        <w:spacing w:line="500" w:lineRule="exact"/>
        <w:ind w:firstLine="466" w:firstLineChars="200"/>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I—水力坡度，无量纲</w:t>
      </w:r>
      <w:r>
        <w:rPr>
          <w:rFonts w:hint="eastAsia" w:ascii="Times New Roman" w:hAnsi="Times New Roman" w:cs="Times New Roman" w:eastAsiaTheme="minorEastAsia"/>
          <w:color w:val="auto"/>
          <w:spacing w:val="-2"/>
          <w:w w:val="99"/>
          <w:highlight w:val="none"/>
        </w:rPr>
        <w:t>，根据区域地下水现状调查点水位监测值及距离确定承压水水力坡度为</w:t>
      </w:r>
      <w:r>
        <w:rPr>
          <w:rFonts w:ascii="Times New Roman" w:hAnsi="Times New Roman" w:cs="Times New Roman"/>
          <w:color w:val="auto"/>
          <w:w w:val="99"/>
          <w:kern w:val="2"/>
          <w:szCs w:val="20"/>
          <w:highlight w:val="none"/>
        </w:rPr>
        <w:t>0.00</w:t>
      </w:r>
      <w:r>
        <w:rPr>
          <w:rFonts w:hint="eastAsia" w:ascii="Times New Roman" w:hAnsi="Times New Roman" w:cs="Times New Roman"/>
          <w:color w:val="auto"/>
          <w:w w:val="99"/>
          <w:kern w:val="2"/>
          <w:szCs w:val="20"/>
          <w:highlight w:val="none"/>
        </w:rPr>
        <w:t>023</w:t>
      </w:r>
      <w:r>
        <w:rPr>
          <w:rFonts w:ascii="Times New Roman" w:hAnsi="Times New Roman" w:cs="Times New Roman" w:eastAsiaTheme="minorEastAsia"/>
          <w:color w:val="auto"/>
          <w:spacing w:val="-2"/>
          <w:w w:val="99"/>
          <w:highlight w:val="none"/>
        </w:rPr>
        <w:t>；</w:t>
      </w:r>
    </w:p>
    <w:p>
      <w:pPr>
        <w:widowControl w:val="0"/>
        <w:spacing w:line="500" w:lineRule="exact"/>
        <w:ind w:firstLine="466" w:firstLineChars="200"/>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T—质点迁移天数</w:t>
      </w:r>
      <w:r>
        <w:rPr>
          <w:rFonts w:ascii="Times New Roman" w:hAnsi="Times New Roman" w:eastAsiaTheme="minorEastAsia"/>
          <w:snapToGrid w:val="0"/>
          <w:color w:val="auto"/>
          <w:w w:val="99"/>
          <w:highlight w:val="none"/>
        </w:rPr>
        <w:t>，取值不小于5000d，取5000d</w:t>
      </w:r>
      <w:r>
        <w:rPr>
          <w:rFonts w:ascii="Times New Roman" w:hAnsi="Times New Roman" w:cs="Times New Roman" w:eastAsiaTheme="minorEastAsia"/>
          <w:color w:val="auto"/>
          <w:spacing w:val="-2"/>
          <w:w w:val="99"/>
          <w:highlight w:val="none"/>
        </w:rPr>
        <w:t>；</w:t>
      </w:r>
    </w:p>
    <w:p>
      <w:pPr>
        <w:widowControl w:val="0"/>
        <w:spacing w:line="500" w:lineRule="exact"/>
        <w:ind w:firstLine="466" w:firstLineChars="200"/>
        <w:jc w:val="both"/>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n</w:t>
      </w:r>
      <w:r>
        <w:rPr>
          <w:rFonts w:ascii="Times New Roman" w:hAnsi="Times New Roman" w:cs="Times New Roman" w:eastAsiaTheme="minorEastAsia"/>
          <w:color w:val="auto"/>
          <w:spacing w:val="-2"/>
          <w:w w:val="99"/>
          <w:highlight w:val="none"/>
          <w:vertAlign w:val="subscript"/>
        </w:rPr>
        <w:t>e</w:t>
      </w:r>
      <w:r>
        <w:rPr>
          <w:rFonts w:ascii="Times New Roman" w:hAnsi="Times New Roman" w:cs="Times New Roman" w:eastAsiaTheme="minorEastAsia"/>
          <w:color w:val="auto"/>
          <w:spacing w:val="-2"/>
          <w:w w:val="99"/>
          <w:highlight w:val="none"/>
        </w:rPr>
        <w:t xml:space="preserve"> —有效孔隙度，无量纲</w:t>
      </w:r>
      <w:r>
        <w:rPr>
          <w:rFonts w:hint="eastAsia" w:ascii="Times New Roman" w:hAnsi="Times New Roman" w:cs="Times New Roman" w:eastAsiaTheme="minorEastAsia"/>
          <w:color w:val="auto"/>
          <w:spacing w:val="-2"/>
          <w:w w:val="99"/>
          <w:highlight w:val="none"/>
        </w:rPr>
        <w:t>，本次取0</w:t>
      </w:r>
      <w:r>
        <w:rPr>
          <w:rFonts w:ascii="Times New Roman" w:hAnsi="Times New Roman" w:cs="Times New Roman" w:eastAsiaTheme="minorEastAsia"/>
          <w:color w:val="auto"/>
          <w:spacing w:val="-2"/>
          <w:w w:val="99"/>
          <w:highlight w:val="none"/>
        </w:rPr>
        <w:t>.</w:t>
      </w:r>
      <w:r>
        <w:rPr>
          <w:rFonts w:hint="eastAsia" w:ascii="Times New Roman" w:hAnsi="Times New Roman" w:cs="Times New Roman" w:eastAsiaTheme="minorEastAsia"/>
          <w:color w:val="auto"/>
          <w:spacing w:val="-2"/>
          <w:w w:val="99"/>
          <w:highlight w:val="none"/>
        </w:rPr>
        <w:t>3</w:t>
      </w:r>
      <w:r>
        <w:rPr>
          <w:rFonts w:ascii="Times New Roman" w:hAnsi="Times New Roman" w:cs="Times New Roman" w:eastAsiaTheme="minorEastAsia"/>
          <w:color w:val="auto"/>
          <w:spacing w:val="-2"/>
          <w:w w:val="99"/>
          <w:highlight w:val="none"/>
        </w:rPr>
        <w:t>。</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由此计算L＝</w:t>
      </w:r>
      <w:r>
        <w:rPr>
          <w:rFonts w:hint="eastAsia" w:ascii="Times New Roman" w:hAnsi="Times New Roman" w:eastAsiaTheme="minorEastAsia"/>
          <w:snapToGrid w:val="0"/>
          <w:color w:val="auto"/>
          <w:w w:val="99"/>
          <w:highlight w:val="none"/>
        </w:rPr>
        <w:t>153.3</w:t>
      </w:r>
      <w:r>
        <w:rPr>
          <w:rFonts w:ascii="Times New Roman" w:hAnsi="Times New Roman" w:eastAsiaTheme="minorEastAsia"/>
          <w:snapToGrid w:val="0"/>
          <w:color w:val="auto"/>
          <w:w w:val="99"/>
          <w:highlight w:val="none"/>
        </w:rPr>
        <w:t>m，根据《环境影响评价技术导则 地下水环境》（HJ610-2016），地下水调查评价范围应为下游不小于</w:t>
      </w:r>
      <w:r>
        <w:rPr>
          <w:rFonts w:hint="eastAsia" w:ascii="Times New Roman" w:hAnsi="Times New Roman" w:eastAsiaTheme="minorEastAsia"/>
          <w:snapToGrid w:val="0"/>
          <w:color w:val="auto"/>
          <w:w w:val="99"/>
          <w:highlight w:val="none"/>
        </w:rPr>
        <w:t>153.3</w:t>
      </w:r>
      <w:r>
        <w:rPr>
          <w:rFonts w:ascii="Times New Roman" w:hAnsi="Times New Roman" w:eastAsiaTheme="minorEastAsia"/>
          <w:snapToGrid w:val="0"/>
          <w:color w:val="auto"/>
          <w:w w:val="99"/>
          <w:highlight w:val="none"/>
        </w:rPr>
        <w:t>m、两侧及上游不小于</w:t>
      </w:r>
      <w:r>
        <w:rPr>
          <w:rFonts w:hint="eastAsia" w:ascii="Times New Roman" w:hAnsi="Times New Roman" w:eastAsiaTheme="minorEastAsia"/>
          <w:snapToGrid w:val="0"/>
          <w:color w:val="auto"/>
          <w:w w:val="99"/>
          <w:highlight w:val="none"/>
        </w:rPr>
        <w:t>76.7</w:t>
      </w:r>
      <w:r>
        <w:rPr>
          <w:rFonts w:ascii="Times New Roman" w:hAnsi="Times New Roman" w:eastAsiaTheme="minorEastAsia"/>
          <w:snapToGrid w:val="0"/>
          <w:color w:val="auto"/>
          <w:w w:val="99"/>
          <w:highlight w:val="none"/>
        </w:rPr>
        <w:t>m。本项目区域包括新钻油井</w:t>
      </w:r>
      <w:r>
        <w:rPr>
          <w:rFonts w:hint="eastAsia" w:ascii="Times New Roman" w:hAnsi="Times New Roman" w:eastAsiaTheme="minorEastAsia"/>
          <w:snapToGrid w:val="0"/>
          <w:color w:val="auto"/>
          <w:w w:val="99"/>
          <w:highlight w:val="none"/>
        </w:rPr>
        <w:t>4</w:t>
      </w:r>
      <w:r>
        <w:rPr>
          <w:rFonts w:hint="eastAsia" w:ascii="Times New Roman" w:hAnsi="Times New Roman" w:eastAsiaTheme="minorEastAsia"/>
          <w:snapToGrid w:val="0"/>
          <w:color w:val="auto"/>
          <w:w w:val="99"/>
          <w:highlight w:val="none"/>
          <w:lang w:val="en-US" w:eastAsia="zh-CN"/>
        </w:rPr>
        <w:t>4</w:t>
      </w:r>
      <w:r>
        <w:rPr>
          <w:rFonts w:hint="eastAsia" w:ascii="Times New Roman" w:hAnsi="Times New Roman" w:eastAsiaTheme="minorEastAsia"/>
          <w:snapToGrid w:val="0"/>
          <w:color w:val="auto"/>
          <w:w w:val="99"/>
          <w:highlight w:val="none"/>
        </w:rPr>
        <w:t>口</w:t>
      </w:r>
      <w:r>
        <w:rPr>
          <w:rFonts w:ascii="Times New Roman" w:hAnsi="Times New Roman" w:eastAsiaTheme="minorEastAsia"/>
          <w:snapToGrid w:val="0"/>
          <w:color w:val="auto"/>
          <w:w w:val="99"/>
          <w:highlight w:val="none"/>
        </w:rPr>
        <w:t>，区域分散，距离较远，结合该区域地下水流向、工程周边村屯取水井分布的实际情况以及现状布点情况，确定地下水评价范围为拟建</w:t>
      </w:r>
      <w:r>
        <w:rPr>
          <w:rFonts w:hint="eastAsia" w:ascii="Times New Roman" w:hAnsi="Times New Roman" w:eastAsiaTheme="minorEastAsia"/>
          <w:snapToGrid w:val="0"/>
          <w:color w:val="auto"/>
          <w:w w:val="99"/>
          <w:highlight w:val="none"/>
        </w:rPr>
        <w:t>项目源35区块</w:t>
      </w:r>
      <w:r>
        <w:rPr>
          <w:rFonts w:ascii="Times New Roman" w:hAnsi="Times New Roman" w:eastAsiaTheme="minorEastAsia"/>
          <w:snapToGrid w:val="0"/>
          <w:color w:val="auto"/>
          <w:w w:val="99"/>
          <w:highlight w:val="none"/>
        </w:rPr>
        <w:t>边界上游</w:t>
      </w:r>
      <w:r>
        <w:rPr>
          <w:rFonts w:hint="eastAsia" w:ascii="Times New Roman" w:hAnsi="Times New Roman" w:eastAsiaTheme="minorEastAsia"/>
          <w:snapToGrid w:val="0"/>
          <w:color w:val="auto"/>
          <w:w w:val="99"/>
          <w:highlight w:val="none"/>
        </w:rPr>
        <w:t>2.1</w:t>
      </w:r>
      <w:r>
        <w:rPr>
          <w:rFonts w:ascii="Times New Roman" w:hAnsi="Times New Roman" w:eastAsiaTheme="minorEastAsia"/>
          <w:snapToGrid w:val="0"/>
          <w:color w:val="auto"/>
          <w:w w:val="99"/>
          <w:highlight w:val="none"/>
        </w:rPr>
        <w:t>km、两侧</w:t>
      </w:r>
      <w:r>
        <w:rPr>
          <w:rFonts w:hint="eastAsia" w:ascii="Times New Roman" w:hAnsi="Times New Roman" w:eastAsiaTheme="minorEastAsia"/>
          <w:snapToGrid w:val="0"/>
          <w:color w:val="auto"/>
          <w:w w:val="99"/>
          <w:highlight w:val="none"/>
        </w:rPr>
        <w:t>分别为2.8</w:t>
      </w:r>
      <w:r>
        <w:rPr>
          <w:rFonts w:ascii="Times New Roman" w:hAnsi="Times New Roman" w:eastAsiaTheme="minorEastAsia"/>
          <w:snapToGrid w:val="0"/>
          <w:color w:val="auto"/>
          <w:w w:val="99"/>
          <w:highlight w:val="none"/>
        </w:rPr>
        <w:t>km</w:t>
      </w:r>
      <w:r>
        <w:rPr>
          <w:rFonts w:hint="eastAsia" w:ascii="Times New Roman" w:hAnsi="Times New Roman" w:eastAsiaTheme="minorEastAsia"/>
          <w:snapToGrid w:val="0"/>
          <w:color w:val="auto"/>
          <w:w w:val="99"/>
          <w:highlight w:val="none"/>
        </w:rPr>
        <w:t>及2.8</w:t>
      </w:r>
      <w:r>
        <w:rPr>
          <w:rFonts w:ascii="Times New Roman" w:hAnsi="Times New Roman" w:eastAsiaTheme="minorEastAsia"/>
          <w:snapToGrid w:val="0"/>
          <w:color w:val="auto"/>
          <w:w w:val="99"/>
          <w:highlight w:val="none"/>
        </w:rPr>
        <w:t>km、下游</w:t>
      </w:r>
      <w:r>
        <w:rPr>
          <w:rFonts w:hint="eastAsia" w:ascii="Times New Roman" w:hAnsi="Times New Roman" w:eastAsiaTheme="minorEastAsia"/>
          <w:snapToGrid w:val="0"/>
          <w:color w:val="auto"/>
          <w:w w:val="99"/>
          <w:highlight w:val="none"/>
        </w:rPr>
        <w:t>2.3</w:t>
      </w:r>
      <w:r>
        <w:rPr>
          <w:rFonts w:ascii="Times New Roman" w:hAnsi="Times New Roman" w:eastAsiaTheme="minorEastAsia"/>
          <w:snapToGrid w:val="0"/>
          <w:color w:val="auto"/>
          <w:w w:val="99"/>
          <w:highlight w:val="none"/>
        </w:rPr>
        <w:t>km的东北→西南走向的矩形区域</w:t>
      </w: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本项目评价范围共计达</w:t>
      </w:r>
      <w:r>
        <w:rPr>
          <w:rFonts w:hint="eastAsia" w:ascii="Times New Roman" w:hAnsi="Times New Roman" w:eastAsiaTheme="minorEastAsia"/>
          <w:snapToGrid w:val="0"/>
          <w:color w:val="auto"/>
          <w:w w:val="99"/>
          <w:highlight w:val="none"/>
        </w:rPr>
        <w:t>24.64</w:t>
      </w:r>
      <w:r>
        <w:rPr>
          <w:rFonts w:ascii="Times New Roman" w:hAnsi="Times New Roman" w:eastAsiaTheme="minorEastAsia"/>
          <w:snapToGrid w:val="0"/>
          <w:color w:val="auto"/>
          <w:w w:val="99"/>
          <w:highlight w:val="none"/>
        </w:rPr>
        <w:t>km</w:t>
      </w:r>
      <w:r>
        <w:rPr>
          <w:rFonts w:ascii="Times New Roman" w:hAnsi="Times New Roman" w:eastAsiaTheme="minorEastAsia"/>
          <w:snapToGrid w:val="0"/>
          <w:color w:val="auto"/>
          <w:w w:val="99"/>
          <w:highlight w:val="none"/>
          <w:vertAlign w:val="superscript"/>
        </w:rPr>
        <w:t>2</w:t>
      </w:r>
      <w:r>
        <w:rPr>
          <w:rFonts w:ascii="Times New Roman" w:hAnsi="Times New Roman" w:eastAsiaTheme="minorEastAsia"/>
          <w:snapToGrid w:val="0"/>
          <w:color w:val="auto"/>
          <w:w w:val="99"/>
          <w:highlight w:val="none"/>
        </w:rPr>
        <w:t>。</w:t>
      </w:r>
    </w:p>
    <w:p>
      <w:pPr>
        <w:pStyle w:val="7"/>
        <w:keepNext w:val="0"/>
        <w:keepLines w:val="0"/>
        <w:widowControl w:val="0"/>
        <w:rPr>
          <w:b/>
          <w:color w:val="auto"/>
          <w:w w:val="99"/>
          <w:kern w:val="2"/>
          <w:sz w:val="24"/>
          <w:szCs w:val="24"/>
          <w:highlight w:val="none"/>
        </w:rPr>
      </w:pPr>
      <w:bookmarkStart w:id="312" w:name="_Toc69690797"/>
      <w:bookmarkStart w:id="313" w:name="_Toc67523580"/>
      <w:bookmarkStart w:id="314" w:name="_Toc80105131"/>
      <w:bookmarkStart w:id="315" w:name="_Toc61597208"/>
      <w:bookmarkStart w:id="316" w:name="_Toc77667275"/>
      <w:bookmarkStart w:id="317" w:name="_Toc74812302"/>
      <w:bookmarkStart w:id="318" w:name="_Toc71371930"/>
      <w:r>
        <w:rPr>
          <w:b/>
          <w:color w:val="auto"/>
          <w:w w:val="99"/>
          <w:kern w:val="2"/>
          <w:sz w:val="24"/>
          <w:szCs w:val="24"/>
          <w:highlight w:val="none"/>
        </w:rPr>
        <w:t>2.7.4声环境</w:t>
      </w:r>
      <w:bookmarkEnd w:id="312"/>
      <w:bookmarkEnd w:id="313"/>
      <w:bookmarkEnd w:id="314"/>
      <w:bookmarkEnd w:id="315"/>
      <w:bookmarkEnd w:id="316"/>
      <w:bookmarkEnd w:id="317"/>
      <w:bookmarkEnd w:id="318"/>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本项目声环境评价等级为二级，根据《建设项目环境影响评价技术导则 声环境》中要求，一级评价的要求一般以建设项目边界向外200m，二级评价范围可根据建设项目所在区域和相邻区域的声环境功能区类别及敏感目标等实际情况适当缩小，且经后续预测分析，项目声源计算得到的贡献值到200 m处可以满足《声环境质量标准》中的二级标准，因此，本项目声环境影响评价范围为拟钻井场边界</w:t>
      </w:r>
      <w:r>
        <w:rPr>
          <w:rFonts w:hint="eastAsia" w:ascii="Times New Roman" w:hAnsi="Times New Roman" w:eastAsiaTheme="minorEastAsia"/>
          <w:snapToGrid w:val="0"/>
          <w:color w:val="auto"/>
          <w:w w:val="99"/>
          <w:highlight w:val="none"/>
        </w:rPr>
        <w:t>及</w:t>
      </w:r>
      <w:r>
        <w:rPr>
          <w:rFonts w:ascii="Times New Roman" w:hAnsi="Times New Roman" w:eastAsiaTheme="minorEastAsia"/>
          <w:snapToGrid w:val="0"/>
          <w:color w:val="auto"/>
          <w:w w:val="99"/>
          <w:highlight w:val="none"/>
        </w:rPr>
        <w:t>施工便道两侧外延至200m范围内。</w:t>
      </w:r>
    </w:p>
    <w:p>
      <w:pPr>
        <w:pStyle w:val="7"/>
        <w:keepNext w:val="0"/>
        <w:keepLines w:val="0"/>
        <w:widowControl w:val="0"/>
        <w:rPr>
          <w:b/>
          <w:color w:val="auto"/>
          <w:w w:val="99"/>
          <w:kern w:val="2"/>
          <w:sz w:val="24"/>
          <w:szCs w:val="24"/>
          <w:highlight w:val="none"/>
        </w:rPr>
      </w:pPr>
      <w:bookmarkStart w:id="319" w:name="_Toc69690798"/>
      <w:bookmarkStart w:id="320" w:name="_Toc71371931"/>
      <w:bookmarkStart w:id="321" w:name="_Toc61597209"/>
      <w:bookmarkStart w:id="322" w:name="_Toc77667276"/>
      <w:bookmarkStart w:id="323" w:name="_Toc74812303"/>
      <w:bookmarkStart w:id="324" w:name="_Toc67523581"/>
      <w:bookmarkStart w:id="325" w:name="_Toc80105132"/>
      <w:r>
        <w:rPr>
          <w:b/>
          <w:color w:val="auto"/>
          <w:w w:val="99"/>
          <w:kern w:val="2"/>
          <w:sz w:val="24"/>
          <w:szCs w:val="24"/>
          <w:highlight w:val="none"/>
        </w:rPr>
        <w:t>2.7.5生态环境</w:t>
      </w:r>
      <w:bookmarkEnd w:id="319"/>
      <w:bookmarkEnd w:id="320"/>
      <w:bookmarkEnd w:id="321"/>
      <w:bookmarkEnd w:id="322"/>
      <w:bookmarkEnd w:id="323"/>
      <w:bookmarkEnd w:id="324"/>
      <w:bookmarkEnd w:id="325"/>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 xml:space="preserve">根据评价工作等级要求，考虑本项目所在区域的地形、地理特征，评价范围为拟建区块内井场外延1km区域内的生态环境，及施工便道两侧200m范围内的生态环境。 </w:t>
      </w:r>
    </w:p>
    <w:p>
      <w:pPr>
        <w:pStyle w:val="7"/>
        <w:keepNext w:val="0"/>
        <w:keepLines w:val="0"/>
        <w:widowControl w:val="0"/>
        <w:rPr>
          <w:b/>
          <w:color w:val="auto"/>
          <w:w w:val="99"/>
          <w:kern w:val="2"/>
          <w:sz w:val="24"/>
          <w:szCs w:val="24"/>
          <w:highlight w:val="none"/>
        </w:rPr>
      </w:pPr>
      <w:bookmarkStart w:id="326" w:name="_Toc69690799"/>
      <w:bookmarkStart w:id="327" w:name="_Toc67523582"/>
      <w:bookmarkStart w:id="328" w:name="_Toc61597210"/>
      <w:bookmarkStart w:id="329" w:name="_Toc74812304"/>
      <w:bookmarkStart w:id="330" w:name="_Toc71371932"/>
      <w:bookmarkStart w:id="331" w:name="_Toc80105133"/>
      <w:bookmarkStart w:id="332" w:name="_Toc77667277"/>
      <w:r>
        <w:rPr>
          <w:b/>
          <w:color w:val="auto"/>
          <w:w w:val="99"/>
          <w:kern w:val="2"/>
          <w:sz w:val="24"/>
          <w:szCs w:val="24"/>
          <w:highlight w:val="none"/>
        </w:rPr>
        <w:t>2.7.6土壤环境</w:t>
      </w:r>
      <w:bookmarkEnd w:id="326"/>
      <w:bookmarkEnd w:id="327"/>
      <w:bookmarkEnd w:id="328"/>
      <w:bookmarkEnd w:id="329"/>
      <w:bookmarkEnd w:id="330"/>
      <w:bookmarkEnd w:id="331"/>
      <w:bookmarkEnd w:id="332"/>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lang w:bidi="zh-CN"/>
        </w:rPr>
        <w:t>本项目为油井钻井项目，根据《环境影响评价技术导则 土壤环境（试行）》（HJ964-2018）中“表5现状调查范围”，确定本项目土壤评价范围为拟建区块内井场外延1km区域内的土壤环境。</w:t>
      </w:r>
    </w:p>
    <w:p>
      <w:pPr>
        <w:pStyle w:val="7"/>
        <w:keepNext w:val="0"/>
        <w:keepLines w:val="0"/>
        <w:widowControl w:val="0"/>
        <w:rPr>
          <w:b/>
          <w:color w:val="auto"/>
          <w:w w:val="99"/>
          <w:kern w:val="2"/>
          <w:sz w:val="24"/>
          <w:szCs w:val="24"/>
          <w:highlight w:val="none"/>
        </w:rPr>
      </w:pPr>
      <w:bookmarkStart w:id="333" w:name="_Toc74812305"/>
      <w:bookmarkStart w:id="334" w:name="_Toc71371933"/>
      <w:bookmarkStart w:id="335" w:name="_Toc67523583"/>
      <w:bookmarkStart w:id="336" w:name="_Toc69690800"/>
      <w:bookmarkStart w:id="337" w:name="_Toc80105134"/>
      <w:bookmarkStart w:id="338" w:name="_Toc77667278"/>
      <w:bookmarkStart w:id="339" w:name="_Toc61597211"/>
      <w:r>
        <w:rPr>
          <w:b/>
          <w:color w:val="auto"/>
          <w:w w:val="99"/>
          <w:kern w:val="2"/>
          <w:sz w:val="24"/>
          <w:szCs w:val="24"/>
          <w:highlight w:val="none"/>
        </w:rPr>
        <w:t>2.7.7环境风险</w:t>
      </w:r>
      <w:bookmarkEnd w:id="333"/>
      <w:bookmarkEnd w:id="334"/>
      <w:bookmarkEnd w:id="335"/>
      <w:bookmarkEnd w:id="336"/>
      <w:bookmarkEnd w:id="337"/>
      <w:bookmarkEnd w:id="338"/>
      <w:bookmarkEnd w:id="339"/>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本项目环境风险潜势为</w:t>
      </w:r>
      <w:r>
        <w:rPr>
          <w:rFonts w:hint="eastAsia" w:cs="宋体"/>
          <w:snapToGrid w:val="0"/>
          <w:color w:val="auto"/>
          <w:w w:val="99"/>
          <w:highlight w:val="none"/>
        </w:rPr>
        <w:t>Ⅰ</w:t>
      </w:r>
      <w:r>
        <w:rPr>
          <w:rFonts w:ascii="Times New Roman" w:hAnsi="Times New Roman" w:eastAsiaTheme="minorEastAsia"/>
          <w:snapToGrid w:val="0"/>
          <w:color w:val="auto"/>
          <w:w w:val="99"/>
          <w:highlight w:val="none"/>
        </w:rPr>
        <w:t>，风险评价等级为简单分析，</w:t>
      </w:r>
      <w:r>
        <w:rPr>
          <w:rFonts w:hint="eastAsia" w:ascii="Times New Roman" w:hAnsi="Times New Roman" w:cs="Times New Roman"/>
          <w:snapToGrid w:val="0"/>
          <w:color w:val="auto"/>
          <w:w w:val="99"/>
          <w:highlight w:val="none"/>
          <w:lang w:eastAsia="zh-CN"/>
        </w:rPr>
        <w:t>本项目</w:t>
      </w:r>
      <w:r>
        <w:rPr>
          <w:rFonts w:hint="eastAsia" w:ascii="Times New Roman" w:hAnsi="Times New Roman" w:eastAsia="宋体" w:cs="Times New Roman"/>
          <w:snapToGrid w:val="0"/>
          <w:color w:val="auto"/>
          <w:w w:val="99"/>
          <w:highlight w:val="none"/>
          <w:lang w:bidi="zh-CN"/>
        </w:rPr>
        <w:t>以</w:t>
      </w:r>
      <w:r>
        <w:rPr>
          <w:rFonts w:hint="default" w:ascii="Times New Roman" w:hAnsi="Times New Roman" w:eastAsia="宋体" w:cs="Times New Roman"/>
          <w:snapToGrid w:val="0"/>
          <w:color w:val="auto"/>
          <w:w w:val="99"/>
          <w:highlight w:val="none"/>
          <w:lang w:bidi="zh-CN"/>
        </w:rPr>
        <w:t>井场周边</w:t>
      </w:r>
      <w:r>
        <w:rPr>
          <w:rFonts w:hint="eastAsia" w:ascii="Times New Roman" w:hAnsi="Times New Roman" w:eastAsia="宋体" w:cs="Times New Roman"/>
          <w:snapToGrid w:val="0"/>
          <w:color w:val="auto"/>
          <w:w w:val="99"/>
          <w:highlight w:val="none"/>
          <w:lang w:bidi="zh-CN"/>
        </w:rPr>
        <w:t>500</w:t>
      </w:r>
      <w:r>
        <w:rPr>
          <w:rFonts w:hint="default" w:ascii="Times New Roman" w:hAnsi="Times New Roman" w:eastAsia="宋体" w:cs="Times New Roman"/>
          <w:snapToGrid w:val="0"/>
          <w:color w:val="auto"/>
          <w:w w:val="99"/>
          <w:highlight w:val="none"/>
          <w:lang w:bidi="zh-CN"/>
        </w:rPr>
        <w:t>m</w:t>
      </w:r>
      <w:r>
        <w:rPr>
          <w:rFonts w:hint="eastAsia" w:ascii="Times New Roman" w:hAnsi="Times New Roman" w:eastAsia="宋体" w:cs="Times New Roman"/>
          <w:snapToGrid w:val="0"/>
          <w:color w:val="auto"/>
          <w:w w:val="99"/>
          <w:highlight w:val="none"/>
          <w:lang w:bidi="zh-CN"/>
        </w:rPr>
        <w:t>作为环境</w:t>
      </w:r>
      <w:r>
        <w:rPr>
          <w:rFonts w:hint="default" w:ascii="Times New Roman" w:hAnsi="Times New Roman" w:eastAsia="宋体" w:cs="Times New Roman"/>
          <w:snapToGrid w:val="0"/>
          <w:color w:val="auto"/>
          <w:w w:val="99"/>
          <w:highlight w:val="none"/>
          <w:lang w:bidi="zh-CN"/>
        </w:rPr>
        <w:t>风险评价范围</w:t>
      </w:r>
      <w:r>
        <w:rPr>
          <w:rFonts w:ascii="Times New Roman" w:hAnsi="Times New Roman" w:eastAsiaTheme="minorEastAsia"/>
          <w:snapToGrid w:val="0"/>
          <w:color w:val="auto"/>
          <w:w w:val="99"/>
          <w:highlight w:val="none"/>
        </w:rPr>
        <w:t>。</w:t>
      </w:r>
    </w:p>
    <w:p>
      <w:pPr>
        <w:pStyle w:val="7"/>
        <w:keepNext w:val="0"/>
        <w:keepLines w:val="0"/>
        <w:widowControl w:val="0"/>
        <w:rPr>
          <w:b/>
          <w:color w:val="auto"/>
          <w:w w:val="99"/>
          <w:kern w:val="2"/>
          <w:sz w:val="24"/>
          <w:szCs w:val="24"/>
          <w:highlight w:val="none"/>
        </w:rPr>
      </w:pPr>
      <w:bookmarkStart w:id="340" w:name="_Toc71371934"/>
      <w:bookmarkStart w:id="341" w:name="_Toc74812306"/>
      <w:bookmarkStart w:id="342" w:name="_Toc77667279"/>
      <w:bookmarkStart w:id="343" w:name="_Toc69690801"/>
      <w:bookmarkStart w:id="344" w:name="_Toc67523584"/>
      <w:bookmarkStart w:id="345" w:name="_Toc80105135"/>
      <w:bookmarkStart w:id="346" w:name="_Toc61597212"/>
      <w:r>
        <w:rPr>
          <w:b/>
          <w:color w:val="auto"/>
          <w:w w:val="99"/>
          <w:kern w:val="2"/>
          <w:sz w:val="24"/>
          <w:szCs w:val="24"/>
          <w:highlight w:val="none"/>
        </w:rPr>
        <w:t>2.7.8各环境要素评价范围汇总</w:t>
      </w:r>
      <w:bookmarkEnd w:id="340"/>
      <w:bookmarkEnd w:id="341"/>
      <w:bookmarkEnd w:id="342"/>
      <w:bookmarkEnd w:id="343"/>
      <w:bookmarkEnd w:id="344"/>
      <w:bookmarkEnd w:id="345"/>
      <w:bookmarkEnd w:id="346"/>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各环境要素评价范围详见表2.7-1，各环境要素评价范围图见附图6。</w:t>
      </w:r>
    </w:p>
    <w:p>
      <w:pPr>
        <w:pStyle w:val="109"/>
        <w:widowControl w:val="0"/>
        <w:ind w:firstLine="473"/>
        <w:rPr>
          <w:rFonts w:ascii="Times New Roman" w:hAnsi="Times New Roman" w:eastAsiaTheme="minorEastAsia"/>
          <w:b/>
          <w:bCs/>
          <w:snapToGrid w:val="0"/>
          <w:color w:val="auto"/>
          <w:w w:val="99"/>
          <w:highlight w:val="none"/>
        </w:rPr>
      </w:pPr>
      <w:r>
        <w:rPr>
          <w:rFonts w:ascii="Times New Roman" w:hAnsi="Times New Roman" w:eastAsiaTheme="minorEastAsia"/>
          <w:b/>
          <w:bCs/>
          <w:snapToGrid w:val="0"/>
          <w:color w:val="auto"/>
          <w:w w:val="99"/>
          <w:highlight w:val="none"/>
        </w:rPr>
        <w:t>表2.7-1                     评价范围表</w:t>
      </w:r>
    </w:p>
    <w:tbl>
      <w:tblPr>
        <w:tblStyle w:val="8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3"/>
        <w:gridCol w:w="1597"/>
        <w:gridCol w:w="60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8"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项目</w:t>
            </w:r>
          </w:p>
        </w:tc>
        <w:tc>
          <w:tcPr>
            <w:tcW w:w="860"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评价等级</w:t>
            </w:r>
          </w:p>
        </w:tc>
        <w:tc>
          <w:tcPr>
            <w:tcW w:w="3282"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评价范围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8"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环境空气</w:t>
            </w:r>
          </w:p>
        </w:tc>
        <w:tc>
          <w:tcPr>
            <w:tcW w:w="860"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3282"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lang w:val="en-US"/>
              </w:rPr>
              <w:t>拟钻井场边界外</w:t>
            </w:r>
            <w:r>
              <w:rPr>
                <w:rFonts w:hint="default" w:ascii="Times New Roman" w:hAnsi="Times New Roman" w:eastAsia="宋体" w:cs="Times New Roman"/>
                <w:color w:val="auto"/>
                <w:w w:val="99"/>
                <w:kern w:val="2"/>
                <w:sz w:val="21"/>
                <w:szCs w:val="21"/>
                <w:highlight w:val="none"/>
                <w:lang w:val="en-US" w:eastAsia="zh-CN"/>
              </w:rPr>
              <w:t>扩50</w:t>
            </w:r>
            <w:r>
              <w:rPr>
                <w:rFonts w:hint="default" w:ascii="Times New Roman" w:hAnsi="Times New Roman" w:eastAsia="宋体" w:cs="Times New Roman"/>
                <w:color w:val="auto"/>
                <w:w w:val="99"/>
                <w:kern w:val="2"/>
                <w:sz w:val="21"/>
                <w:szCs w:val="21"/>
                <w:highlight w:val="none"/>
                <w:lang w:val="en-US"/>
              </w:rPr>
              <w:t>0m范围内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8"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声环境</w:t>
            </w:r>
          </w:p>
        </w:tc>
        <w:tc>
          <w:tcPr>
            <w:tcW w:w="860"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二级</w:t>
            </w:r>
          </w:p>
        </w:tc>
        <w:tc>
          <w:tcPr>
            <w:tcW w:w="3282"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拟钻井场边界</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施工便道两侧外延至200m范围内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8"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地表水环境</w:t>
            </w:r>
          </w:p>
        </w:tc>
        <w:tc>
          <w:tcPr>
            <w:tcW w:w="860"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三级B</w:t>
            </w:r>
          </w:p>
        </w:tc>
        <w:tc>
          <w:tcPr>
            <w:tcW w:w="3282" w:type="pct"/>
            <w:vAlign w:val="center"/>
          </w:tcPr>
          <w:p>
            <w:pPr>
              <w:widowControl w:val="0"/>
              <w:adjustRightInd w:val="0"/>
              <w:snapToGrid w:val="0"/>
              <w:spacing w:line="320" w:lineRule="exact"/>
              <w:jc w:val="center"/>
              <w:rPr>
                <w:rFonts w:hint="eastAsia" w:ascii="Times New Roman" w:hAnsi="Times New Roman" w:cs="Times New Roman" w:eastAsiaTheme="minorEastAsia"/>
                <w:color w:val="auto"/>
                <w:w w:val="99"/>
                <w:kern w:val="2"/>
                <w:sz w:val="21"/>
                <w:szCs w:val="21"/>
                <w:highlight w:val="none"/>
                <w:lang w:eastAsia="zh-CN"/>
              </w:rPr>
            </w:pPr>
            <w:r>
              <w:rPr>
                <w:rFonts w:hint="eastAsia" w:ascii="Times New Roman" w:hAnsi="Times New Roman" w:cs="Times New Roman" w:eastAsiaTheme="minorEastAsia"/>
                <w:color w:val="auto"/>
                <w:w w:val="99"/>
                <w:kern w:val="2"/>
                <w:sz w:val="21"/>
                <w:szCs w:val="21"/>
                <w:highlight w:val="none"/>
                <w:lang w:eastAsia="zh-CN"/>
              </w:rPr>
              <w:t>本工程开发区块周边无地表水体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8"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地下水环境</w:t>
            </w:r>
          </w:p>
        </w:tc>
        <w:tc>
          <w:tcPr>
            <w:tcW w:w="860"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二级</w:t>
            </w:r>
          </w:p>
        </w:tc>
        <w:tc>
          <w:tcPr>
            <w:tcW w:w="3282"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拟建</w:t>
            </w:r>
            <w:r>
              <w:rPr>
                <w:rFonts w:hint="eastAsia" w:ascii="Times New Roman" w:hAnsi="Times New Roman" w:cs="Times New Roman" w:eastAsiaTheme="minorEastAsia"/>
                <w:color w:val="auto"/>
                <w:w w:val="99"/>
                <w:kern w:val="2"/>
                <w:sz w:val="21"/>
                <w:szCs w:val="21"/>
                <w:highlight w:val="none"/>
              </w:rPr>
              <w:t>项目源35区块</w:t>
            </w:r>
            <w:r>
              <w:rPr>
                <w:rFonts w:ascii="Times New Roman" w:hAnsi="Times New Roman" w:cs="Times New Roman" w:eastAsiaTheme="minorEastAsia"/>
                <w:color w:val="auto"/>
                <w:w w:val="99"/>
                <w:kern w:val="2"/>
                <w:sz w:val="21"/>
                <w:szCs w:val="21"/>
                <w:highlight w:val="none"/>
              </w:rPr>
              <w:t>边界上游</w:t>
            </w:r>
            <w:r>
              <w:rPr>
                <w:rFonts w:hint="eastAsia" w:ascii="Times New Roman" w:hAnsi="Times New Roman" w:cs="Times New Roman" w:eastAsiaTheme="minorEastAsia"/>
                <w:color w:val="auto"/>
                <w:w w:val="99"/>
                <w:kern w:val="2"/>
                <w:sz w:val="21"/>
                <w:szCs w:val="21"/>
                <w:highlight w:val="none"/>
              </w:rPr>
              <w:t>2.1</w:t>
            </w:r>
            <w:r>
              <w:rPr>
                <w:rFonts w:ascii="Times New Roman" w:hAnsi="Times New Roman" w:cs="Times New Roman" w:eastAsiaTheme="minorEastAsia"/>
                <w:color w:val="auto"/>
                <w:w w:val="99"/>
                <w:kern w:val="2"/>
                <w:sz w:val="21"/>
                <w:szCs w:val="21"/>
                <w:highlight w:val="none"/>
              </w:rPr>
              <w:t>km、两侧</w:t>
            </w:r>
            <w:r>
              <w:rPr>
                <w:rFonts w:hint="eastAsia" w:ascii="Times New Roman" w:hAnsi="Times New Roman" w:cs="Times New Roman" w:eastAsiaTheme="minorEastAsia"/>
                <w:color w:val="auto"/>
                <w:w w:val="99"/>
                <w:kern w:val="2"/>
                <w:sz w:val="21"/>
                <w:szCs w:val="21"/>
                <w:highlight w:val="none"/>
              </w:rPr>
              <w:t>分别为2.8</w:t>
            </w:r>
            <w:r>
              <w:rPr>
                <w:rFonts w:ascii="Times New Roman" w:hAnsi="Times New Roman" w:cs="Times New Roman" w:eastAsiaTheme="minorEastAsia"/>
                <w:color w:val="auto"/>
                <w:w w:val="99"/>
                <w:kern w:val="2"/>
                <w:sz w:val="21"/>
                <w:szCs w:val="21"/>
                <w:highlight w:val="none"/>
              </w:rPr>
              <w:t>km</w:t>
            </w:r>
            <w:r>
              <w:rPr>
                <w:rFonts w:hint="eastAsia" w:ascii="Times New Roman" w:hAnsi="Times New Roman" w:cs="Times New Roman" w:eastAsiaTheme="minorEastAsia"/>
                <w:color w:val="auto"/>
                <w:w w:val="99"/>
                <w:kern w:val="2"/>
                <w:sz w:val="21"/>
                <w:szCs w:val="21"/>
                <w:highlight w:val="none"/>
              </w:rPr>
              <w:t>及2.8</w:t>
            </w:r>
            <w:r>
              <w:rPr>
                <w:rFonts w:ascii="Times New Roman" w:hAnsi="Times New Roman" w:cs="Times New Roman" w:eastAsiaTheme="minorEastAsia"/>
                <w:color w:val="auto"/>
                <w:w w:val="99"/>
                <w:kern w:val="2"/>
                <w:sz w:val="21"/>
                <w:szCs w:val="21"/>
                <w:highlight w:val="none"/>
              </w:rPr>
              <w:t>km、下游</w:t>
            </w:r>
            <w:r>
              <w:rPr>
                <w:rFonts w:hint="eastAsia" w:ascii="Times New Roman" w:hAnsi="Times New Roman" w:cs="Times New Roman" w:eastAsiaTheme="minorEastAsia"/>
                <w:color w:val="auto"/>
                <w:w w:val="99"/>
                <w:kern w:val="2"/>
                <w:sz w:val="21"/>
                <w:szCs w:val="21"/>
                <w:highlight w:val="none"/>
              </w:rPr>
              <w:t>2.3</w:t>
            </w:r>
            <w:r>
              <w:rPr>
                <w:rFonts w:ascii="Times New Roman" w:hAnsi="Times New Roman" w:cs="Times New Roman" w:eastAsiaTheme="minorEastAsia"/>
                <w:color w:val="auto"/>
                <w:w w:val="99"/>
                <w:kern w:val="2"/>
                <w:sz w:val="21"/>
                <w:szCs w:val="21"/>
                <w:highlight w:val="none"/>
              </w:rPr>
              <w:t>km的东北→西南走向的矩形区域</w:t>
            </w:r>
            <w:r>
              <w:rPr>
                <w:rFonts w:hint="eastAsia" w:ascii="Times New Roman" w:hAnsi="Times New Roman" w:cs="Times New Roman" w:eastAsiaTheme="minor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本项目评价范围共计达</w:t>
            </w:r>
            <w:r>
              <w:rPr>
                <w:rFonts w:hint="eastAsia" w:ascii="Times New Roman" w:hAnsi="Times New Roman" w:cs="Times New Roman" w:eastAsiaTheme="minorEastAsia"/>
                <w:color w:val="auto"/>
                <w:w w:val="99"/>
                <w:kern w:val="2"/>
                <w:sz w:val="21"/>
                <w:szCs w:val="21"/>
                <w:highlight w:val="none"/>
                <w:lang w:val="en-US" w:eastAsia="zh-CN"/>
              </w:rPr>
              <w:t>24.64</w:t>
            </w:r>
            <w:r>
              <w:rPr>
                <w:rFonts w:ascii="Times New Roman" w:hAnsi="Times New Roman" w:cs="Times New Roman" w:eastAsiaTheme="minorEastAsia"/>
                <w:color w:val="auto"/>
                <w:w w:val="99"/>
                <w:kern w:val="2"/>
                <w:sz w:val="21"/>
                <w:szCs w:val="21"/>
                <w:highlight w:val="none"/>
              </w:rPr>
              <w:t>km</w:t>
            </w:r>
            <w:r>
              <w:rPr>
                <w:rFonts w:ascii="Times New Roman" w:hAnsi="Times New Roman" w:cs="Times New Roman" w:eastAsiaTheme="minorEastAsia"/>
                <w:color w:val="auto"/>
                <w:w w:val="99"/>
                <w:kern w:val="2"/>
                <w:sz w:val="21"/>
                <w:szCs w:val="21"/>
                <w:highlight w:val="none"/>
                <w:vertAlign w:val="superscript"/>
              </w:rPr>
              <w:t>2</w:t>
            </w:r>
            <w:r>
              <w:rPr>
                <w:rFonts w:ascii="Times New Roman" w:hAnsi="Times New Roman" w:cs="Times New Roman" w:eastAsiaTheme="minorEastAsia"/>
                <w:color w:val="auto"/>
                <w:w w:val="99"/>
                <w:kern w:val="2"/>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8"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土壤环境</w:t>
            </w:r>
          </w:p>
        </w:tc>
        <w:tc>
          <w:tcPr>
            <w:tcW w:w="860"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一级</w:t>
            </w:r>
          </w:p>
        </w:tc>
        <w:tc>
          <w:tcPr>
            <w:tcW w:w="3282"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拟建区块内井场外延1km区域内的土壤环境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8"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生态环境</w:t>
            </w:r>
          </w:p>
        </w:tc>
        <w:tc>
          <w:tcPr>
            <w:tcW w:w="860"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三级</w:t>
            </w:r>
          </w:p>
        </w:tc>
        <w:tc>
          <w:tcPr>
            <w:tcW w:w="3282"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拟建区块内井场外延1km区域内的生态环境，及施工便道两侧200m范围内的生态环境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8"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环境风险</w:t>
            </w:r>
          </w:p>
        </w:tc>
        <w:tc>
          <w:tcPr>
            <w:tcW w:w="860"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简单分析</w:t>
            </w:r>
          </w:p>
        </w:tc>
        <w:tc>
          <w:tcPr>
            <w:tcW w:w="3282"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lang w:val="en-US"/>
              </w:rPr>
              <w:t>拟钻井场边界外</w:t>
            </w:r>
            <w:r>
              <w:rPr>
                <w:rFonts w:hint="default" w:ascii="Times New Roman" w:hAnsi="Times New Roman" w:eastAsia="宋体" w:cs="Times New Roman"/>
                <w:color w:val="auto"/>
                <w:w w:val="99"/>
                <w:kern w:val="2"/>
                <w:sz w:val="21"/>
                <w:szCs w:val="21"/>
                <w:highlight w:val="none"/>
                <w:lang w:val="en-US" w:eastAsia="zh-CN"/>
              </w:rPr>
              <w:t>扩50</w:t>
            </w:r>
            <w:r>
              <w:rPr>
                <w:rFonts w:hint="default" w:ascii="Times New Roman" w:hAnsi="Times New Roman" w:eastAsia="宋体" w:cs="Times New Roman"/>
                <w:color w:val="auto"/>
                <w:w w:val="99"/>
                <w:kern w:val="2"/>
                <w:sz w:val="21"/>
                <w:szCs w:val="21"/>
                <w:highlight w:val="none"/>
                <w:lang w:val="en-US"/>
              </w:rPr>
              <w:t>0m范围内</w:t>
            </w:r>
          </w:p>
        </w:tc>
      </w:tr>
      <w:bookmarkEnd w:id="289"/>
      <w:bookmarkEnd w:id="290"/>
    </w:tbl>
    <w:p>
      <w:pPr>
        <w:pStyle w:val="5"/>
        <w:keepNext w:val="0"/>
        <w:keepLines w:val="0"/>
        <w:widowControl w:val="0"/>
        <w:rPr>
          <w:rFonts w:ascii="Times New Roman" w:hAnsi="Times New Roman"/>
          <w:b/>
          <w:snapToGrid w:val="0"/>
          <w:color w:val="auto"/>
          <w:w w:val="99"/>
          <w:highlight w:val="none"/>
        </w:rPr>
      </w:pPr>
      <w:bookmarkStart w:id="347" w:name="_Toc80105136"/>
      <w:r>
        <w:rPr>
          <w:rFonts w:ascii="Times New Roman" w:hAnsi="Times New Roman"/>
          <w:b/>
          <w:snapToGrid w:val="0"/>
          <w:color w:val="auto"/>
          <w:w w:val="99"/>
          <w:highlight w:val="none"/>
        </w:rPr>
        <w:t>2.8环境保护目标</w:t>
      </w:r>
      <w:bookmarkEnd w:id="347"/>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bookmarkStart w:id="348" w:name="_Toc11047822"/>
      <w:r>
        <w:rPr>
          <w:rFonts w:ascii="Times New Roman" w:hAnsi="Times New Roman" w:cs="Times New Roman" w:eastAsiaTheme="minorEastAsia"/>
          <w:bCs/>
          <w:color w:val="auto"/>
          <w:w w:val="99"/>
          <w:kern w:val="21"/>
          <w:highlight w:val="none"/>
        </w:rPr>
        <w:t>根据调查，本项目施工区域内无自然保护区、风景名胜区、文物古迹和饮用水水源保护区分布，不在生态红线范围内。</w:t>
      </w:r>
      <w:bookmarkEnd w:id="348"/>
      <w:r>
        <w:rPr>
          <w:rFonts w:ascii="Times New Roman" w:hAnsi="Times New Roman" w:cs="Times New Roman" w:eastAsiaTheme="minorEastAsia"/>
          <w:bCs/>
          <w:color w:val="auto"/>
          <w:w w:val="99"/>
          <w:kern w:val="21"/>
          <w:highlight w:val="none"/>
        </w:rPr>
        <w:t>项目主要大气环境保护目标见表2.8-1，地下水环境保护目标见表2.8-2，环境风险保护目标见表2.8-3，其他环境要素保护目标见表2.8-4，主要环境保护目标分布图见附图6。</w:t>
      </w:r>
    </w:p>
    <w:p>
      <w:pPr>
        <w:widowControl w:val="0"/>
        <w:spacing w:line="500" w:lineRule="exact"/>
        <w:ind w:firstLine="476" w:firstLineChars="200"/>
        <w:rPr>
          <w:rFonts w:ascii="Times New Roman" w:hAnsi="Times New Roman" w:cs="Times New Roman" w:eastAsiaTheme="minorEastAsia"/>
          <w:b/>
          <w:bCs w:val="0"/>
          <w:color w:val="auto"/>
          <w:w w:val="99"/>
          <w:kern w:val="2"/>
          <w:highlight w:val="none"/>
        </w:rPr>
      </w:pPr>
      <w:r>
        <w:rPr>
          <w:rFonts w:ascii="Times New Roman" w:hAnsi="Times New Roman" w:cs="Times New Roman" w:eastAsiaTheme="minorEastAsia"/>
          <w:b/>
          <w:bCs w:val="0"/>
          <w:color w:val="auto"/>
          <w:w w:val="99"/>
          <w:kern w:val="21"/>
          <w:highlight w:val="none"/>
        </w:rPr>
        <w:t>表2.8-1</w:t>
      </w:r>
      <w:r>
        <w:rPr>
          <w:rFonts w:ascii="Times New Roman" w:hAnsi="Times New Roman" w:cs="Times New Roman" w:eastAsiaTheme="minorEastAsia"/>
          <w:b/>
          <w:bCs w:val="0"/>
          <w:color w:val="auto"/>
          <w:w w:val="99"/>
          <w:kern w:val="2"/>
          <w:highlight w:val="none"/>
        </w:rPr>
        <w:t xml:space="preserve">                 大气主要环境保护目标表</w:t>
      </w:r>
    </w:p>
    <w:tbl>
      <w:tblPr>
        <w:tblStyle w:val="82"/>
        <w:tblW w:w="907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134"/>
        <w:gridCol w:w="1134"/>
        <w:gridCol w:w="709"/>
        <w:gridCol w:w="1843"/>
        <w:gridCol w:w="708"/>
        <w:gridCol w:w="22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Merge w:val="restar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名称</w:t>
            </w:r>
          </w:p>
        </w:tc>
        <w:tc>
          <w:tcPr>
            <w:tcW w:w="2268" w:type="dxa"/>
            <w:gridSpan w:val="2"/>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坐标</w:t>
            </w:r>
          </w:p>
        </w:tc>
        <w:tc>
          <w:tcPr>
            <w:tcW w:w="709"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保护对象</w:t>
            </w:r>
          </w:p>
        </w:tc>
        <w:tc>
          <w:tcPr>
            <w:tcW w:w="1843"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保护内容</w:t>
            </w:r>
          </w:p>
        </w:tc>
        <w:tc>
          <w:tcPr>
            <w:tcW w:w="708"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环境功能区</w:t>
            </w:r>
          </w:p>
        </w:tc>
        <w:tc>
          <w:tcPr>
            <w:tcW w:w="2268"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相对方位及距离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经度</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纬度</w:t>
            </w:r>
          </w:p>
        </w:tc>
        <w:tc>
          <w:tcPr>
            <w:tcW w:w="709"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43"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708"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2268"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Align w:val="center"/>
          </w:tcPr>
          <w:p>
            <w:pPr>
              <w:widowControl w:val="0"/>
              <w:spacing w:line="360" w:lineRule="exact"/>
              <w:jc w:val="center"/>
              <w:rPr>
                <w:rFonts w:hint="eastAsia" w:ascii="Times New Roman" w:hAnsi="Times New Roman" w:cs="Times New Roman" w:eastAsiaTheme="minorEastAsia"/>
                <w:color w:val="auto"/>
                <w:w w:val="99"/>
                <w:kern w:val="2"/>
                <w:sz w:val="21"/>
                <w:szCs w:val="21"/>
                <w:highlight w:val="none"/>
                <w:lang w:eastAsia="zh-CN"/>
              </w:rPr>
            </w:pPr>
            <w:r>
              <w:rPr>
                <w:rFonts w:hint="eastAsia" w:ascii="Times New Roman" w:hAnsi="Times New Roman" w:cs="Times New Roman" w:eastAsiaTheme="minorEastAsia"/>
                <w:color w:val="auto"/>
                <w:w w:val="99"/>
                <w:kern w:val="2"/>
                <w:sz w:val="21"/>
                <w:szCs w:val="21"/>
                <w:highlight w:val="none"/>
                <w:lang w:eastAsia="zh-CN"/>
              </w:rPr>
              <w:t>后仓粮</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125.01634598</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45.57980556</w:t>
            </w:r>
          </w:p>
        </w:tc>
        <w:tc>
          <w:tcPr>
            <w:tcW w:w="709"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居民</w:t>
            </w:r>
          </w:p>
        </w:tc>
        <w:tc>
          <w:tcPr>
            <w:tcW w:w="184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w:t>
            </w:r>
            <w:r>
              <w:rPr>
                <w:rFonts w:hint="eastAsia" w:ascii="Times New Roman" w:hAnsi="Times New Roman" w:cs="Times New Roman" w:eastAsiaTheme="minorEastAsia"/>
                <w:color w:val="auto"/>
                <w:w w:val="99"/>
                <w:kern w:val="2"/>
                <w:sz w:val="21"/>
                <w:szCs w:val="21"/>
                <w:highlight w:val="none"/>
                <w:lang w:val="en-US" w:eastAsia="zh-CN"/>
              </w:rPr>
              <w:t>2</w:t>
            </w:r>
            <w:r>
              <w:rPr>
                <w:rFonts w:hint="eastAsia" w:ascii="Times New Roman" w:hAnsi="Times New Roman" w:cs="Times New Roman" w:eastAsiaTheme="minorEastAsia"/>
                <w:color w:val="auto"/>
                <w:w w:val="99"/>
                <w:kern w:val="2"/>
                <w:sz w:val="21"/>
                <w:szCs w:val="21"/>
                <w:highlight w:val="none"/>
              </w:rPr>
              <w:t>00人</w:t>
            </w:r>
          </w:p>
        </w:tc>
        <w:tc>
          <w:tcPr>
            <w:tcW w:w="708"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二类</w:t>
            </w:r>
          </w:p>
        </w:tc>
        <w:tc>
          <w:tcPr>
            <w:tcW w:w="2268"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拟钻井源244-134</w:t>
            </w:r>
            <w:r>
              <w:rPr>
                <w:rFonts w:hint="eastAsia" w:ascii="Times New Roman" w:hAnsi="Times New Roman" w:cs="Times New Roman" w:eastAsiaTheme="minorEastAsia"/>
                <w:color w:val="auto"/>
                <w:w w:val="99"/>
                <w:kern w:val="2"/>
                <w:sz w:val="21"/>
                <w:szCs w:val="21"/>
                <w:highlight w:val="none"/>
                <w:lang w:eastAsia="zh-CN"/>
              </w:rPr>
              <w:t>东北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val="en-US" w:eastAsia="zh-CN"/>
              </w:rPr>
              <w:t>537</w:t>
            </w:r>
            <w:r>
              <w:rPr>
                <w:rFonts w:ascii="Times New Roman" w:hAnsi="Times New Roman" w:cs="Times New Roman" w:eastAsiaTheme="minorEastAsia"/>
                <w:color w:val="auto"/>
                <w:w w:val="99"/>
                <w:kern w:val="2"/>
                <w:sz w:val="21"/>
                <w:szCs w:val="21"/>
                <w:highlight w:val="none"/>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eastAsia="zh-CN"/>
              </w:rPr>
            </w:pPr>
            <w:r>
              <w:rPr>
                <w:rFonts w:hint="eastAsia" w:ascii="Times New Roman" w:hAnsi="Times New Roman" w:cs="Times New Roman" w:eastAsiaTheme="minorEastAsia"/>
                <w:color w:val="auto"/>
                <w:w w:val="99"/>
                <w:kern w:val="2"/>
                <w:sz w:val="21"/>
                <w:szCs w:val="21"/>
                <w:highlight w:val="none"/>
                <w:lang w:eastAsia="zh-CN"/>
              </w:rPr>
              <w:t>三胜村</w:t>
            </w:r>
          </w:p>
        </w:tc>
        <w:tc>
          <w:tcPr>
            <w:tcW w:w="1134" w:type="dxa"/>
            <w:vAlign w:val="center"/>
          </w:tcPr>
          <w:p>
            <w:pPr>
              <w:widowControl w:val="0"/>
              <w:spacing w:line="360" w:lineRule="exact"/>
              <w:jc w:val="center"/>
              <w:rPr>
                <w:rFonts w:ascii="Times New Roman" w:hAnsi="Times New Roman" w:cs="Times New Roman" w:eastAsiaTheme="minorEastAsia"/>
                <w:bCs/>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124.97506142</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45.56394373</w:t>
            </w:r>
          </w:p>
        </w:tc>
        <w:tc>
          <w:tcPr>
            <w:tcW w:w="709"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居民</w:t>
            </w:r>
          </w:p>
        </w:tc>
        <w:tc>
          <w:tcPr>
            <w:tcW w:w="184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居民约210人</w:t>
            </w:r>
          </w:p>
        </w:tc>
        <w:tc>
          <w:tcPr>
            <w:tcW w:w="708"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二类</w:t>
            </w:r>
          </w:p>
        </w:tc>
        <w:tc>
          <w:tcPr>
            <w:tcW w:w="2268"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拟钻井源296-108</w:t>
            </w:r>
            <w:r>
              <w:rPr>
                <w:rFonts w:hint="eastAsia" w:ascii="Times New Roman" w:hAnsi="Times New Roman" w:cs="Times New Roman" w:eastAsiaTheme="minorEastAsia"/>
                <w:color w:val="auto"/>
                <w:w w:val="99"/>
                <w:kern w:val="2"/>
                <w:sz w:val="21"/>
                <w:szCs w:val="21"/>
                <w:highlight w:val="none"/>
                <w:lang w:eastAsia="zh-CN"/>
              </w:rPr>
              <w:t>西</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val="en-US" w:eastAsia="zh-CN" w:bidi="ar"/>
              </w:rPr>
              <w:t>658</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Align w:val="center"/>
          </w:tcPr>
          <w:p>
            <w:pPr>
              <w:widowControl w:val="0"/>
              <w:snapToGrid w:val="0"/>
              <w:spacing w:line="360" w:lineRule="exact"/>
              <w:jc w:val="center"/>
              <w:rPr>
                <w:rFonts w:hint="eastAsia" w:ascii="Times New Roman" w:hAnsi="Times New Roman" w:cs="Times New Roman" w:eastAsiaTheme="minorEastAsia"/>
                <w:bCs/>
                <w:color w:val="auto"/>
                <w:w w:val="99"/>
                <w:kern w:val="2"/>
                <w:sz w:val="21"/>
                <w:szCs w:val="21"/>
                <w:highlight w:val="none"/>
                <w:lang w:eastAsia="zh-CN"/>
              </w:rPr>
            </w:pPr>
            <w:r>
              <w:rPr>
                <w:rFonts w:hint="eastAsia" w:ascii="Times New Roman" w:hAnsi="Times New Roman" w:cs="Times New Roman" w:eastAsiaTheme="minorEastAsia"/>
                <w:bCs/>
                <w:color w:val="auto"/>
                <w:w w:val="99"/>
                <w:kern w:val="2"/>
                <w:sz w:val="21"/>
                <w:szCs w:val="21"/>
                <w:highlight w:val="none"/>
                <w:lang w:eastAsia="zh-CN"/>
              </w:rPr>
              <w:t>后永利村</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125.00016689</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45.55036149</w:t>
            </w:r>
          </w:p>
        </w:tc>
        <w:tc>
          <w:tcPr>
            <w:tcW w:w="709"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居民</w:t>
            </w:r>
          </w:p>
        </w:tc>
        <w:tc>
          <w:tcPr>
            <w:tcW w:w="184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居民约515人</w:t>
            </w:r>
          </w:p>
        </w:tc>
        <w:tc>
          <w:tcPr>
            <w:tcW w:w="708"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二类</w:t>
            </w:r>
          </w:p>
        </w:tc>
        <w:tc>
          <w:tcPr>
            <w:tcW w:w="2268"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拟钻井源312-116东南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val="en-US" w:eastAsia="zh-CN" w:bidi="ar"/>
              </w:rPr>
              <w:t>516</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厢房屯</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125.00454426</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45.56830017</w:t>
            </w:r>
          </w:p>
        </w:tc>
        <w:tc>
          <w:tcPr>
            <w:tcW w:w="709"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居民</w:t>
            </w:r>
          </w:p>
        </w:tc>
        <w:tc>
          <w:tcPr>
            <w:tcW w:w="184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居民约315人</w:t>
            </w:r>
          </w:p>
        </w:tc>
        <w:tc>
          <w:tcPr>
            <w:tcW w:w="708"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二类</w:t>
            </w:r>
          </w:p>
        </w:tc>
        <w:tc>
          <w:tcPr>
            <w:tcW w:w="2268"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拟钻井源248-130南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234m</w:t>
            </w:r>
          </w:p>
        </w:tc>
      </w:tr>
    </w:tbl>
    <w:p>
      <w:pPr>
        <w:widowControl w:val="0"/>
        <w:spacing w:line="500" w:lineRule="exact"/>
        <w:ind w:firstLine="476" w:firstLineChars="200"/>
        <w:rPr>
          <w:rFonts w:ascii="Times New Roman" w:hAnsi="Times New Roman" w:cs="Times New Roman" w:eastAsiaTheme="minorEastAsia"/>
          <w:b/>
          <w:bCs w:val="0"/>
          <w:color w:val="auto"/>
          <w:w w:val="99"/>
          <w:kern w:val="2"/>
          <w:highlight w:val="none"/>
        </w:rPr>
      </w:pPr>
      <w:r>
        <w:rPr>
          <w:rFonts w:ascii="Times New Roman" w:hAnsi="Times New Roman" w:cs="Times New Roman" w:eastAsiaTheme="minorEastAsia"/>
          <w:b/>
          <w:bCs w:val="0"/>
          <w:color w:val="auto"/>
          <w:w w:val="99"/>
          <w:kern w:val="21"/>
          <w:highlight w:val="none"/>
        </w:rPr>
        <w:t>表2.8-2</w:t>
      </w:r>
      <w:r>
        <w:rPr>
          <w:rFonts w:ascii="Times New Roman" w:hAnsi="Times New Roman" w:cs="Times New Roman" w:eastAsiaTheme="minorEastAsia"/>
          <w:b/>
          <w:bCs w:val="0"/>
          <w:color w:val="auto"/>
          <w:w w:val="99"/>
          <w:kern w:val="2"/>
          <w:highlight w:val="none"/>
        </w:rPr>
        <w:t xml:space="preserve">                地下水环境保护目标表</w:t>
      </w:r>
    </w:p>
    <w:tbl>
      <w:tblPr>
        <w:tblStyle w:val="8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30"/>
        <w:gridCol w:w="987"/>
        <w:gridCol w:w="1295"/>
        <w:gridCol w:w="4884"/>
        <w:gridCol w:w="12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环境要素</w:t>
            </w:r>
          </w:p>
        </w:tc>
        <w:tc>
          <w:tcPr>
            <w:tcW w:w="537"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保护目标</w:t>
            </w:r>
          </w:p>
        </w:tc>
        <w:tc>
          <w:tcPr>
            <w:tcW w:w="705"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最近方位及距离</w:t>
            </w:r>
          </w:p>
        </w:tc>
        <w:tc>
          <w:tcPr>
            <w:tcW w:w="265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规模</w:t>
            </w:r>
          </w:p>
        </w:tc>
        <w:tc>
          <w:tcPr>
            <w:tcW w:w="701"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保护标准及保护级别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restar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地下水环境</w:t>
            </w:r>
          </w:p>
        </w:tc>
        <w:tc>
          <w:tcPr>
            <w:tcW w:w="537"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后永利村</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拟钻井源312-116东南侧516m</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供水人口325人左右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restar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《地下水质量标准》（GB/T14848-2017）</w:t>
            </w:r>
          </w:p>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III类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厢房屯</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拟钻井源252-134西</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234m</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供水人口315人左右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三家子村</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拟钻井源296-108西侧727m</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供水人口300人左右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bl>
    <w:p>
      <w:pPr>
        <w:widowControl w:val="0"/>
        <w:spacing w:line="500" w:lineRule="exact"/>
        <w:ind w:firstLine="476" w:firstLineChars="200"/>
        <w:rPr>
          <w:rFonts w:ascii="Times New Roman" w:hAnsi="Times New Roman" w:cs="Times New Roman" w:eastAsiaTheme="minorEastAsia"/>
          <w:b/>
          <w:bCs w:val="0"/>
          <w:color w:val="auto"/>
          <w:w w:val="99"/>
          <w:kern w:val="2"/>
          <w:highlight w:val="none"/>
        </w:rPr>
      </w:pPr>
      <w:r>
        <w:rPr>
          <w:rFonts w:ascii="Times New Roman" w:hAnsi="Times New Roman" w:cs="Times New Roman" w:eastAsiaTheme="minorEastAsia"/>
          <w:b/>
          <w:bCs w:val="0"/>
          <w:color w:val="auto"/>
          <w:w w:val="99"/>
          <w:kern w:val="21"/>
          <w:highlight w:val="none"/>
        </w:rPr>
        <w:t>表2.8-3</w:t>
      </w:r>
      <w:r>
        <w:rPr>
          <w:rFonts w:ascii="Times New Roman" w:hAnsi="Times New Roman" w:cs="Times New Roman" w:eastAsiaTheme="minorEastAsia"/>
          <w:b/>
          <w:bCs w:val="0"/>
          <w:color w:val="auto"/>
          <w:w w:val="99"/>
          <w:kern w:val="2"/>
          <w:highlight w:val="none"/>
        </w:rPr>
        <w:t xml:space="preserve">                  环境风险保护目标</w:t>
      </w:r>
    </w:p>
    <w:tbl>
      <w:tblPr>
        <w:tblStyle w:val="82"/>
        <w:tblW w:w="906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941"/>
        <w:gridCol w:w="1565"/>
        <w:gridCol w:w="2365"/>
        <w:gridCol w:w="31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083" w:type="dxa"/>
            <w:vMerge w:val="restart"/>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color w:val="auto"/>
                <w:w w:val="99"/>
                <w:sz w:val="21"/>
                <w:szCs w:val="21"/>
                <w:highlight w:val="none"/>
                <w:lang w:bidi="ar"/>
              </w:rPr>
              <w:t>环境要素</w:t>
            </w:r>
          </w:p>
        </w:tc>
        <w:tc>
          <w:tcPr>
            <w:tcW w:w="941" w:type="dxa"/>
            <w:vMerge w:val="restart"/>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color w:val="auto"/>
                <w:w w:val="99"/>
                <w:sz w:val="21"/>
                <w:szCs w:val="21"/>
                <w:highlight w:val="none"/>
                <w:lang w:bidi="ar"/>
              </w:rPr>
              <w:t>保护属性</w:t>
            </w:r>
          </w:p>
        </w:tc>
        <w:tc>
          <w:tcPr>
            <w:tcW w:w="1565" w:type="dxa"/>
            <w:vMerge w:val="restart"/>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color w:val="auto"/>
                <w:w w:val="99"/>
                <w:sz w:val="21"/>
                <w:szCs w:val="21"/>
                <w:highlight w:val="none"/>
                <w:lang w:bidi="ar"/>
              </w:rPr>
              <w:t>保护目标</w:t>
            </w:r>
          </w:p>
        </w:tc>
        <w:tc>
          <w:tcPr>
            <w:tcW w:w="2365" w:type="dxa"/>
            <w:vMerge w:val="restart"/>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color w:val="auto"/>
                <w:w w:val="99"/>
                <w:sz w:val="21"/>
                <w:szCs w:val="21"/>
                <w:highlight w:val="none"/>
                <w:lang w:bidi="ar"/>
              </w:rPr>
              <w:t>保护对象</w:t>
            </w:r>
          </w:p>
        </w:tc>
        <w:tc>
          <w:tcPr>
            <w:tcW w:w="3114" w:type="dxa"/>
            <w:vMerge w:val="restar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bidi="ar"/>
              </w:rPr>
              <w:t>相对方位及距离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083" w:type="dxa"/>
            <w:vMerge w:val="continue"/>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bidi="ar"/>
              </w:rPr>
            </w:pPr>
          </w:p>
        </w:tc>
        <w:tc>
          <w:tcPr>
            <w:tcW w:w="941" w:type="dxa"/>
            <w:vMerge w:val="continue"/>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bidi="ar"/>
              </w:rPr>
            </w:pPr>
          </w:p>
        </w:tc>
        <w:tc>
          <w:tcPr>
            <w:tcW w:w="1565" w:type="dxa"/>
            <w:vMerge w:val="continue"/>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bidi="ar"/>
              </w:rPr>
            </w:pPr>
          </w:p>
        </w:tc>
        <w:tc>
          <w:tcPr>
            <w:tcW w:w="2365" w:type="dxa"/>
            <w:vMerge w:val="continue"/>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bidi="ar"/>
              </w:rPr>
            </w:pPr>
          </w:p>
        </w:tc>
        <w:tc>
          <w:tcPr>
            <w:tcW w:w="3114" w:type="dxa"/>
            <w:vMerge w:val="continue"/>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83"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lang w:bidi="ar"/>
              </w:rPr>
            </w:pPr>
          </w:p>
        </w:tc>
        <w:tc>
          <w:tcPr>
            <w:tcW w:w="941"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565"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厢房屯</w:t>
            </w:r>
          </w:p>
        </w:tc>
        <w:tc>
          <w:tcPr>
            <w:tcW w:w="2365"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居民约315人</w:t>
            </w:r>
          </w:p>
        </w:tc>
        <w:tc>
          <w:tcPr>
            <w:tcW w:w="3114"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拟钻井源248-130南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234m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83"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lang w:bidi="ar"/>
              </w:rPr>
            </w:pP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地下水</w:t>
            </w:r>
          </w:p>
        </w:tc>
        <w:tc>
          <w:tcPr>
            <w:tcW w:w="3930" w:type="dxa"/>
            <w:gridSpan w:val="2"/>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评价范围内第四系潜水含水层、承压水含水层</w:t>
            </w:r>
          </w:p>
        </w:tc>
        <w:tc>
          <w:tcPr>
            <w:tcW w:w="3114"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《地下水质量标准》（GB/T14848-2017）</w:t>
            </w:r>
            <w:r>
              <w:rPr>
                <w:rFonts w:hint="eastAsia"/>
                <w:color w:val="auto"/>
                <w:w w:val="99"/>
                <w:kern w:val="2"/>
                <w:sz w:val="21"/>
                <w:szCs w:val="21"/>
                <w:highlight w:val="none"/>
              </w:rPr>
              <w:t>Ⅲ</w:t>
            </w:r>
            <w:r>
              <w:rPr>
                <w:rFonts w:ascii="Times New Roman" w:hAnsi="Times New Roman" w:cs="Times New Roman" w:eastAsiaTheme="minorEastAsia"/>
                <w:color w:val="auto"/>
                <w:w w:val="99"/>
                <w:kern w:val="2"/>
                <w:sz w:val="21"/>
                <w:szCs w:val="21"/>
                <w:highlight w:val="none"/>
              </w:rPr>
              <w:t>类标准</w:t>
            </w:r>
          </w:p>
        </w:tc>
      </w:tr>
    </w:tbl>
    <w:p>
      <w:pPr>
        <w:widowControl w:val="0"/>
        <w:spacing w:line="500" w:lineRule="exact"/>
        <w:ind w:firstLine="476" w:firstLineChars="200"/>
        <w:rPr>
          <w:rFonts w:ascii="Times New Roman" w:hAnsi="Times New Roman" w:cs="Times New Roman" w:eastAsiaTheme="minorEastAsia"/>
          <w:b/>
          <w:bCs w:val="0"/>
          <w:color w:val="auto"/>
          <w:w w:val="99"/>
          <w:kern w:val="2"/>
          <w:highlight w:val="none"/>
        </w:rPr>
      </w:pPr>
      <w:r>
        <w:rPr>
          <w:rFonts w:ascii="Times New Roman" w:hAnsi="Times New Roman" w:cs="Times New Roman" w:eastAsiaTheme="minorEastAsia"/>
          <w:b/>
          <w:bCs w:val="0"/>
          <w:color w:val="auto"/>
          <w:w w:val="99"/>
          <w:kern w:val="21"/>
          <w:highlight w:val="none"/>
        </w:rPr>
        <w:t>表2.8-4</w:t>
      </w:r>
      <w:r>
        <w:rPr>
          <w:rFonts w:ascii="Times New Roman" w:hAnsi="Times New Roman" w:cs="Times New Roman" w:eastAsiaTheme="minorEastAsia"/>
          <w:b/>
          <w:bCs w:val="0"/>
          <w:color w:val="auto"/>
          <w:w w:val="99"/>
          <w:kern w:val="2"/>
          <w:highlight w:val="none"/>
        </w:rPr>
        <w:t xml:space="preserve">                其他环境因素保护目标表</w:t>
      </w:r>
    </w:p>
    <w:tbl>
      <w:tblPr>
        <w:tblStyle w:val="8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26"/>
        <w:gridCol w:w="1198"/>
        <w:gridCol w:w="2238"/>
        <w:gridCol w:w="2157"/>
        <w:gridCol w:w="28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5" w:type="pct"/>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环境要素</w:t>
            </w:r>
          </w:p>
        </w:tc>
        <w:tc>
          <w:tcPr>
            <w:tcW w:w="652" w:type="pct"/>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保护目标</w:t>
            </w:r>
          </w:p>
        </w:tc>
        <w:tc>
          <w:tcPr>
            <w:tcW w:w="1218" w:type="pct"/>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最近方位及距离</w:t>
            </w:r>
          </w:p>
        </w:tc>
        <w:tc>
          <w:tcPr>
            <w:tcW w:w="1174" w:type="pct"/>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规模</w:t>
            </w:r>
          </w:p>
        </w:tc>
        <w:tc>
          <w:tcPr>
            <w:tcW w:w="1559" w:type="pct"/>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保护标准及保护级别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5" w:type="pct"/>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声环境</w:t>
            </w:r>
          </w:p>
        </w:tc>
        <w:tc>
          <w:tcPr>
            <w:tcW w:w="3044" w:type="pct"/>
            <w:gridSpan w:val="3"/>
            <w:vAlign w:val="center"/>
          </w:tcPr>
          <w:p>
            <w:pPr>
              <w:widowControl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ascii="Times New Roman" w:hAnsi="Times New Roman" w:cs="Times New Roman" w:eastAsiaTheme="minorEastAsia"/>
                <w:color w:val="auto"/>
                <w:w w:val="99"/>
                <w:kern w:val="2"/>
                <w:sz w:val="21"/>
                <w:szCs w:val="21"/>
                <w:highlight w:val="none"/>
              </w:rPr>
              <w:t>建设项目</w:t>
            </w:r>
            <w:r>
              <w:rPr>
                <w:rFonts w:hint="eastAsia" w:ascii="Times New Roman" w:hAnsi="Times New Roman" w:cs="Times New Roman" w:eastAsiaTheme="minorEastAsia"/>
                <w:color w:val="auto"/>
                <w:w w:val="99"/>
                <w:kern w:val="2"/>
                <w:sz w:val="21"/>
                <w:szCs w:val="21"/>
                <w:highlight w:val="none"/>
                <w:lang w:val="en-US" w:eastAsia="zh-CN"/>
              </w:rPr>
              <w:t>200m范围内无村屯等保护目标</w:t>
            </w:r>
          </w:p>
        </w:tc>
        <w:tc>
          <w:tcPr>
            <w:tcW w:w="1559" w:type="pct"/>
            <w:vAlign w:val="center"/>
          </w:tcPr>
          <w:p>
            <w:pPr>
              <w:widowControl w:val="0"/>
              <w:snapToGrid w:val="0"/>
              <w:spacing w:line="34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《声环境质量标准》（GB3096-2008）中1类标准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5" w:type="pct"/>
            <w:vMerge w:val="restart"/>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土壤环境</w:t>
            </w:r>
          </w:p>
        </w:tc>
        <w:tc>
          <w:tcPr>
            <w:tcW w:w="3044" w:type="pct"/>
            <w:gridSpan w:val="3"/>
            <w:vAlign w:val="center"/>
          </w:tcPr>
          <w:p>
            <w:pPr>
              <w:widowControl w:val="0"/>
              <w:snapToGrid w:val="0"/>
              <w:spacing w:line="340" w:lineRule="exact"/>
              <w:jc w:val="center"/>
              <w:rPr>
                <w:rFonts w:hint="eastAsia" w:ascii="Times New Roman" w:hAnsi="Times New Roman" w:cs="Times New Roman" w:eastAsiaTheme="minorEastAsia"/>
                <w:color w:val="auto"/>
                <w:w w:val="99"/>
                <w:kern w:val="2"/>
                <w:sz w:val="21"/>
                <w:szCs w:val="21"/>
                <w:highlight w:val="none"/>
                <w:lang w:eastAsia="zh-CN"/>
              </w:rPr>
            </w:pPr>
            <w:r>
              <w:rPr>
                <w:rFonts w:ascii="Times New Roman" w:hAnsi="Times New Roman" w:cs="Times New Roman" w:eastAsiaTheme="minorEastAsia"/>
                <w:color w:val="auto"/>
                <w:w w:val="99"/>
                <w:kern w:val="2"/>
                <w:sz w:val="21"/>
                <w:szCs w:val="21"/>
                <w:highlight w:val="none"/>
              </w:rPr>
              <w:t>建设项目永久占地范围内，土壤类型为为</w:t>
            </w:r>
            <w:r>
              <w:rPr>
                <w:rFonts w:hint="eastAsia" w:ascii="Times New Roman" w:hAnsi="Times New Roman" w:cs="Times New Roman" w:eastAsiaTheme="minorEastAsia"/>
                <w:color w:val="auto"/>
                <w:w w:val="99"/>
                <w:kern w:val="2"/>
                <w:sz w:val="21"/>
                <w:szCs w:val="21"/>
                <w:highlight w:val="none"/>
                <w:lang w:eastAsia="zh-CN"/>
              </w:rPr>
              <w:t>草甸土</w:t>
            </w:r>
          </w:p>
        </w:tc>
        <w:tc>
          <w:tcPr>
            <w:tcW w:w="1559" w:type="pct"/>
            <w:vAlign w:val="center"/>
          </w:tcPr>
          <w:p>
            <w:pPr>
              <w:widowControl w:val="0"/>
              <w:snapToGrid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《土壤环境质量 建设用地土壤污染风险管控标准（试行）》（GB36600-2018）第二类用地筛选值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5" w:type="pct"/>
            <w:vMerge w:val="continue"/>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p>
        </w:tc>
        <w:tc>
          <w:tcPr>
            <w:tcW w:w="3044" w:type="pct"/>
            <w:gridSpan w:val="3"/>
            <w:vAlign w:val="center"/>
          </w:tcPr>
          <w:p>
            <w:pPr>
              <w:widowControl w:val="0"/>
              <w:snapToGrid w:val="0"/>
              <w:spacing w:line="340" w:lineRule="exact"/>
              <w:jc w:val="center"/>
              <w:rPr>
                <w:rFonts w:hint="eastAsia" w:ascii="Times New Roman" w:hAnsi="Times New Roman" w:cs="Times New Roman" w:eastAsiaTheme="minorEastAsia"/>
                <w:color w:val="auto"/>
                <w:w w:val="99"/>
                <w:kern w:val="2"/>
                <w:sz w:val="21"/>
                <w:szCs w:val="21"/>
                <w:highlight w:val="none"/>
                <w:lang w:eastAsia="zh-CN"/>
              </w:rPr>
            </w:pPr>
            <w:r>
              <w:rPr>
                <w:rFonts w:ascii="Times New Roman" w:hAnsi="Times New Roman" w:cs="Times New Roman" w:eastAsiaTheme="minorEastAsia"/>
                <w:color w:val="auto"/>
                <w:w w:val="99"/>
                <w:kern w:val="2"/>
                <w:sz w:val="21"/>
                <w:szCs w:val="21"/>
                <w:highlight w:val="none"/>
              </w:rPr>
              <w:t>拟建区块内井场外延1km区域内的村屯土壤环境土壤类型为</w:t>
            </w:r>
            <w:r>
              <w:rPr>
                <w:rFonts w:hint="eastAsia" w:ascii="Times New Roman" w:hAnsi="Times New Roman" w:cs="Times New Roman" w:eastAsiaTheme="minorEastAsia"/>
                <w:color w:val="auto"/>
                <w:w w:val="99"/>
                <w:kern w:val="2"/>
                <w:sz w:val="21"/>
                <w:szCs w:val="21"/>
                <w:highlight w:val="none"/>
                <w:lang w:eastAsia="zh-CN"/>
              </w:rPr>
              <w:t>草甸土</w:t>
            </w:r>
          </w:p>
        </w:tc>
        <w:tc>
          <w:tcPr>
            <w:tcW w:w="1559" w:type="pct"/>
            <w:vAlign w:val="center"/>
          </w:tcPr>
          <w:p>
            <w:pPr>
              <w:widowControl w:val="0"/>
              <w:snapToGrid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《土壤环境质量 建设用地土壤污染风险管控标准（试行）》（GB36600-2018）第一类用地筛选值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5" w:type="pct"/>
            <w:vMerge w:val="continue"/>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p>
        </w:tc>
        <w:tc>
          <w:tcPr>
            <w:tcW w:w="3044" w:type="pct"/>
            <w:gridSpan w:val="3"/>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拟建区块内井场外延1km区域内的</w:t>
            </w:r>
            <w:r>
              <w:rPr>
                <w:rFonts w:hint="eastAsia" w:ascii="Times New Roman" w:hAnsi="Times New Roman" w:cs="Times New Roman" w:eastAsiaTheme="minorEastAsia"/>
                <w:color w:val="auto"/>
                <w:w w:val="99"/>
                <w:kern w:val="2"/>
                <w:sz w:val="21"/>
                <w:szCs w:val="21"/>
                <w:highlight w:val="none"/>
              </w:rPr>
              <w:t>农用地</w:t>
            </w:r>
            <w:r>
              <w:rPr>
                <w:rFonts w:ascii="Times New Roman" w:hAnsi="Times New Roman" w:cs="Times New Roman" w:eastAsiaTheme="minorEastAsia"/>
                <w:color w:val="auto"/>
                <w:w w:val="99"/>
                <w:kern w:val="2"/>
                <w:sz w:val="21"/>
                <w:szCs w:val="21"/>
                <w:highlight w:val="none"/>
              </w:rPr>
              <w:t>土壤环境，主要为耕地，土壤类型为</w:t>
            </w:r>
            <w:r>
              <w:rPr>
                <w:rFonts w:hint="eastAsia" w:ascii="Times New Roman" w:hAnsi="Times New Roman" w:cs="Times New Roman" w:eastAsiaTheme="minorEastAsia"/>
                <w:color w:val="auto"/>
                <w:w w:val="99"/>
                <w:kern w:val="2"/>
                <w:sz w:val="21"/>
                <w:szCs w:val="21"/>
                <w:highlight w:val="none"/>
                <w:lang w:eastAsia="zh-CN"/>
              </w:rPr>
              <w:t>草甸土</w:t>
            </w:r>
          </w:p>
        </w:tc>
        <w:tc>
          <w:tcPr>
            <w:tcW w:w="1559" w:type="pct"/>
            <w:vAlign w:val="center"/>
          </w:tcPr>
          <w:p>
            <w:pPr>
              <w:widowControl w:val="0"/>
              <w:snapToGrid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《土壤环境质量 农用地土壤污染风险管控标准（试行）》（GB15618-2018）表1中农用地土壤污染风险筛选值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5" w:type="pct"/>
            <w:vMerge w:val="restart"/>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生态环境</w:t>
            </w:r>
          </w:p>
        </w:tc>
        <w:tc>
          <w:tcPr>
            <w:tcW w:w="3044" w:type="pct"/>
            <w:gridSpan w:val="3"/>
            <w:vAlign w:val="center"/>
          </w:tcPr>
          <w:p>
            <w:pPr>
              <w:widowControl w:val="0"/>
              <w:adjustRightInd w:val="0"/>
              <w:snapToGrid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拟建区块内井场外延1km区域内的生态环境，主要为耕地；</w:t>
            </w:r>
            <w:r>
              <w:rPr>
                <w:rFonts w:hint="eastAsia" w:ascii="Times New Roman" w:hAnsi="Times New Roman" w:cs="Times New Roman" w:eastAsiaTheme="minorEastAsia"/>
                <w:color w:val="auto"/>
                <w:w w:val="99"/>
                <w:kern w:val="2"/>
                <w:sz w:val="21"/>
                <w:szCs w:val="21"/>
                <w:highlight w:val="none"/>
              </w:rPr>
              <w:t>耕地</w:t>
            </w:r>
            <w:r>
              <w:rPr>
                <w:rFonts w:ascii="Times New Roman" w:hAnsi="Times New Roman" w:cs="Times New Roman" w:eastAsiaTheme="minorEastAsia"/>
                <w:color w:val="auto"/>
                <w:w w:val="99"/>
                <w:kern w:val="2"/>
                <w:sz w:val="21"/>
                <w:szCs w:val="21"/>
                <w:highlight w:val="none"/>
              </w:rPr>
              <w:t>为</w:t>
            </w:r>
            <w:r>
              <w:rPr>
                <w:rFonts w:hint="eastAsia" w:ascii="Times New Roman" w:hAnsi="Times New Roman" w:cs="Times New Roman" w:eastAsiaTheme="minorEastAsia"/>
                <w:color w:val="auto"/>
                <w:w w:val="99"/>
                <w:kern w:val="2"/>
                <w:sz w:val="21"/>
                <w:szCs w:val="21"/>
                <w:highlight w:val="none"/>
                <w:lang w:eastAsia="zh-CN"/>
              </w:rPr>
              <w:t>非</w:t>
            </w:r>
            <w:r>
              <w:rPr>
                <w:rFonts w:ascii="Times New Roman" w:hAnsi="Times New Roman" w:cs="Times New Roman" w:eastAsiaTheme="minorEastAsia"/>
                <w:color w:val="auto"/>
                <w:w w:val="99"/>
                <w:kern w:val="2"/>
                <w:sz w:val="21"/>
                <w:szCs w:val="21"/>
                <w:highlight w:val="none"/>
              </w:rPr>
              <w:t>基本农田</w:t>
            </w:r>
            <w:r>
              <w:rPr>
                <w:rFonts w:hint="eastAsia" w:ascii="Times New Roman" w:hAnsi="Times New Roman" w:cs="Times New Roman" w:eastAsiaTheme="minorEastAsia"/>
                <w:color w:val="auto"/>
                <w:w w:val="99"/>
                <w:kern w:val="2"/>
                <w:sz w:val="21"/>
                <w:szCs w:val="21"/>
                <w:highlight w:val="none"/>
                <w:lang w:eastAsia="zh-CN"/>
              </w:rPr>
              <w:t>、少量永久基本农田</w:t>
            </w:r>
            <w:r>
              <w:rPr>
                <w:rFonts w:hint="eastAsia" w:ascii="Times New Roman" w:hAnsi="Times New Roman" w:cs="Times New Roman" w:eastAsiaTheme="minorEastAsia"/>
                <w:color w:val="auto"/>
                <w:w w:val="99"/>
                <w:kern w:val="2"/>
                <w:sz w:val="21"/>
                <w:szCs w:val="21"/>
                <w:highlight w:val="none"/>
              </w:rPr>
              <w:t>。</w:t>
            </w:r>
          </w:p>
        </w:tc>
        <w:tc>
          <w:tcPr>
            <w:tcW w:w="1559" w:type="pct"/>
            <w:vMerge w:val="restart"/>
            <w:vAlign w:val="center"/>
          </w:tcPr>
          <w:p>
            <w:pPr>
              <w:widowControl w:val="0"/>
              <w:adjustRightInd w:val="0"/>
              <w:snapToGrid w:val="0"/>
              <w:spacing w:line="340" w:lineRule="exact"/>
              <w:jc w:val="both"/>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对</w:t>
            </w:r>
            <w:r>
              <w:rPr>
                <w:rFonts w:ascii="Times New Roman" w:hAnsi="Times New Roman" w:cs="Times New Roman" w:eastAsiaTheme="minorEastAsia"/>
                <w:color w:val="auto"/>
                <w:w w:val="99"/>
                <w:kern w:val="2"/>
                <w:sz w:val="21"/>
                <w:szCs w:val="21"/>
                <w:highlight w:val="none"/>
              </w:rPr>
              <w:t>临时占用耕地进行恢复，恢复面积</w:t>
            </w:r>
            <w:r>
              <w:rPr>
                <w:rFonts w:hint="eastAsia" w:ascii="Times New Roman" w:hAnsi="Times New Roman" w:cs="Times New Roman" w:eastAsiaTheme="minorEastAsia"/>
                <w:color w:val="auto"/>
                <w:w w:val="99"/>
                <w:kern w:val="2"/>
                <w:sz w:val="21"/>
                <w:szCs w:val="21"/>
                <w:highlight w:val="none"/>
                <w:lang w:val="en-US" w:eastAsia="zh-CN"/>
              </w:rPr>
              <w:t>22.88</w:t>
            </w:r>
            <w:r>
              <w:rPr>
                <w:rFonts w:hint="eastAsia" w:ascii="Times New Roman" w:hAnsi="Times New Roman" w:cs="Times New Roman" w:eastAsiaTheme="minorEastAsia"/>
                <w:color w:val="auto"/>
                <w:w w:val="99"/>
                <w:kern w:val="2"/>
                <w:sz w:val="21"/>
                <w:szCs w:val="21"/>
                <w:highlight w:val="none"/>
              </w:rPr>
              <w:t>hm</w:t>
            </w:r>
            <w:r>
              <w:rPr>
                <w:rFonts w:hint="eastAsia" w:ascii="Times New Roman" w:hAnsi="Times New Roman" w:cs="Times New Roman" w:eastAsiaTheme="minorEastAsia"/>
                <w:color w:val="auto"/>
                <w:w w:val="99"/>
                <w:kern w:val="2"/>
                <w:sz w:val="21"/>
                <w:szCs w:val="21"/>
                <w:highlight w:val="none"/>
                <w:vertAlign w:val="superscript"/>
              </w:rPr>
              <w:t>2</w:t>
            </w:r>
            <w:r>
              <w:rPr>
                <w:rFonts w:ascii="Times New Roman" w:hAnsi="Times New Roman" w:cs="Times New Roman" w:eastAsiaTheme="minorEastAsia"/>
                <w:color w:val="auto"/>
                <w:w w:val="99"/>
                <w:kern w:val="2"/>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5" w:type="pct"/>
            <w:vMerge w:val="continue"/>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p>
        </w:tc>
        <w:tc>
          <w:tcPr>
            <w:tcW w:w="3044" w:type="pct"/>
            <w:gridSpan w:val="3"/>
            <w:vAlign w:val="center"/>
          </w:tcPr>
          <w:p>
            <w:pPr>
              <w:widowControl w:val="0"/>
              <w:adjustRightInd w:val="0"/>
              <w:snapToGrid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施工便道两侧200m范围内的生态环境，主要为耕地</w:t>
            </w:r>
            <w:r>
              <w:rPr>
                <w:rFonts w:hint="eastAsia" w:ascii="Times New Roman" w:hAnsi="Times New Roman" w:cs="Times New Roman" w:eastAsiaTheme="minorEastAsia"/>
                <w:color w:val="auto"/>
                <w:w w:val="99"/>
                <w:kern w:val="2"/>
                <w:sz w:val="21"/>
                <w:szCs w:val="21"/>
                <w:highlight w:val="none"/>
              </w:rPr>
              <w:t>，耕地</w:t>
            </w:r>
            <w:r>
              <w:rPr>
                <w:rFonts w:ascii="Times New Roman" w:hAnsi="Times New Roman" w:cs="Times New Roman" w:eastAsiaTheme="minorEastAsia"/>
                <w:color w:val="auto"/>
                <w:w w:val="99"/>
                <w:kern w:val="2"/>
                <w:sz w:val="21"/>
                <w:szCs w:val="21"/>
                <w:highlight w:val="none"/>
              </w:rPr>
              <w:t>为</w:t>
            </w:r>
            <w:r>
              <w:rPr>
                <w:rFonts w:hint="eastAsia" w:ascii="Times New Roman" w:hAnsi="Times New Roman" w:cs="Times New Roman" w:eastAsiaTheme="minorEastAsia"/>
                <w:color w:val="auto"/>
                <w:w w:val="99"/>
                <w:kern w:val="2"/>
                <w:sz w:val="21"/>
                <w:szCs w:val="21"/>
                <w:highlight w:val="none"/>
                <w:lang w:eastAsia="zh-CN"/>
              </w:rPr>
              <w:t>非</w:t>
            </w:r>
            <w:r>
              <w:rPr>
                <w:rFonts w:ascii="Times New Roman" w:hAnsi="Times New Roman" w:cs="Times New Roman" w:eastAsiaTheme="minorEastAsia"/>
                <w:color w:val="auto"/>
                <w:w w:val="99"/>
                <w:kern w:val="2"/>
                <w:sz w:val="21"/>
                <w:szCs w:val="21"/>
                <w:highlight w:val="none"/>
              </w:rPr>
              <w:t>基本农田</w:t>
            </w:r>
            <w:r>
              <w:rPr>
                <w:rFonts w:hint="eastAsia" w:ascii="Times New Roman" w:hAnsi="Times New Roman" w:cs="Times New Roman" w:eastAsiaTheme="minorEastAsia"/>
                <w:color w:val="auto"/>
                <w:w w:val="99"/>
                <w:kern w:val="2"/>
                <w:sz w:val="21"/>
                <w:szCs w:val="21"/>
                <w:highlight w:val="none"/>
                <w:lang w:eastAsia="zh-CN"/>
              </w:rPr>
              <w:t>、少量永久基本农田。</w:t>
            </w:r>
          </w:p>
        </w:tc>
        <w:tc>
          <w:tcPr>
            <w:tcW w:w="1559" w:type="pct"/>
            <w:vMerge w:val="continue"/>
            <w:vAlign w:val="center"/>
          </w:tcPr>
          <w:p>
            <w:pPr>
              <w:widowControl w:val="0"/>
              <w:adjustRightInd w:val="0"/>
              <w:snapToGrid w:val="0"/>
              <w:spacing w:line="340" w:lineRule="exact"/>
              <w:jc w:val="both"/>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5" w:type="pct"/>
            <w:vMerge w:val="continue"/>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p>
        </w:tc>
        <w:tc>
          <w:tcPr>
            <w:tcW w:w="3044" w:type="pct"/>
            <w:gridSpan w:val="3"/>
            <w:vAlign w:val="center"/>
          </w:tcPr>
          <w:p>
            <w:pPr>
              <w:widowControl w:val="0"/>
              <w:adjustRightInd w:val="0"/>
              <w:snapToGrid w:val="0"/>
              <w:spacing w:line="34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本项目拟钻</w:t>
            </w:r>
            <w:r>
              <w:rPr>
                <w:rFonts w:ascii="Times New Roman" w:hAnsi="Times New Roman" w:cs="Times New Roman" w:eastAsiaTheme="minorEastAsia"/>
                <w:color w:val="auto"/>
                <w:w w:val="99"/>
                <w:kern w:val="2"/>
                <w:sz w:val="21"/>
                <w:szCs w:val="21"/>
                <w:highlight w:val="none"/>
              </w:rPr>
              <w:t>井场及施工便道均位于</w:t>
            </w:r>
            <w:r>
              <w:rPr>
                <w:rFonts w:hint="eastAsia" w:ascii="Times New Roman" w:hAnsi="Times New Roman" w:cs="Times New Roman" w:eastAsiaTheme="minorEastAsia"/>
                <w:color w:val="auto"/>
                <w:w w:val="99"/>
                <w:kern w:val="2"/>
                <w:sz w:val="21"/>
                <w:szCs w:val="21"/>
                <w:highlight w:val="none"/>
              </w:rPr>
              <w:t>大庆市</w:t>
            </w:r>
            <w:r>
              <w:rPr>
                <w:rFonts w:hint="eastAsia" w:ascii="Times New Roman" w:hAnsi="Times New Roman" w:cs="Times New Roman" w:eastAsiaTheme="minorEastAsia"/>
                <w:color w:val="auto"/>
                <w:w w:val="99"/>
                <w:kern w:val="2"/>
                <w:sz w:val="21"/>
                <w:szCs w:val="21"/>
                <w:highlight w:val="none"/>
                <w:lang w:eastAsia="zh-CN"/>
              </w:rPr>
              <w:t>肇源县</w:t>
            </w:r>
            <w:r>
              <w:rPr>
                <w:rFonts w:ascii="Times New Roman" w:hAnsi="Times New Roman" w:cs="Times New Roman" w:eastAsiaTheme="minorEastAsia"/>
                <w:color w:val="auto"/>
                <w:w w:val="99"/>
                <w:kern w:val="2"/>
                <w:sz w:val="21"/>
                <w:szCs w:val="21"/>
                <w:highlight w:val="none"/>
              </w:rPr>
              <w:t>，</w:t>
            </w:r>
            <w:r>
              <w:rPr>
                <w:rFonts w:hint="eastAsia" w:ascii="Times New Roman" w:hAnsi="Times New Roman" w:cs="Times New Roman" w:eastAsiaTheme="minorEastAsia"/>
                <w:color w:val="auto"/>
                <w:w w:val="99"/>
                <w:kern w:val="2"/>
                <w:sz w:val="21"/>
                <w:szCs w:val="21"/>
                <w:highlight w:val="none"/>
              </w:rPr>
              <w:t>肇源县区域</w:t>
            </w:r>
            <w:r>
              <w:rPr>
                <w:rFonts w:ascii="Times New Roman" w:hAnsi="Times New Roman" w:cs="Times New Roman" w:eastAsiaTheme="minorEastAsia"/>
                <w:color w:val="auto"/>
                <w:w w:val="99"/>
                <w:kern w:val="2"/>
                <w:sz w:val="21"/>
                <w:szCs w:val="21"/>
                <w:highlight w:val="none"/>
              </w:rPr>
              <w:t>属于</w:t>
            </w:r>
            <w:r>
              <w:rPr>
                <w:rFonts w:hint="eastAsia" w:ascii="Times New Roman" w:hAnsi="Times New Roman" w:cs="Times New Roman" w:eastAsiaTheme="minorEastAsia"/>
                <w:color w:val="auto"/>
                <w:w w:val="99"/>
                <w:kern w:val="2"/>
                <w:sz w:val="21"/>
                <w:szCs w:val="21"/>
                <w:highlight w:val="none"/>
              </w:rPr>
              <w:t>大庆市水土流失重点治理区</w:t>
            </w:r>
          </w:p>
        </w:tc>
        <w:tc>
          <w:tcPr>
            <w:tcW w:w="1559" w:type="pct"/>
            <w:vAlign w:val="center"/>
          </w:tcPr>
          <w:p>
            <w:pPr>
              <w:widowControl w:val="0"/>
              <w:adjustRightInd w:val="0"/>
              <w:snapToGrid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采取工程、林草、封育治理和耕作等措施，进行水、田、林、草、路统一规划、综合治理，增强防洪排涝、抗御干旱等自然灾害的能力</w:t>
            </w:r>
          </w:p>
        </w:tc>
      </w:tr>
    </w:tbl>
    <w:p>
      <w:pPr>
        <w:pStyle w:val="107"/>
        <w:rPr>
          <w:rFonts w:ascii="Times New Roman" w:hAnsi="Times New Roman" w:cs="Times New Roman" w:eastAsiaTheme="minorEastAsia"/>
          <w:color w:val="auto"/>
          <w:w w:val="99"/>
          <w:highlight w:val="none"/>
        </w:rPr>
        <w:sectPr>
          <w:footerReference r:id="rId6" w:type="default"/>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 w:linePitch="312" w:charSpace="0"/>
        </w:sectPr>
      </w:pPr>
    </w:p>
    <w:bookmarkEnd w:id="97"/>
    <w:p>
      <w:pPr>
        <w:pStyle w:val="4"/>
        <w:widowControl w:val="0"/>
        <w:spacing w:line="500" w:lineRule="exact"/>
        <w:rPr>
          <w:rFonts w:ascii="Times New Roman" w:hAnsi="Times New Roman"/>
          <w:b/>
          <w:snapToGrid w:val="0"/>
          <w:color w:val="auto"/>
          <w:w w:val="99"/>
          <w:sz w:val="30"/>
          <w:szCs w:val="30"/>
          <w:highlight w:val="none"/>
        </w:rPr>
      </w:pPr>
      <w:bookmarkStart w:id="349" w:name="_Toc502736463"/>
      <w:bookmarkStart w:id="350" w:name="_Toc80105137"/>
      <w:r>
        <w:rPr>
          <w:rFonts w:ascii="Times New Roman" w:hAnsi="Times New Roman"/>
          <w:b/>
          <w:snapToGrid w:val="0"/>
          <w:color w:val="auto"/>
          <w:w w:val="99"/>
          <w:sz w:val="30"/>
          <w:szCs w:val="30"/>
          <w:highlight w:val="none"/>
        </w:rPr>
        <w:t>3建设项目工程分析</w:t>
      </w:r>
      <w:bookmarkEnd w:id="349"/>
      <w:bookmarkEnd w:id="350"/>
    </w:p>
    <w:p>
      <w:pPr>
        <w:pStyle w:val="5"/>
        <w:keepNext w:val="0"/>
        <w:keepLines w:val="0"/>
        <w:widowControl w:val="0"/>
        <w:rPr>
          <w:rFonts w:ascii="Times New Roman" w:hAnsi="Times New Roman"/>
          <w:b/>
          <w:snapToGrid w:val="0"/>
          <w:color w:val="auto"/>
          <w:w w:val="99"/>
          <w:highlight w:val="none"/>
        </w:rPr>
      </w:pPr>
      <w:bookmarkStart w:id="351" w:name="_Toc502736464"/>
      <w:bookmarkStart w:id="352" w:name="_Toc80105138"/>
      <w:r>
        <w:rPr>
          <w:rFonts w:ascii="Times New Roman" w:hAnsi="Times New Roman"/>
          <w:b/>
          <w:snapToGrid w:val="0"/>
          <w:color w:val="auto"/>
          <w:w w:val="99"/>
          <w:highlight w:val="none"/>
        </w:rPr>
        <w:t>3.1项目概况</w:t>
      </w:r>
      <w:bookmarkEnd w:id="351"/>
      <w:bookmarkEnd w:id="352"/>
    </w:p>
    <w:p>
      <w:pPr>
        <w:pStyle w:val="109"/>
        <w:widowControl w:val="0"/>
        <w:ind w:firstLine="473"/>
        <w:rPr>
          <w:rFonts w:ascii="Times New Roman" w:hAnsi="Times New Roman" w:eastAsiaTheme="minorEastAsia"/>
          <w:snapToGrid w:val="0"/>
          <w:color w:val="auto"/>
          <w:w w:val="99"/>
          <w:highlight w:val="none"/>
        </w:rPr>
      </w:pPr>
      <w:bookmarkStart w:id="353" w:name="_Toc502736466"/>
      <w:r>
        <w:rPr>
          <w:rFonts w:ascii="Times New Roman" w:hAnsi="Times New Roman" w:eastAsiaTheme="minorEastAsia"/>
          <w:snapToGrid w:val="0"/>
          <w:color w:val="auto"/>
          <w:w w:val="99"/>
          <w:highlight w:val="none"/>
        </w:rPr>
        <w:t>项目名称：</w:t>
      </w:r>
      <w:r>
        <w:rPr>
          <w:rFonts w:hint="eastAsia" w:ascii="Times New Roman" w:hAnsi="Times New Roman" w:eastAsiaTheme="minorEastAsia"/>
          <w:snapToGrid w:val="0"/>
          <w:color w:val="auto"/>
          <w:w w:val="99"/>
          <w:highlight w:val="none"/>
          <w:lang w:eastAsia="zh-CN"/>
        </w:rPr>
        <w:t>肇源油田源35区块外扩开发钻井工程</w:t>
      </w:r>
      <w:r>
        <w:rPr>
          <w:rFonts w:hint="eastAsia" w:ascii="Times New Roman" w:hAnsi="Times New Roman" w:eastAsiaTheme="minorEastAsia"/>
          <w:snapToGrid w:val="0"/>
          <w:color w:val="auto"/>
          <w:w w:val="99"/>
          <w:highlight w:val="none"/>
        </w:rPr>
        <w:t>项目</w:t>
      </w:r>
      <w:r>
        <w:rPr>
          <w:rFonts w:ascii="Times New Roman" w:hAnsi="Times New Roman" w:eastAsiaTheme="minorEastAsia"/>
          <w:snapToGrid w:val="0"/>
          <w:color w:val="auto"/>
          <w:w w:val="99"/>
          <w:highlight w:val="none"/>
        </w:rPr>
        <w:t>；</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建设单位：大庆油田有限责任公司</w:t>
      </w:r>
      <w:r>
        <w:rPr>
          <w:rFonts w:hint="eastAsia" w:ascii="Times New Roman" w:hAnsi="Times New Roman" w:eastAsiaTheme="minorEastAsia"/>
          <w:snapToGrid w:val="0"/>
          <w:color w:val="auto"/>
          <w:w w:val="99"/>
          <w:highlight w:val="none"/>
        </w:rPr>
        <w:t>第十采油厂</w:t>
      </w:r>
      <w:r>
        <w:rPr>
          <w:rFonts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ab/>
      </w:r>
    </w:p>
    <w:p>
      <w:pPr>
        <w:pStyle w:val="109"/>
        <w:widowControl w:val="0"/>
        <w:ind w:firstLine="473"/>
        <w:rPr>
          <w:rFonts w:ascii="Times New Roman" w:hAnsi="Times New Roman" w:eastAsiaTheme="minorEastAsia"/>
          <w:snapToGrid w:val="0"/>
          <w:color w:val="auto"/>
          <w:w w:val="99"/>
          <w:highlight w:val="none"/>
        </w:rPr>
      </w:pPr>
      <w:bookmarkStart w:id="354" w:name="_Hlk530467800"/>
      <w:r>
        <w:rPr>
          <w:rFonts w:ascii="Times New Roman" w:hAnsi="Times New Roman" w:eastAsiaTheme="minorEastAsia"/>
          <w:snapToGrid w:val="0"/>
          <w:color w:val="auto"/>
          <w:w w:val="99"/>
          <w:highlight w:val="none"/>
        </w:rPr>
        <w:t>建设地点：</w:t>
      </w:r>
      <w:r>
        <w:rPr>
          <w:rFonts w:hint="eastAsia" w:ascii="Times New Roman" w:hAnsi="Times New Roman" w:eastAsiaTheme="minorEastAsia"/>
          <w:snapToGrid w:val="0"/>
          <w:color w:val="auto"/>
          <w:w w:val="99"/>
          <w:highlight w:val="none"/>
        </w:rPr>
        <w:t>大庆市</w:t>
      </w:r>
      <w:r>
        <w:rPr>
          <w:rFonts w:hint="eastAsia" w:ascii="Times New Roman" w:hAnsi="Times New Roman" w:eastAsiaTheme="minorEastAsia"/>
          <w:snapToGrid w:val="0"/>
          <w:color w:val="auto"/>
          <w:w w:val="99"/>
          <w:highlight w:val="none"/>
          <w:lang w:eastAsia="zh-CN"/>
        </w:rPr>
        <w:t>肇源县</w:t>
      </w:r>
      <w:r>
        <w:rPr>
          <w:rFonts w:ascii="Times New Roman" w:hAnsi="Times New Roman" w:eastAsiaTheme="minorEastAsia"/>
          <w:color w:val="auto"/>
          <w:w w:val="99"/>
          <w:highlight w:val="none"/>
        </w:rPr>
        <w:t>；</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建设性质：改扩建；</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bCs/>
          <w:snapToGrid w:val="0"/>
          <w:color w:val="auto"/>
          <w:w w:val="99"/>
          <w:highlight w:val="none"/>
        </w:rPr>
        <w:t>投资规模：</w:t>
      </w:r>
      <w:r>
        <w:rPr>
          <w:rFonts w:hint="eastAsia" w:ascii="Times New Roman" w:hAnsi="Times New Roman" w:eastAsiaTheme="minorEastAsia"/>
          <w:bCs/>
          <w:snapToGrid w:val="0"/>
          <w:color w:val="auto"/>
          <w:w w:val="99"/>
          <w:highlight w:val="none"/>
          <w:lang w:eastAsia="zh-CN"/>
        </w:rPr>
        <w:t>25746.31万元</w:t>
      </w:r>
      <w:r>
        <w:rPr>
          <w:rFonts w:ascii="Times New Roman" w:hAnsi="Times New Roman" w:eastAsiaTheme="minorEastAsia"/>
          <w:bCs/>
          <w:snapToGrid w:val="0"/>
          <w:color w:val="auto"/>
          <w:w w:val="99"/>
          <w:highlight w:val="none"/>
        </w:rPr>
        <w:t>人民币</w:t>
      </w:r>
      <w:r>
        <w:rPr>
          <w:rFonts w:ascii="Times New Roman" w:hAnsi="Times New Roman" w:eastAsiaTheme="minorEastAsia"/>
          <w:snapToGrid w:val="0"/>
          <w:color w:val="auto"/>
          <w:w w:val="99"/>
          <w:highlight w:val="none"/>
        </w:rPr>
        <w:t>；</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占地面积：建设项目总</w:t>
      </w:r>
      <w:r>
        <w:rPr>
          <w:rFonts w:ascii="Times New Roman" w:hAnsi="Times New Roman" w:eastAsiaTheme="minorEastAsia"/>
          <w:bCs/>
          <w:snapToGrid w:val="0"/>
          <w:color w:val="auto"/>
          <w:w w:val="99"/>
          <w:highlight w:val="none"/>
        </w:rPr>
        <w:t>占地面积为</w:t>
      </w:r>
      <w:r>
        <w:rPr>
          <w:rFonts w:hint="eastAsia" w:ascii="Times New Roman" w:hAnsi="Times New Roman" w:eastAsiaTheme="minorEastAsia"/>
          <w:bCs/>
          <w:snapToGrid w:val="0"/>
          <w:color w:val="auto"/>
          <w:w w:val="99"/>
          <w:highlight w:val="none"/>
          <w:lang w:val="en-US" w:eastAsia="zh-CN"/>
        </w:rPr>
        <w:t>29.044</w:t>
      </w:r>
      <w:r>
        <w:rPr>
          <w:rFonts w:ascii="Times New Roman" w:hAnsi="Times New Roman" w:eastAsiaTheme="minorEastAsia"/>
          <w:bCs/>
          <w:snapToGrid w:val="0"/>
          <w:color w:val="auto"/>
          <w:w w:val="99"/>
          <w:highlight w:val="none"/>
        </w:rPr>
        <w:t>hm</w:t>
      </w:r>
      <w:r>
        <w:rPr>
          <w:rFonts w:ascii="Times New Roman" w:hAnsi="Times New Roman" w:eastAsiaTheme="minorEastAsia"/>
          <w:bCs/>
          <w:snapToGrid w:val="0"/>
          <w:color w:val="auto"/>
          <w:w w:val="99"/>
          <w:highlight w:val="none"/>
          <w:vertAlign w:val="superscript"/>
        </w:rPr>
        <w:t>2</w:t>
      </w:r>
      <w:r>
        <w:rPr>
          <w:rFonts w:ascii="Times New Roman" w:hAnsi="Times New Roman" w:eastAsiaTheme="minorEastAsia"/>
          <w:bCs/>
          <w:snapToGrid w:val="0"/>
          <w:color w:val="auto"/>
          <w:w w:val="99"/>
          <w:highlight w:val="none"/>
        </w:rPr>
        <w:t>，其中永久占地面积为</w:t>
      </w:r>
      <w:r>
        <w:rPr>
          <w:rFonts w:hint="eastAsia" w:ascii="Times New Roman" w:hAnsi="Times New Roman" w:eastAsiaTheme="minorEastAsia"/>
          <w:bCs/>
          <w:snapToGrid w:val="0"/>
          <w:color w:val="auto"/>
          <w:w w:val="99"/>
          <w:highlight w:val="none"/>
          <w:lang w:val="en-US" w:eastAsia="zh-CN"/>
        </w:rPr>
        <w:t>6.16</w:t>
      </w:r>
      <w:r>
        <w:rPr>
          <w:rFonts w:ascii="Times New Roman" w:hAnsi="Times New Roman" w:eastAsiaTheme="minorEastAsia"/>
          <w:bCs/>
          <w:snapToGrid w:val="0"/>
          <w:color w:val="auto"/>
          <w:w w:val="99"/>
          <w:highlight w:val="none"/>
        </w:rPr>
        <w:t>hm</w:t>
      </w:r>
      <w:r>
        <w:rPr>
          <w:rFonts w:ascii="Times New Roman" w:hAnsi="Times New Roman" w:eastAsiaTheme="minorEastAsia"/>
          <w:bCs/>
          <w:snapToGrid w:val="0"/>
          <w:color w:val="auto"/>
          <w:w w:val="99"/>
          <w:highlight w:val="none"/>
          <w:vertAlign w:val="superscript"/>
        </w:rPr>
        <w:t>2</w:t>
      </w:r>
      <w:r>
        <w:rPr>
          <w:rFonts w:ascii="Times New Roman" w:hAnsi="Times New Roman" w:eastAsiaTheme="minorEastAsia"/>
          <w:bCs/>
          <w:snapToGrid w:val="0"/>
          <w:color w:val="auto"/>
          <w:w w:val="99"/>
          <w:highlight w:val="none"/>
        </w:rPr>
        <w:t>，临时占地面积为</w:t>
      </w:r>
      <w:r>
        <w:rPr>
          <w:rFonts w:hint="eastAsia" w:ascii="Times New Roman" w:hAnsi="Times New Roman" w:eastAsiaTheme="minorEastAsia"/>
          <w:bCs/>
          <w:snapToGrid w:val="0"/>
          <w:color w:val="auto"/>
          <w:w w:val="99"/>
          <w:highlight w:val="none"/>
          <w:lang w:val="en-US" w:eastAsia="zh-CN"/>
        </w:rPr>
        <w:t>22.88</w:t>
      </w:r>
      <w:r>
        <w:rPr>
          <w:rFonts w:ascii="Times New Roman" w:hAnsi="Times New Roman" w:eastAsiaTheme="minorEastAsia"/>
          <w:bCs/>
          <w:snapToGrid w:val="0"/>
          <w:color w:val="auto"/>
          <w:w w:val="99"/>
          <w:highlight w:val="none"/>
        </w:rPr>
        <w:t>hm</w:t>
      </w:r>
      <w:r>
        <w:rPr>
          <w:rFonts w:ascii="Times New Roman" w:hAnsi="Times New Roman" w:eastAsiaTheme="minorEastAsia"/>
          <w:bCs/>
          <w:snapToGrid w:val="0"/>
          <w:color w:val="auto"/>
          <w:w w:val="99"/>
          <w:highlight w:val="none"/>
          <w:vertAlign w:val="superscript"/>
        </w:rPr>
        <w:t>2</w:t>
      </w:r>
      <w:r>
        <w:rPr>
          <w:rFonts w:ascii="Times New Roman" w:hAnsi="Times New Roman" w:eastAsiaTheme="minorEastAsia"/>
          <w:bCs/>
          <w:snapToGrid w:val="0"/>
          <w:color w:val="auto"/>
          <w:w w:val="99"/>
          <w:highlight w:val="none"/>
        </w:rPr>
        <w:t>，占地类型为耕地（</w:t>
      </w:r>
      <w:r>
        <w:rPr>
          <w:rFonts w:hint="eastAsia" w:ascii="Times New Roman" w:hAnsi="Times New Roman" w:eastAsiaTheme="minorEastAsia"/>
          <w:bCs/>
          <w:snapToGrid w:val="0"/>
          <w:color w:val="auto"/>
          <w:w w:val="99"/>
          <w:highlight w:val="none"/>
          <w:lang w:eastAsia="zh-CN"/>
        </w:rPr>
        <w:t>非</w:t>
      </w:r>
      <w:r>
        <w:rPr>
          <w:rFonts w:ascii="Times New Roman" w:hAnsi="Times New Roman" w:eastAsiaTheme="minorEastAsia"/>
          <w:bCs/>
          <w:snapToGrid w:val="0"/>
          <w:color w:val="auto"/>
          <w:w w:val="99"/>
          <w:highlight w:val="none"/>
        </w:rPr>
        <w:t>基本农田</w:t>
      </w:r>
      <w:r>
        <w:rPr>
          <w:rFonts w:hint="eastAsia" w:ascii="Times New Roman" w:hAnsi="Times New Roman" w:eastAsiaTheme="minorEastAsia"/>
          <w:bCs/>
          <w:snapToGrid w:val="0"/>
          <w:color w:val="auto"/>
          <w:w w:val="99"/>
          <w:highlight w:val="none"/>
          <w:lang w:eastAsia="zh-CN"/>
        </w:rPr>
        <w:t>、少量永久基本农田</w:t>
      </w:r>
      <w:r>
        <w:rPr>
          <w:rFonts w:ascii="Times New Roman" w:hAnsi="Times New Roman" w:eastAsiaTheme="minorEastAsia"/>
          <w:bCs/>
          <w:snapToGrid w:val="0"/>
          <w:color w:val="auto"/>
          <w:w w:val="99"/>
          <w:highlight w:val="none"/>
        </w:rPr>
        <w:t>）；</w:t>
      </w:r>
    </w:p>
    <w:p>
      <w:pPr>
        <w:pStyle w:val="109"/>
        <w:widowControl w:val="0"/>
        <w:ind w:firstLine="473"/>
        <w:rPr>
          <w:rFonts w:ascii="Times New Roman" w:hAnsi="Times New Roman" w:eastAsiaTheme="minorEastAsia"/>
          <w:color w:val="auto"/>
          <w:w w:val="99"/>
          <w:highlight w:val="none"/>
          <w:shd w:val="clear" w:color="auto" w:fill="FFFFFF"/>
        </w:rPr>
      </w:pPr>
      <w:r>
        <w:rPr>
          <w:rFonts w:ascii="Times New Roman" w:hAnsi="Times New Roman" w:eastAsiaTheme="minorEastAsia"/>
          <w:snapToGrid w:val="0"/>
          <w:color w:val="auto"/>
          <w:w w:val="99"/>
          <w:highlight w:val="none"/>
        </w:rPr>
        <w:t>建设内容：</w:t>
      </w:r>
      <w:r>
        <w:rPr>
          <w:rFonts w:ascii="Times New Roman" w:hAnsi="Times New Roman" w:eastAsiaTheme="minorEastAsia"/>
          <w:bCs/>
          <w:snapToGrid w:val="0"/>
          <w:color w:val="auto"/>
          <w:w w:val="99"/>
          <w:highlight w:val="none"/>
        </w:rPr>
        <w:t>本项目新钻油井</w:t>
      </w:r>
      <w:r>
        <w:rPr>
          <w:rFonts w:hint="eastAsia" w:ascii="Times New Roman" w:hAnsi="Times New Roman" w:eastAsiaTheme="minorEastAsia"/>
          <w:bCs/>
          <w:snapToGrid w:val="0"/>
          <w:color w:val="auto"/>
          <w:w w:val="99"/>
          <w:highlight w:val="none"/>
          <w:lang w:val="en-US" w:eastAsia="zh-CN"/>
        </w:rPr>
        <w:t>44</w:t>
      </w:r>
      <w:r>
        <w:rPr>
          <w:rFonts w:hint="eastAsia" w:ascii="Times New Roman" w:hAnsi="Times New Roman" w:eastAsiaTheme="minorEastAsia"/>
          <w:bCs/>
          <w:snapToGrid w:val="0"/>
          <w:color w:val="auto"/>
          <w:w w:val="99"/>
          <w:highlight w:val="none"/>
        </w:rPr>
        <w:t>口，包括首钻井2口、</w:t>
      </w:r>
      <w:r>
        <w:rPr>
          <w:rFonts w:hint="eastAsia" w:ascii="Times New Roman" w:hAnsi="Times New Roman" w:eastAsiaTheme="minorEastAsia"/>
          <w:bCs/>
          <w:snapToGrid w:val="0"/>
          <w:color w:val="auto"/>
          <w:w w:val="99"/>
          <w:highlight w:val="none"/>
          <w:lang w:eastAsia="zh-CN"/>
        </w:rPr>
        <w:t>正常井</w:t>
      </w:r>
      <w:r>
        <w:rPr>
          <w:rFonts w:hint="eastAsia" w:ascii="Times New Roman" w:hAnsi="Times New Roman" w:eastAsiaTheme="minorEastAsia"/>
          <w:bCs/>
          <w:snapToGrid w:val="0"/>
          <w:color w:val="auto"/>
          <w:w w:val="99"/>
          <w:highlight w:val="none"/>
          <w:lang w:val="en-US" w:eastAsia="zh-CN"/>
        </w:rPr>
        <w:t>31</w:t>
      </w:r>
      <w:r>
        <w:rPr>
          <w:rFonts w:hint="eastAsia" w:ascii="Times New Roman" w:hAnsi="Times New Roman" w:eastAsiaTheme="minorEastAsia"/>
          <w:bCs/>
          <w:snapToGrid w:val="0"/>
          <w:color w:val="auto"/>
          <w:w w:val="99"/>
          <w:highlight w:val="none"/>
          <w:lang w:eastAsia="zh-CN"/>
        </w:rPr>
        <w:t>口</w:t>
      </w:r>
      <w:r>
        <w:rPr>
          <w:rFonts w:hint="eastAsia" w:ascii="Times New Roman" w:hAnsi="Times New Roman" w:eastAsiaTheme="minorEastAsia"/>
          <w:bCs/>
          <w:snapToGrid w:val="0"/>
          <w:color w:val="auto"/>
          <w:w w:val="99"/>
          <w:highlight w:val="none"/>
        </w:rPr>
        <w:t>、缓钻井11口</w:t>
      </w:r>
      <w:r>
        <w:rPr>
          <w:rFonts w:ascii="Times New Roman" w:hAnsi="Times New Roman" w:eastAsiaTheme="minorEastAsia"/>
          <w:bCs/>
          <w:snapToGrid w:val="0"/>
          <w:color w:val="auto"/>
          <w:w w:val="99"/>
          <w:highlight w:val="none"/>
        </w:rPr>
        <w:t>，</w:t>
      </w:r>
      <w:r>
        <w:rPr>
          <w:rFonts w:hint="eastAsia" w:ascii="Times New Roman" w:hAnsi="Times New Roman" w:eastAsiaTheme="minorEastAsia"/>
          <w:bCs/>
          <w:snapToGrid w:val="0"/>
          <w:color w:val="auto"/>
          <w:w w:val="99"/>
          <w:highlight w:val="none"/>
        </w:rPr>
        <w:t>均为单井</w:t>
      </w:r>
      <w:r>
        <w:rPr>
          <w:rFonts w:ascii="Times New Roman" w:hAnsi="Times New Roman" w:eastAsiaTheme="minorEastAsia"/>
          <w:bCs/>
          <w:snapToGrid w:val="0"/>
          <w:color w:val="auto"/>
          <w:w w:val="99"/>
          <w:highlight w:val="none"/>
        </w:rPr>
        <w:t>，单井完钻井深最大为</w:t>
      </w:r>
      <w:r>
        <w:rPr>
          <w:rFonts w:hint="eastAsia" w:ascii="Times New Roman" w:hAnsi="Times New Roman" w:eastAsiaTheme="minorEastAsia"/>
          <w:bCs/>
          <w:snapToGrid w:val="0"/>
          <w:color w:val="auto"/>
          <w:w w:val="99"/>
          <w:highlight w:val="none"/>
          <w:lang w:val="en-US" w:eastAsia="zh-CN"/>
        </w:rPr>
        <w:t>1867</w:t>
      </w:r>
      <w:r>
        <w:rPr>
          <w:rFonts w:hint="eastAsia" w:ascii="Times New Roman" w:hAnsi="Times New Roman" w:eastAsiaTheme="minorEastAsia"/>
          <w:bCs/>
          <w:snapToGrid w:val="0"/>
          <w:color w:val="auto"/>
          <w:w w:val="99"/>
          <w:highlight w:val="none"/>
        </w:rPr>
        <w:t>m</w:t>
      </w:r>
      <w:r>
        <w:rPr>
          <w:rFonts w:ascii="Times New Roman" w:hAnsi="Times New Roman" w:eastAsiaTheme="minorEastAsia"/>
          <w:bCs/>
          <w:snapToGrid w:val="0"/>
          <w:color w:val="auto"/>
          <w:w w:val="99"/>
          <w:highlight w:val="none"/>
        </w:rPr>
        <w:t>，总进尺</w:t>
      </w:r>
      <w:r>
        <w:rPr>
          <w:rFonts w:hint="eastAsia" w:ascii="Times New Roman" w:hAnsi="Times New Roman" w:eastAsiaTheme="minorEastAsia"/>
          <w:bCs/>
          <w:snapToGrid w:val="0"/>
          <w:color w:val="auto"/>
          <w:w w:val="99"/>
          <w:highlight w:val="none"/>
        </w:rPr>
        <w:t>7</w:t>
      </w:r>
      <w:r>
        <w:rPr>
          <w:rFonts w:hint="eastAsia" w:ascii="Times New Roman" w:hAnsi="Times New Roman" w:eastAsiaTheme="minorEastAsia"/>
          <w:bCs/>
          <w:snapToGrid w:val="0"/>
          <w:color w:val="auto"/>
          <w:w w:val="99"/>
          <w:highlight w:val="none"/>
          <w:lang w:val="en-US" w:eastAsia="zh-CN"/>
        </w:rPr>
        <w:t>9111</w:t>
      </w:r>
      <w:r>
        <w:rPr>
          <w:rFonts w:ascii="Times New Roman" w:hAnsi="Times New Roman" w:eastAsiaTheme="minorEastAsia"/>
          <w:bCs/>
          <w:snapToGrid w:val="0"/>
          <w:color w:val="auto"/>
          <w:w w:val="99"/>
          <w:highlight w:val="none"/>
        </w:rPr>
        <w:t>m，施工期占地性质为耕地（</w:t>
      </w:r>
      <w:r>
        <w:rPr>
          <w:rFonts w:hint="eastAsia" w:ascii="Times New Roman" w:hAnsi="Times New Roman" w:eastAsiaTheme="minorEastAsia"/>
          <w:bCs/>
          <w:snapToGrid w:val="0"/>
          <w:color w:val="auto"/>
          <w:w w:val="99"/>
          <w:highlight w:val="none"/>
          <w:lang w:eastAsia="zh-CN"/>
        </w:rPr>
        <w:t>非</w:t>
      </w:r>
      <w:r>
        <w:rPr>
          <w:rFonts w:ascii="Times New Roman" w:hAnsi="Times New Roman" w:eastAsiaTheme="minorEastAsia"/>
          <w:bCs/>
          <w:snapToGrid w:val="0"/>
          <w:color w:val="auto"/>
          <w:w w:val="99"/>
          <w:highlight w:val="none"/>
        </w:rPr>
        <w:t>基本农田</w:t>
      </w:r>
      <w:r>
        <w:rPr>
          <w:rFonts w:hint="eastAsia" w:ascii="Times New Roman" w:hAnsi="Times New Roman" w:eastAsiaTheme="minorEastAsia"/>
          <w:bCs/>
          <w:snapToGrid w:val="0"/>
          <w:color w:val="auto"/>
          <w:w w:val="99"/>
          <w:highlight w:val="none"/>
          <w:lang w:eastAsia="zh-CN"/>
        </w:rPr>
        <w:t>、少量永久基本农田</w:t>
      </w:r>
      <w:r>
        <w:rPr>
          <w:rFonts w:ascii="Times New Roman" w:hAnsi="Times New Roman" w:eastAsiaTheme="minorEastAsia"/>
          <w:bCs/>
          <w:snapToGrid w:val="0"/>
          <w:color w:val="auto"/>
          <w:w w:val="99"/>
          <w:highlight w:val="none"/>
        </w:rPr>
        <w:t>）</w:t>
      </w:r>
      <w:r>
        <w:rPr>
          <w:rFonts w:ascii="Times New Roman" w:hAnsi="Times New Roman" w:eastAsiaTheme="minorEastAsia"/>
          <w:snapToGrid w:val="0"/>
          <w:color w:val="auto"/>
          <w:w w:val="99"/>
          <w:highlight w:val="none"/>
        </w:rPr>
        <w:t>；</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bCs/>
          <w:snapToGrid w:val="0"/>
          <w:color w:val="auto"/>
          <w:w w:val="99"/>
          <w:highlight w:val="none"/>
        </w:rPr>
        <w:t>工作进度：项目计划施工期为202</w:t>
      </w:r>
      <w:r>
        <w:rPr>
          <w:rFonts w:hint="eastAsia" w:ascii="Times New Roman" w:hAnsi="Times New Roman" w:eastAsiaTheme="minorEastAsia"/>
          <w:bCs/>
          <w:snapToGrid w:val="0"/>
          <w:color w:val="auto"/>
          <w:w w:val="99"/>
          <w:highlight w:val="none"/>
        </w:rPr>
        <w:t>2</w:t>
      </w:r>
      <w:r>
        <w:rPr>
          <w:rFonts w:ascii="Times New Roman" w:hAnsi="Times New Roman" w:eastAsiaTheme="minorEastAsia"/>
          <w:bCs/>
          <w:snapToGrid w:val="0"/>
          <w:color w:val="auto"/>
          <w:w w:val="99"/>
          <w:highlight w:val="none"/>
        </w:rPr>
        <w:t>年</w:t>
      </w:r>
      <w:r>
        <w:rPr>
          <w:rFonts w:hint="eastAsia" w:ascii="Times New Roman" w:hAnsi="Times New Roman" w:eastAsiaTheme="minorEastAsia"/>
          <w:bCs/>
          <w:snapToGrid w:val="0"/>
          <w:color w:val="auto"/>
          <w:w w:val="99"/>
          <w:highlight w:val="none"/>
          <w:lang w:val="en-US" w:eastAsia="zh-CN"/>
        </w:rPr>
        <w:t>5</w:t>
      </w:r>
      <w:r>
        <w:rPr>
          <w:rFonts w:ascii="Times New Roman" w:hAnsi="Times New Roman" w:eastAsiaTheme="minorEastAsia"/>
          <w:bCs/>
          <w:snapToGrid w:val="0"/>
          <w:color w:val="auto"/>
          <w:w w:val="99"/>
          <w:highlight w:val="none"/>
        </w:rPr>
        <w:t>月至 202</w:t>
      </w:r>
      <w:r>
        <w:rPr>
          <w:rFonts w:hint="eastAsia" w:ascii="Times New Roman" w:hAnsi="Times New Roman" w:eastAsiaTheme="minorEastAsia"/>
          <w:bCs/>
          <w:snapToGrid w:val="0"/>
          <w:color w:val="auto"/>
          <w:w w:val="99"/>
          <w:highlight w:val="none"/>
          <w:lang w:val="en-US" w:eastAsia="zh-CN"/>
        </w:rPr>
        <w:t>3</w:t>
      </w:r>
      <w:r>
        <w:rPr>
          <w:rFonts w:ascii="Times New Roman" w:hAnsi="Times New Roman" w:eastAsiaTheme="minorEastAsia"/>
          <w:bCs/>
          <w:snapToGrid w:val="0"/>
          <w:color w:val="auto"/>
          <w:w w:val="99"/>
          <w:highlight w:val="none"/>
        </w:rPr>
        <w:t>年</w:t>
      </w:r>
      <w:r>
        <w:rPr>
          <w:rFonts w:hint="eastAsia" w:ascii="Times New Roman" w:hAnsi="Times New Roman" w:eastAsiaTheme="minorEastAsia"/>
          <w:bCs/>
          <w:snapToGrid w:val="0"/>
          <w:color w:val="auto"/>
          <w:w w:val="99"/>
          <w:highlight w:val="none"/>
          <w:lang w:val="en-US" w:eastAsia="zh-CN"/>
        </w:rPr>
        <w:t>3</w:t>
      </w:r>
      <w:r>
        <w:rPr>
          <w:rFonts w:ascii="Times New Roman" w:hAnsi="Times New Roman" w:eastAsiaTheme="minorEastAsia"/>
          <w:bCs/>
          <w:snapToGrid w:val="0"/>
          <w:color w:val="auto"/>
          <w:w w:val="99"/>
          <w:highlight w:val="none"/>
        </w:rPr>
        <w:t>月，</w:t>
      </w:r>
      <w:r>
        <w:rPr>
          <w:rFonts w:hint="eastAsia" w:ascii="Times New Roman" w:hAnsi="Times New Roman" w:eastAsiaTheme="minorEastAsia"/>
          <w:bCs/>
          <w:snapToGrid w:val="0"/>
          <w:color w:val="auto"/>
          <w:w w:val="99"/>
          <w:highlight w:val="none"/>
          <w:lang w:val="en-US" w:eastAsia="zh-CN"/>
        </w:rPr>
        <w:t>2</w:t>
      </w:r>
      <w:r>
        <w:rPr>
          <w:rFonts w:ascii="Times New Roman" w:hAnsi="Times New Roman" w:eastAsiaTheme="minorEastAsia"/>
          <w:bCs/>
          <w:snapToGrid w:val="0"/>
          <w:color w:val="auto"/>
          <w:w w:val="99"/>
          <w:highlight w:val="none"/>
        </w:rPr>
        <w:t>个钻井队同时施工，每个钻井队在井人数 10 人，单井钻井施工1</w:t>
      </w:r>
      <w:r>
        <w:rPr>
          <w:rFonts w:hint="eastAsia" w:ascii="Times New Roman" w:hAnsi="Times New Roman" w:eastAsiaTheme="minorEastAsia"/>
          <w:bCs/>
          <w:snapToGrid w:val="0"/>
          <w:color w:val="auto"/>
          <w:w w:val="99"/>
          <w:highlight w:val="none"/>
        </w:rPr>
        <w:t>3</w:t>
      </w:r>
      <w:r>
        <w:rPr>
          <w:rFonts w:ascii="Times New Roman" w:hAnsi="Times New Roman" w:eastAsiaTheme="minorEastAsia"/>
          <w:bCs/>
          <w:snapToGrid w:val="0"/>
          <w:color w:val="auto"/>
          <w:w w:val="99"/>
          <w:highlight w:val="none"/>
        </w:rPr>
        <w:t>d，射孔平均时间按1d计，单井总计施工时间约为1</w:t>
      </w:r>
      <w:r>
        <w:rPr>
          <w:rFonts w:hint="eastAsia" w:ascii="Times New Roman" w:hAnsi="Times New Roman" w:eastAsiaTheme="minorEastAsia"/>
          <w:bCs/>
          <w:snapToGrid w:val="0"/>
          <w:color w:val="auto"/>
          <w:w w:val="99"/>
          <w:highlight w:val="none"/>
        </w:rPr>
        <w:t>4</w:t>
      </w:r>
      <w:r>
        <w:rPr>
          <w:rFonts w:ascii="Times New Roman" w:hAnsi="Times New Roman" w:eastAsiaTheme="minorEastAsia"/>
          <w:bCs/>
          <w:snapToGrid w:val="0"/>
          <w:color w:val="auto"/>
          <w:w w:val="99"/>
          <w:highlight w:val="none"/>
        </w:rPr>
        <w:t>d，共计施工约</w:t>
      </w:r>
      <w:r>
        <w:rPr>
          <w:rFonts w:hint="eastAsia" w:ascii="Times New Roman" w:hAnsi="Times New Roman" w:eastAsiaTheme="minorEastAsia"/>
          <w:bCs/>
          <w:snapToGrid w:val="0"/>
          <w:color w:val="auto"/>
          <w:w w:val="99"/>
          <w:highlight w:val="none"/>
          <w:lang w:val="en-US" w:eastAsia="zh-CN"/>
        </w:rPr>
        <w:t>308</w:t>
      </w:r>
      <w:r>
        <w:rPr>
          <w:rFonts w:ascii="Times New Roman" w:hAnsi="Times New Roman" w:eastAsiaTheme="minorEastAsia"/>
          <w:bCs/>
          <w:snapToGrid w:val="0"/>
          <w:color w:val="auto"/>
          <w:w w:val="99"/>
          <w:highlight w:val="none"/>
        </w:rPr>
        <w:t>d，施工井场设置营地。</w:t>
      </w:r>
    </w:p>
    <w:p>
      <w:pPr>
        <w:pStyle w:val="5"/>
        <w:keepNext w:val="0"/>
        <w:keepLines w:val="0"/>
        <w:widowControl w:val="0"/>
        <w:rPr>
          <w:rFonts w:ascii="Times New Roman" w:hAnsi="Times New Roman"/>
          <w:b/>
          <w:snapToGrid w:val="0"/>
          <w:color w:val="auto"/>
          <w:w w:val="99"/>
          <w:highlight w:val="none"/>
        </w:rPr>
      </w:pPr>
      <w:bookmarkStart w:id="355" w:name="_Toc80105139"/>
      <w:r>
        <w:rPr>
          <w:rFonts w:ascii="Times New Roman" w:hAnsi="Times New Roman"/>
          <w:b/>
          <w:snapToGrid w:val="0"/>
          <w:color w:val="auto"/>
          <w:w w:val="99"/>
          <w:highlight w:val="none"/>
        </w:rPr>
        <w:t>3.2工程组成</w:t>
      </w:r>
      <w:bookmarkEnd w:id="355"/>
    </w:p>
    <w:bookmarkEnd w:id="353"/>
    <w:bookmarkEnd w:id="354"/>
    <w:p>
      <w:pPr>
        <w:widowControl w:val="0"/>
        <w:spacing w:line="500" w:lineRule="exact"/>
        <w:ind w:firstLine="474" w:firstLineChars="200"/>
        <w:rPr>
          <w:rFonts w:ascii="Times New Roman" w:hAnsi="Times New Roman" w:cs="Times New Roman" w:eastAsiaTheme="minorEastAsia"/>
          <w:snapToGrid w:val="0"/>
          <w:color w:val="auto"/>
          <w:w w:val="99"/>
          <w:highlight w:val="none"/>
        </w:rPr>
      </w:pPr>
      <w:r>
        <w:rPr>
          <w:rFonts w:ascii="Times New Roman" w:hAnsi="Times New Roman" w:cs="Times New Roman" w:eastAsiaTheme="minorEastAsia"/>
          <w:snapToGrid w:val="0"/>
          <w:color w:val="auto"/>
          <w:w w:val="99"/>
          <w:highlight w:val="none"/>
        </w:rPr>
        <w:t>建设项目工程组成见表3.2-1。</w:t>
      </w:r>
    </w:p>
    <w:p>
      <w:pPr>
        <w:widowControl w:val="0"/>
        <w:spacing w:line="500" w:lineRule="exact"/>
        <w:ind w:firstLine="474" w:firstLineChars="200"/>
        <w:rPr>
          <w:rFonts w:ascii="Times New Roman" w:hAnsi="Times New Roman" w:cs="Times New Roman" w:eastAsiaTheme="minorEastAsia"/>
          <w:b/>
          <w:bCs/>
          <w:snapToGrid w:val="0"/>
          <w:color w:val="auto"/>
          <w:w w:val="99"/>
          <w:highlight w:val="none"/>
        </w:rPr>
      </w:pPr>
      <w:r>
        <w:rPr>
          <w:rFonts w:ascii="Times New Roman" w:hAnsi="Times New Roman" w:cs="Times New Roman" w:eastAsiaTheme="minorEastAsia"/>
          <w:b/>
          <w:bCs/>
          <w:snapToGrid w:val="0"/>
          <w:color w:val="auto"/>
          <w:w w:val="99"/>
          <w:highlight w:val="none"/>
        </w:rPr>
        <w:t>表3.2-1                    工程组成一览表</w:t>
      </w:r>
    </w:p>
    <w:tbl>
      <w:tblPr>
        <w:tblStyle w:val="8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270"/>
        <w:gridCol w:w="6092"/>
        <w:gridCol w:w="12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pct"/>
            <w:gridSpan w:val="2"/>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r>
              <w:rPr>
                <w:rFonts w:eastAsiaTheme="minorEastAsia"/>
                <w:bCs/>
                <w:color w:val="auto"/>
                <w:w w:val="99"/>
                <w:kern w:val="21"/>
                <w:sz w:val="21"/>
                <w:szCs w:val="21"/>
                <w:highlight w:val="none"/>
              </w:rPr>
              <w:t>工程名称</w:t>
            </w:r>
          </w:p>
        </w:tc>
        <w:tc>
          <w:tcPr>
            <w:tcW w:w="3279" w:type="pct"/>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r>
              <w:rPr>
                <w:rFonts w:eastAsiaTheme="minorEastAsia"/>
                <w:bCs/>
                <w:color w:val="auto"/>
                <w:w w:val="99"/>
                <w:kern w:val="21"/>
                <w:sz w:val="21"/>
                <w:szCs w:val="21"/>
                <w:highlight w:val="none"/>
              </w:rPr>
              <w:t>工程内容及规模</w:t>
            </w:r>
          </w:p>
        </w:tc>
        <w:tc>
          <w:tcPr>
            <w:tcW w:w="668" w:type="pct"/>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r>
              <w:rPr>
                <w:rFonts w:eastAsiaTheme="minorEastAsia"/>
                <w:bCs/>
                <w:color w:val="auto"/>
                <w:w w:val="99"/>
                <w:kern w:val="21"/>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368" w:type="pct"/>
            <w:vMerge w:val="restar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主体工程</w:t>
            </w: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钻井井场</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新建油井</w:t>
            </w:r>
            <w:r>
              <w:rPr>
                <w:rFonts w:ascii="Times New Roman" w:hAnsi="Times New Roman" w:cs="Times New Roman" w:eastAsiaTheme="minorEastAsia"/>
                <w:color w:val="auto"/>
                <w:w w:val="99"/>
                <w:kern w:val="2"/>
                <w:sz w:val="21"/>
                <w:szCs w:val="21"/>
                <w:highlight w:val="none"/>
              </w:rPr>
              <w:t>钻井井</w:t>
            </w:r>
            <w:r>
              <w:rPr>
                <w:rFonts w:ascii="Times New Roman" w:hAnsi="Times New Roman" w:cs="Times New Roman" w:eastAsiaTheme="minorEastAsia"/>
                <w:bCs/>
                <w:color w:val="auto"/>
                <w:w w:val="99"/>
                <w:kern w:val="2"/>
                <w:sz w:val="21"/>
                <w:szCs w:val="21"/>
                <w:highlight w:val="none"/>
              </w:rPr>
              <w:t>场</w:t>
            </w:r>
            <w:r>
              <w:rPr>
                <w:rFonts w:hint="eastAsia" w:ascii="Times New Roman" w:hAnsi="Times New Roman" w:cs="Times New Roman" w:eastAsiaTheme="minorEastAsia"/>
                <w:bCs/>
                <w:color w:val="auto"/>
                <w:w w:val="99"/>
                <w:kern w:val="2"/>
                <w:sz w:val="21"/>
                <w:szCs w:val="21"/>
                <w:highlight w:val="none"/>
                <w:lang w:val="en-US" w:eastAsia="zh-CN"/>
              </w:rPr>
              <w:t>44</w:t>
            </w:r>
            <w:r>
              <w:rPr>
                <w:rFonts w:ascii="Times New Roman" w:hAnsi="Times New Roman" w:cs="Times New Roman" w:eastAsiaTheme="minorEastAsia"/>
                <w:bCs/>
                <w:color w:val="auto"/>
                <w:w w:val="99"/>
                <w:kern w:val="2"/>
                <w:sz w:val="21"/>
                <w:szCs w:val="21"/>
                <w:highlight w:val="none"/>
              </w:rPr>
              <w:t>座，井场占地40m×30m，各井场地面平整夯实，井场占地形成永久占地。井场设备包括钻机、钻台，以及配料罐、泥浆泵、钢制泥浆槽等</w:t>
            </w:r>
            <w:r>
              <w:rPr>
                <w:rFonts w:ascii="Times New Roman" w:hAnsi="Times New Roman" w:cs="Times New Roman" w:eastAsiaTheme="minorEastAsia"/>
                <w:bCs/>
                <w:color w:val="auto"/>
                <w:w w:val="99"/>
                <w:kern w:val="21"/>
                <w:sz w:val="21"/>
                <w:szCs w:val="21"/>
                <w:highlight w:val="none"/>
              </w:rPr>
              <w:t xml:space="preserve">。   </w:t>
            </w:r>
          </w:p>
        </w:tc>
        <w:tc>
          <w:tcPr>
            <w:tcW w:w="668" w:type="pct"/>
            <w:vMerge w:val="restar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井架基础</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新建43.3m×11.7m撬装式钢制基础，1座/井场，用于架设钻井井架。</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钻井工程</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新钻油井</w:t>
            </w:r>
            <w:r>
              <w:rPr>
                <w:rFonts w:hint="eastAsia" w:ascii="Times New Roman" w:hAnsi="Times New Roman" w:cs="Times New Roman" w:eastAsiaTheme="minorEastAsia"/>
                <w:bCs/>
                <w:color w:val="auto"/>
                <w:w w:val="99"/>
                <w:kern w:val="21"/>
                <w:sz w:val="21"/>
                <w:szCs w:val="21"/>
                <w:highlight w:val="none"/>
                <w:lang w:val="en-US" w:eastAsia="zh-CN"/>
              </w:rPr>
              <w:t>44</w:t>
            </w:r>
            <w:r>
              <w:rPr>
                <w:rFonts w:hint="eastAsia" w:ascii="Times New Roman" w:hAnsi="Times New Roman" w:cs="Times New Roman" w:eastAsiaTheme="minorEastAsia"/>
                <w:bCs/>
                <w:color w:val="auto"/>
                <w:w w:val="99"/>
                <w:kern w:val="21"/>
                <w:sz w:val="21"/>
                <w:szCs w:val="21"/>
                <w:highlight w:val="none"/>
              </w:rPr>
              <w:t>口</w:t>
            </w:r>
            <w:r>
              <w:rPr>
                <w:rFonts w:ascii="Times New Roman" w:hAnsi="Times New Roman" w:cs="Times New Roman" w:eastAsiaTheme="minorEastAsia"/>
                <w:bCs/>
                <w:color w:val="auto"/>
                <w:w w:val="99"/>
                <w:kern w:val="21"/>
                <w:sz w:val="21"/>
                <w:szCs w:val="21"/>
                <w:highlight w:val="none"/>
              </w:rPr>
              <w:t>，主要工程内容包括钻井成套设备搬运、安装、调试、钻前准备、钻进、录井、测井、固井、完井等。</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射孔工程</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hint="eastAsia" w:ascii="Times New Roman" w:hAnsi="Times New Roman" w:cs="Times New Roman" w:eastAsiaTheme="minorEastAsia"/>
                <w:bCs/>
                <w:color w:val="auto"/>
                <w:w w:val="99"/>
                <w:kern w:val="21"/>
                <w:sz w:val="21"/>
                <w:szCs w:val="21"/>
                <w:highlight w:val="none"/>
                <w:lang w:val="en-US" w:eastAsia="zh-CN"/>
              </w:rPr>
              <w:t>44</w:t>
            </w:r>
            <w:r>
              <w:rPr>
                <w:rFonts w:hint="eastAsia" w:ascii="Times New Roman" w:hAnsi="Times New Roman" w:cs="Times New Roman" w:eastAsiaTheme="minorEastAsia"/>
                <w:bCs/>
                <w:color w:val="auto"/>
                <w:w w:val="99"/>
                <w:kern w:val="21"/>
                <w:sz w:val="21"/>
                <w:szCs w:val="21"/>
                <w:highlight w:val="none"/>
              </w:rPr>
              <w:t>口</w:t>
            </w:r>
            <w:r>
              <w:rPr>
                <w:rFonts w:ascii="Times New Roman" w:hAnsi="Times New Roman" w:cs="Times New Roman" w:eastAsiaTheme="minorEastAsia"/>
                <w:bCs/>
                <w:color w:val="auto"/>
                <w:w w:val="99"/>
                <w:kern w:val="21"/>
                <w:sz w:val="21"/>
                <w:szCs w:val="21"/>
                <w:highlight w:val="none"/>
              </w:rPr>
              <w:t>新钻油井采用射孔完井，采用多级复合射孔工艺。</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restart"/>
            <w:vAlign w:val="center"/>
          </w:tcPr>
          <w:p>
            <w:pPr>
              <w:pStyle w:val="103"/>
              <w:keepNext w:val="0"/>
              <w:keepLines w:val="0"/>
              <w:pageBreakBefore w:val="0"/>
              <w:kinsoku/>
              <w:wordWrap/>
              <w:overflowPunct/>
              <w:topLinePunct w:val="0"/>
              <w:bidi w:val="0"/>
              <w:spacing w:line="360" w:lineRule="exact"/>
              <w:ind w:left="0" w:leftChars="0" w:firstLine="0" w:firstLineChars="0"/>
              <w:jc w:val="both"/>
              <w:rPr>
                <w:rFonts w:eastAsiaTheme="minorEastAsia"/>
                <w:bCs/>
                <w:color w:val="auto"/>
                <w:w w:val="99"/>
                <w:kern w:val="21"/>
                <w:sz w:val="21"/>
                <w:szCs w:val="21"/>
                <w:highlight w:val="none"/>
              </w:rPr>
            </w:pPr>
            <w:r>
              <w:rPr>
                <w:rFonts w:eastAsiaTheme="minorEastAsia"/>
                <w:bCs/>
                <w:color w:val="auto"/>
                <w:w w:val="99"/>
                <w:kern w:val="21"/>
                <w:sz w:val="21"/>
                <w:szCs w:val="21"/>
                <w:highlight w:val="none"/>
              </w:rPr>
              <w:t>辅助工程</w:t>
            </w: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井控房</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每座井场设1座井控房，占地面积50m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，房内安放钻井控制系统、监测及报警装置，用于井控人员监测钻井情况。</w:t>
            </w:r>
          </w:p>
        </w:tc>
        <w:tc>
          <w:tcPr>
            <w:tcW w:w="668" w:type="pct"/>
            <w:vMerge w:val="restar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钻井液罐区</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每座钻井井场设4座</w:t>
            </w:r>
            <w:r>
              <w:rPr>
                <w:rFonts w:ascii="Times New Roman" w:hAnsi="Times New Roman" w:cs="Times New Roman" w:eastAsiaTheme="minorEastAsia"/>
                <w:color w:val="auto"/>
                <w:w w:val="99"/>
                <w:kern w:val="2"/>
                <w:sz w:val="21"/>
                <w:szCs w:val="21"/>
                <w:highlight w:val="none"/>
              </w:rPr>
              <w:t>钻井液罐，40m</w:t>
            </w:r>
            <w:r>
              <w:rPr>
                <w:rFonts w:ascii="Times New Roman" w:hAnsi="Times New Roman" w:cs="Times New Roman" w:eastAsiaTheme="minorEastAsia"/>
                <w:color w:val="auto"/>
                <w:w w:val="99"/>
                <w:kern w:val="2"/>
                <w:sz w:val="21"/>
                <w:szCs w:val="21"/>
                <w:highlight w:val="none"/>
                <w:vertAlign w:val="superscript"/>
              </w:rPr>
              <w:t>3</w:t>
            </w:r>
            <w:r>
              <w:rPr>
                <w:rFonts w:ascii="Times New Roman" w:hAnsi="Times New Roman" w:cs="Times New Roman" w:eastAsiaTheme="minorEastAsia"/>
                <w:color w:val="auto"/>
                <w:w w:val="99"/>
                <w:kern w:val="2"/>
                <w:sz w:val="21"/>
                <w:szCs w:val="21"/>
                <w:highlight w:val="none"/>
              </w:rPr>
              <w:t>/座，用于钻井液的配置及暂存。</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钢制泥浆槽</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每座井场设置容积100m</w:t>
            </w:r>
            <w:r>
              <w:rPr>
                <w:rFonts w:ascii="Times New Roman" w:hAnsi="Times New Roman" w:cs="Times New Roman" w:eastAsiaTheme="minorEastAsia"/>
                <w:bCs/>
                <w:color w:val="auto"/>
                <w:w w:val="99"/>
                <w:kern w:val="21"/>
                <w:sz w:val="21"/>
                <w:szCs w:val="21"/>
                <w:highlight w:val="none"/>
                <w:vertAlign w:val="superscript"/>
              </w:rPr>
              <w:t>3</w:t>
            </w:r>
            <w:r>
              <w:rPr>
                <w:rFonts w:ascii="Times New Roman" w:hAnsi="Times New Roman" w:cs="Times New Roman" w:eastAsiaTheme="minorEastAsia"/>
                <w:bCs/>
                <w:color w:val="auto"/>
                <w:w w:val="99"/>
                <w:kern w:val="21"/>
                <w:sz w:val="21"/>
                <w:szCs w:val="21"/>
                <w:highlight w:val="none"/>
              </w:rPr>
              <w:t>的钢制泥浆槽（10×5×2m），用于暂存钻井岩屑、废弃钻井液、钻井废水，边产生边收集，由罐车</w:t>
            </w:r>
            <w:r>
              <w:rPr>
                <w:rFonts w:hint="eastAsia" w:ascii="Times New Roman" w:hAnsi="Times New Roman" w:cs="Times New Roman" w:eastAsiaTheme="minorEastAsia"/>
                <w:bCs/>
                <w:color w:val="auto"/>
                <w:w w:val="99"/>
                <w:kern w:val="21"/>
                <w:sz w:val="21"/>
                <w:szCs w:val="21"/>
                <w:highlight w:val="none"/>
              </w:rPr>
              <w:t>及时拉运至</w:t>
            </w:r>
            <w:r>
              <w:rPr>
                <w:rFonts w:ascii="Times New Roman" w:hAnsi="Times New Roman" w:cs="Times New Roman" w:eastAsiaTheme="minorEastAsia"/>
                <w:color w:val="auto"/>
                <w:w w:val="99"/>
                <w:kern w:val="2"/>
                <w:sz w:val="21"/>
                <w:highlight w:val="none"/>
              </w:rPr>
              <w:t>大庆油田昆仑集团有限公司环保分公司</w:t>
            </w:r>
            <w:r>
              <w:rPr>
                <w:rFonts w:hint="eastAsia" w:ascii="Times New Roman" w:hAnsi="Times New Roman" w:cs="Times New Roman" w:eastAsiaTheme="minorEastAsia"/>
                <w:bCs/>
                <w:color w:val="auto"/>
                <w:w w:val="99"/>
                <w:kern w:val="21"/>
                <w:sz w:val="21"/>
                <w:szCs w:val="21"/>
                <w:highlight w:val="none"/>
              </w:rPr>
              <w:t>处理</w:t>
            </w:r>
            <w:r>
              <w:rPr>
                <w:rFonts w:ascii="Times New Roman" w:hAnsi="Times New Roman" w:cs="Times New Roman" w:eastAsiaTheme="minorEastAsia"/>
                <w:bCs/>
                <w:color w:val="auto"/>
                <w:w w:val="99"/>
                <w:kern w:val="21"/>
                <w:sz w:val="21"/>
                <w:szCs w:val="21"/>
                <w:highlight w:val="none"/>
              </w:rPr>
              <w:t>，确保本工程产生的废弃钻井液不落地。</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水罐区</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钢制水罐2个/井场，存储新鲜水，有效容积100m</w:t>
            </w:r>
            <w:r>
              <w:rPr>
                <w:rFonts w:ascii="Times New Roman" w:hAnsi="Times New Roman" w:cs="Times New Roman" w:eastAsiaTheme="minorEastAsia"/>
                <w:bCs/>
                <w:color w:val="auto"/>
                <w:w w:val="99"/>
                <w:kern w:val="21"/>
                <w:sz w:val="21"/>
                <w:szCs w:val="21"/>
                <w:highlight w:val="none"/>
                <w:vertAlign w:val="superscript"/>
              </w:rPr>
              <w:t>3</w:t>
            </w:r>
            <w:r>
              <w:rPr>
                <w:rFonts w:ascii="Times New Roman" w:hAnsi="Times New Roman" w:cs="Times New Roman" w:eastAsiaTheme="minorEastAsia"/>
                <w:bCs/>
                <w:color w:val="auto"/>
                <w:w w:val="99"/>
                <w:kern w:val="21"/>
                <w:sz w:val="21"/>
                <w:szCs w:val="21"/>
                <w:highlight w:val="none"/>
              </w:rPr>
              <w:t>，用于施工期的生产用水。</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钻井液材料房</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每个平台设置钻井液材料房1座，占地面积50m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，用于存放钻井液材料，包括膨润土、纯碱、重晶石粉等。</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KOH材料房</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每个平台设置KOH材料房1座，占地面积50m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，用于存放钻井液材料KOH，材料房做重点防渗处理，采用地面碾压平整并铺设2mm厚防渗土工布进行防渗，渗透系数</w:t>
            </w:r>
            <w:r>
              <w:rPr>
                <w:rFonts w:hint="eastAsia" w:ascii="Times New Roman" w:hAnsi="Times New Roman" w:cs="Times New Roman" w:eastAsiaTheme="minorEastAsia"/>
                <w:bCs/>
                <w:color w:val="auto"/>
                <w:w w:val="99"/>
                <w:kern w:val="21"/>
                <w:sz w:val="21"/>
                <w:szCs w:val="21"/>
                <w:highlight w:val="none"/>
              </w:rPr>
              <w:t>为</w:t>
            </w:r>
            <w:r>
              <w:rPr>
                <w:rFonts w:ascii="Times New Roman" w:hAnsi="Times New Roman" w:cs="Times New Roman" w:eastAsiaTheme="minorEastAsia"/>
                <w:bCs/>
                <w:color w:val="auto"/>
                <w:w w:val="99"/>
                <w:kern w:val="21"/>
                <w:sz w:val="21"/>
                <w:szCs w:val="21"/>
                <w:highlight w:val="none"/>
              </w:rPr>
              <w:t>1×10</w:t>
            </w:r>
            <w:r>
              <w:rPr>
                <w:rFonts w:ascii="Times New Roman" w:hAnsi="Times New Roman" w:cs="Times New Roman" w:eastAsiaTheme="minorEastAsia"/>
                <w:bCs/>
                <w:color w:val="auto"/>
                <w:w w:val="99"/>
                <w:kern w:val="21"/>
                <w:sz w:val="21"/>
                <w:szCs w:val="21"/>
                <w:highlight w:val="none"/>
                <w:vertAlign w:val="superscript"/>
              </w:rPr>
              <w:t>-10</w:t>
            </w:r>
            <w:r>
              <w:rPr>
                <w:rFonts w:ascii="Times New Roman" w:hAnsi="Times New Roman" w:cs="Times New Roman" w:eastAsiaTheme="minorEastAsia"/>
                <w:bCs/>
                <w:color w:val="auto"/>
                <w:w w:val="99"/>
                <w:kern w:val="21"/>
                <w:sz w:val="21"/>
                <w:szCs w:val="21"/>
                <w:highlight w:val="none"/>
              </w:rPr>
              <w:t>cm/s。</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柴油罐区</w:t>
            </w:r>
          </w:p>
        </w:tc>
        <w:tc>
          <w:tcPr>
            <w:tcW w:w="3279" w:type="pct"/>
            <w:vAlign w:val="center"/>
          </w:tcPr>
          <w:p>
            <w:pPr>
              <w:keepNext w:val="0"/>
              <w:keepLines w:val="0"/>
              <w:pageBreakBefore w:val="0"/>
              <w:kinsoku/>
              <w:wordWrap/>
              <w:overflowPunct/>
              <w:topLinePunct w:val="0"/>
              <w:bidi w:val="0"/>
              <w:spacing w:line="360" w:lineRule="exact"/>
              <w:ind w:firstLine="0"/>
              <w:jc w:val="both"/>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钢制柴油罐1个/井场，占地面积30m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，单罐容积50m</w:t>
            </w:r>
            <w:r>
              <w:rPr>
                <w:rFonts w:ascii="Times New Roman" w:hAnsi="Times New Roman" w:cs="Times New Roman" w:eastAsiaTheme="minorEastAsia"/>
                <w:bCs/>
                <w:color w:val="auto"/>
                <w:w w:val="99"/>
                <w:kern w:val="21"/>
                <w:sz w:val="21"/>
                <w:szCs w:val="21"/>
                <w:highlight w:val="none"/>
                <w:vertAlign w:val="superscript"/>
              </w:rPr>
              <w:t>3</w:t>
            </w:r>
            <w:r>
              <w:rPr>
                <w:rFonts w:ascii="Times New Roman" w:hAnsi="Times New Roman" w:cs="Times New Roman" w:eastAsiaTheme="minorEastAsia"/>
                <w:bCs/>
                <w:color w:val="auto"/>
                <w:w w:val="99"/>
                <w:kern w:val="21"/>
                <w:sz w:val="21"/>
                <w:szCs w:val="21"/>
                <w:highlight w:val="none"/>
              </w:rPr>
              <w:t>，储量合计约40t柴油。柴油罐区做重点防渗处理，并在罐区配备泡沫灭火器。</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其他材料房</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每个井场设置材料房1座，占地面积50m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，用于存放其他钻井材料。</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机械修理房</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1座/井场，占地面积50m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，用于修理机械。</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气源房</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1座/井场，占地面积30m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，供应压缩空气，给钻机刹车提供动力。</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发电机房</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1座/井场，占地面积50m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，为生活及钻井提供电力。</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配电房</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1座/井场，占地面积30m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施工便道</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设置通往井场的施工便道，长约</w:t>
            </w:r>
            <w:r>
              <w:rPr>
                <w:rFonts w:hint="eastAsia" w:ascii="Times New Roman" w:hAnsi="Times New Roman" w:cs="Times New Roman" w:eastAsiaTheme="minorEastAsia"/>
                <w:bCs/>
                <w:color w:val="auto"/>
                <w:w w:val="99"/>
                <w:kern w:val="21"/>
                <w:sz w:val="21"/>
                <w:szCs w:val="21"/>
                <w:highlight w:val="none"/>
              </w:rPr>
              <w:t>2</w:t>
            </w:r>
            <w:r>
              <w:rPr>
                <w:rFonts w:hint="eastAsia" w:ascii="Times New Roman" w:hAnsi="Times New Roman" w:cs="Times New Roman" w:eastAsiaTheme="minorEastAsia"/>
                <w:bCs/>
                <w:color w:val="auto"/>
                <w:w w:val="99"/>
                <w:kern w:val="21"/>
                <w:sz w:val="21"/>
                <w:szCs w:val="21"/>
                <w:highlight w:val="none"/>
                <w:lang w:val="en-US" w:eastAsia="zh-CN"/>
              </w:rPr>
              <w:t>200</w:t>
            </w:r>
            <w:r>
              <w:rPr>
                <w:rFonts w:ascii="Times New Roman" w:hAnsi="Times New Roman" w:cs="Times New Roman" w:eastAsiaTheme="minorEastAsia"/>
                <w:bCs/>
                <w:color w:val="auto"/>
                <w:w w:val="99"/>
                <w:kern w:val="21"/>
                <w:sz w:val="21"/>
                <w:szCs w:val="21"/>
                <w:highlight w:val="none"/>
              </w:rPr>
              <w:t>m，宽度为4m</w:t>
            </w:r>
            <w:r>
              <w:rPr>
                <w:rFonts w:hint="eastAsia" w:ascii="Times New Roman" w:hAnsi="Times New Roman" w:cs="Times New Roman" w:eastAsiaTheme="minorEastAsia"/>
                <w:bCs/>
                <w:color w:val="auto"/>
                <w:w w:val="99"/>
                <w:kern w:val="21"/>
                <w:sz w:val="21"/>
                <w:szCs w:val="21"/>
                <w:highlight w:val="none"/>
                <w:lang w:eastAsia="zh-CN"/>
              </w:rPr>
              <w:t>的土路</w:t>
            </w:r>
            <w:r>
              <w:rPr>
                <w:rFonts w:ascii="Times New Roman" w:hAnsi="Times New Roman" w:cs="Times New Roman" w:eastAsiaTheme="minorEastAsia"/>
                <w:bCs/>
                <w:color w:val="auto"/>
                <w:w w:val="99"/>
                <w:kern w:val="21"/>
                <w:sz w:val="21"/>
                <w:szCs w:val="21"/>
                <w:highlight w:val="none"/>
              </w:rPr>
              <w:t>。</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color w:val="auto"/>
                <w:w w:val="99"/>
                <w:sz w:val="21"/>
                <w:szCs w:val="21"/>
                <w:highlight w:val="none"/>
              </w:rPr>
              <w:t>办公值班房</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每个钻井平台设50m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地质值班房1座、50m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工程值班房1座、50m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钻井监督房1座、50m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平台经理房1座。</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color w:val="auto"/>
                <w:w w:val="99"/>
                <w:sz w:val="21"/>
                <w:szCs w:val="21"/>
                <w:highlight w:val="none"/>
              </w:rPr>
              <w:t>钻井施工营地</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钻井施工各井场沿周边设置临时场地和临时便道。临时场地用于摆放生活区活动房，停放钻井施工设备，设置车辆回车场地；临时场地为临时占地，施工结束后</w:t>
            </w:r>
            <w:r>
              <w:rPr>
                <w:rFonts w:hint="eastAsia" w:ascii="Times New Roman" w:hAnsi="Times New Roman" w:cs="Times New Roman" w:eastAsiaTheme="minorEastAsia"/>
                <w:bCs/>
                <w:color w:val="auto"/>
                <w:w w:val="99"/>
                <w:kern w:val="21"/>
                <w:sz w:val="21"/>
                <w:szCs w:val="21"/>
                <w:highlight w:val="none"/>
              </w:rPr>
              <w:t>对</w:t>
            </w:r>
            <w:r>
              <w:rPr>
                <w:rFonts w:ascii="Times New Roman" w:hAnsi="Times New Roman" w:cs="Times New Roman" w:eastAsiaTheme="minorEastAsia"/>
                <w:bCs/>
                <w:color w:val="auto"/>
                <w:w w:val="99"/>
                <w:kern w:val="21"/>
                <w:sz w:val="21"/>
                <w:szCs w:val="21"/>
                <w:highlight w:val="none"/>
              </w:rPr>
              <w:t>临时占地进行生态恢复。本项目施工便道长度约</w:t>
            </w:r>
            <w:r>
              <w:rPr>
                <w:rFonts w:hint="eastAsia" w:ascii="Times New Roman" w:hAnsi="Times New Roman" w:cs="Times New Roman" w:eastAsiaTheme="minorEastAsia"/>
                <w:bCs/>
                <w:color w:val="auto"/>
                <w:w w:val="99"/>
                <w:kern w:val="21"/>
                <w:sz w:val="21"/>
                <w:szCs w:val="21"/>
                <w:highlight w:val="none"/>
                <w:lang w:val="en-US" w:eastAsia="zh-CN"/>
              </w:rPr>
              <w:t>2200</w:t>
            </w:r>
            <w:r>
              <w:rPr>
                <w:rFonts w:ascii="Times New Roman" w:hAnsi="Times New Roman" w:cs="Times New Roman" w:eastAsiaTheme="minorEastAsia"/>
                <w:bCs/>
                <w:color w:val="auto"/>
                <w:w w:val="99"/>
                <w:kern w:val="21"/>
                <w:sz w:val="21"/>
                <w:szCs w:val="21"/>
                <w:highlight w:val="none"/>
              </w:rPr>
              <w:t>m，宽度约4m，临时便道采用表层开挖，碾压夯实，开挖的表层土用于耕地补偿种植，本项目施工结束后临时便道保留，用于后续的产能地面建设。</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color w:val="auto"/>
                <w:w w:val="99"/>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restart"/>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r>
              <w:rPr>
                <w:rFonts w:eastAsiaTheme="minorEastAsia"/>
                <w:bCs/>
                <w:color w:val="auto"/>
                <w:w w:val="99"/>
                <w:kern w:val="21"/>
                <w:sz w:val="21"/>
                <w:szCs w:val="21"/>
                <w:highlight w:val="none"/>
              </w:rPr>
              <w:t>公用工程</w:t>
            </w: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给水工程</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生产用水由水罐车运到水罐区；生活用水由桶装水运到生活区。</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Merge w:val="restar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排水工程</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施工期生活污水</w:t>
            </w:r>
            <w:r>
              <w:rPr>
                <w:rFonts w:hint="eastAsia" w:ascii="Times New Roman" w:hAnsi="Times New Roman" w:cs="Times New Roman" w:eastAsiaTheme="minorEastAsia"/>
                <w:bCs/>
                <w:color w:val="auto"/>
                <w:w w:val="99"/>
                <w:kern w:val="21"/>
                <w:sz w:val="21"/>
                <w:szCs w:val="21"/>
                <w:highlight w:val="none"/>
              </w:rPr>
              <w:t>排入施工井场内临时设置的防渗旱厕，定期清掏外运堆肥处理，施工结束后进行卫生处理，场地进行平整。</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color w:val="auto"/>
                <w:w w:val="99"/>
                <w:sz w:val="21"/>
                <w:szCs w:val="21"/>
                <w:highlight w:val="none"/>
              </w:rPr>
            </w:pPr>
          </w:p>
        </w:tc>
        <w:tc>
          <w:tcPr>
            <w:tcW w:w="683"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color w:val="auto"/>
                <w:w w:val="99"/>
                <w:sz w:val="21"/>
                <w:szCs w:val="21"/>
                <w:highlight w:val="none"/>
              </w:rPr>
            </w:pP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钻井施工产生的钻井废水排入井场钢制泥浆槽，及时拉运</w:t>
            </w:r>
            <w:r>
              <w:rPr>
                <w:rFonts w:hint="eastAsia" w:ascii="Times New Roman" w:hAnsi="Times New Roman" w:cs="Times New Roman" w:eastAsiaTheme="minorEastAsia"/>
                <w:bCs/>
                <w:color w:val="auto"/>
                <w:w w:val="99"/>
                <w:kern w:val="21"/>
                <w:sz w:val="21"/>
                <w:szCs w:val="21"/>
                <w:highlight w:val="none"/>
              </w:rPr>
              <w:t>黑龙江龙之润环保工程有限公司废射孔液处理装置</w:t>
            </w:r>
            <w:r>
              <w:rPr>
                <w:rFonts w:ascii="Times New Roman" w:hAnsi="Times New Roman" w:cs="Times New Roman" w:eastAsiaTheme="minorEastAsia"/>
                <w:bCs/>
                <w:color w:val="auto"/>
                <w:w w:val="99"/>
                <w:kern w:val="21"/>
                <w:sz w:val="21"/>
                <w:szCs w:val="21"/>
                <w:highlight w:val="none"/>
              </w:rPr>
              <w:t>处理。</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供电工程</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钻井施工阶段用电由柴油发电机供给。</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供暖工程</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本项目</w:t>
            </w:r>
            <w:r>
              <w:rPr>
                <w:rFonts w:hint="eastAsia" w:ascii="Times New Roman" w:hAnsi="Times New Roman" w:cs="Times New Roman" w:eastAsiaTheme="minorEastAsia"/>
                <w:bCs/>
                <w:color w:val="auto"/>
                <w:w w:val="99"/>
                <w:kern w:val="21"/>
                <w:sz w:val="21"/>
                <w:szCs w:val="21"/>
                <w:highlight w:val="none"/>
              </w:rPr>
              <w:t>冬季施工采用</w:t>
            </w:r>
            <w:r>
              <w:rPr>
                <w:rFonts w:ascii="Times New Roman" w:hAnsi="Times New Roman" w:cs="Times New Roman" w:eastAsiaTheme="minorEastAsia"/>
                <w:bCs/>
                <w:color w:val="auto"/>
                <w:w w:val="99"/>
                <w:kern w:val="21"/>
                <w:sz w:val="21"/>
                <w:szCs w:val="21"/>
                <w:highlight w:val="none"/>
              </w:rPr>
              <w:t>电取暖。</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restart"/>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r>
              <w:rPr>
                <w:rFonts w:eastAsiaTheme="minorEastAsia"/>
                <w:bCs/>
                <w:color w:val="auto"/>
                <w:w w:val="99"/>
                <w:kern w:val="21"/>
                <w:sz w:val="21"/>
                <w:szCs w:val="21"/>
                <w:highlight w:val="none"/>
              </w:rPr>
              <w:t>环保工程</w:t>
            </w: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废气治理措施</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1）井场洒水抑尘；</w:t>
            </w:r>
          </w:p>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2）表土及其它粉状物料堆放覆遮盖材料；</w:t>
            </w:r>
          </w:p>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3）施工运输车辆采取密闭措施或加盖苫布。</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Merge w:val="restar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废水</w:t>
            </w:r>
          </w:p>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治理措施</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施工期钻井废水暂存于钢制泥浆槽，由罐车及时拉运</w:t>
            </w:r>
            <w:r>
              <w:rPr>
                <w:rFonts w:hint="eastAsia" w:ascii="Times New Roman" w:hAnsi="Times New Roman" w:cs="Times New Roman" w:eastAsiaTheme="minorEastAsia"/>
                <w:color w:val="auto"/>
                <w:w w:val="99"/>
                <w:sz w:val="21"/>
                <w:szCs w:val="21"/>
                <w:highlight w:val="none"/>
              </w:rPr>
              <w:t>大庆油田昆仑集团有限公司环保分公司</w:t>
            </w:r>
            <w:r>
              <w:rPr>
                <w:rFonts w:ascii="Times New Roman" w:hAnsi="Times New Roman" w:cs="Times New Roman" w:eastAsiaTheme="minorEastAsia"/>
                <w:color w:val="auto"/>
                <w:w w:val="99"/>
                <w:sz w:val="21"/>
                <w:szCs w:val="21"/>
                <w:highlight w:val="none"/>
              </w:rPr>
              <w:t>处理</w:t>
            </w:r>
            <w:r>
              <w:rPr>
                <w:rFonts w:ascii="Times New Roman" w:hAnsi="Times New Roman" w:cs="Times New Roman" w:eastAsiaTheme="minorEastAsia"/>
                <w:bCs/>
                <w:color w:val="auto"/>
                <w:w w:val="99"/>
                <w:kern w:val="21"/>
                <w:sz w:val="21"/>
                <w:szCs w:val="21"/>
                <w:highlight w:val="none"/>
              </w:rPr>
              <w:t>处理，确保本工程产生的废弃钻井液不落地。</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施工期</w:t>
            </w:r>
            <w:r>
              <w:rPr>
                <w:rFonts w:ascii="Times New Roman" w:hAnsi="Times New Roman" w:cs="Times New Roman" w:eastAsiaTheme="minorEastAsia"/>
                <w:color w:val="auto"/>
                <w:w w:val="99"/>
                <w:kern w:val="2"/>
                <w:sz w:val="21"/>
                <w:szCs w:val="21"/>
                <w:highlight w:val="none"/>
              </w:rPr>
              <w:t>生活污水</w:t>
            </w:r>
            <w:r>
              <w:rPr>
                <w:rFonts w:hint="eastAsia" w:ascii="Times New Roman" w:hAnsi="Times New Roman" w:cs="Times New Roman" w:eastAsiaTheme="minorEastAsia"/>
                <w:color w:val="auto"/>
                <w:w w:val="99"/>
                <w:kern w:val="2"/>
                <w:sz w:val="21"/>
                <w:szCs w:val="21"/>
                <w:highlight w:val="none"/>
              </w:rPr>
              <w:t>排入施工井场内临时设置的防渗旱厕，定期清掏外运堆肥处理，施工结束后进行卫生处理，场地进行平整。</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Merge w:val="restar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地下水与土壤防护措施</w:t>
            </w:r>
          </w:p>
        </w:tc>
        <w:tc>
          <w:tcPr>
            <w:tcW w:w="3279" w:type="pct"/>
            <w:vAlign w:val="center"/>
          </w:tcPr>
          <w:p>
            <w:pPr>
              <w:keepNext w:val="0"/>
              <w:keepLines w:val="0"/>
              <w:pageBreakBefore w:val="0"/>
              <w:kinsoku/>
              <w:wordWrap/>
              <w:overflowPunct/>
              <w:topLinePunct w:val="0"/>
              <w:bidi w:val="0"/>
              <w:spacing w:line="360" w:lineRule="exact"/>
              <w:ind w:firstLine="0"/>
              <w:jc w:val="both"/>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上游</w:t>
            </w:r>
            <w:r>
              <w:rPr>
                <w:rFonts w:hint="eastAsia" w:ascii="Times New Roman" w:hAnsi="Times New Roman" w:cs="Times New Roman" w:eastAsiaTheme="minorEastAsia"/>
                <w:bCs/>
                <w:color w:val="auto"/>
                <w:w w:val="99"/>
                <w:kern w:val="21"/>
                <w:sz w:val="21"/>
                <w:szCs w:val="21"/>
                <w:highlight w:val="none"/>
                <w:lang w:eastAsia="zh-CN"/>
              </w:rPr>
              <w:t>后仓粮</w:t>
            </w:r>
            <w:r>
              <w:rPr>
                <w:rFonts w:ascii="Times New Roman" w:hAnsi="Times New Roman" w:cs="Times New Roman" w:eastAsiaTheme="minorEastAsia"/>
                <w:bCs/>
                <w:color w:val="auto"/>
                <w:w w:val="99"/>
                <w:kern w:val="21"/>
                <w:sz w:val="21"/>
                <w:szCs w:val="21"/>
                <w:highlight w:val="none"/>
              </w:rPr>
              <w:t>水井</w:t>
            </w:r>
            <w:r>
              <w:rPr>
                <w:rFonts w:hint="eastAsia" w:ascii="Times New Roman" w:hAnsi="Times New Roman" w:cs="Times New Roman" w:eastAsiaTheme="minorEastAsia"/>
                <w:bCs/>
                <w:color w:val="auto"/>
                <w:w w:val="99"/>
                <w:kern w:val="21"/>
                <w:sz w:val="21"/>
                <w:szCs w:val="21"/>
                <w:highlight w:val="none"/>
              </w:rPr>
              <w:t>（坐标：125.01523018,45.57848391</w:t>
            </w:r>
            <w:r>
              <w:rPr>
                <w:rFonts w:ascii="Times New Roman" w:hAnsi="Times New Roman" w:cs="Times New Roman" w:eastAsiaTheme="minorEastAsia"/>
                <w:bCs/>
                <w:color w:val="auto"/>
                <w:w w:val="99"/>
                <w:kern w:val="21"/>
                <w:sz w:val="21"/>
                <w:szCs w:val="21"/>
                <w:highlight w:val="none"/>
              </w:rPr>
              <w:t>）布设1口潜水背景值监测水井，在区域内</w:t>
            </w:r>
            <w:r>
              <w:rPr>
                <w:rFonts w:hint="eastAsia" w:ascii="Times New Roman" w:hAnsi="Times New Roman" w:cs="Times New Roman" w:eastAsiaTheme="minorEastAsia"/>
                <w:bCs/>
                <w:color w:val="auto"/>
                <w:w w:val="99"/>
                <w:kern w:val="21"/>
                <w:sz w:val="21"/>
                <w:szCs w:val="21"/>
                <w:highlight w:val="none"/>
                <w:lang w:eastAsia="zh-CN"/>
              </w:rPr>
              <w:t>厢房屯</w:t>
            </w:r>
            <w:r>
              <w:rPr>
                <w:rFonts w:ascii="Times New Roman" w:hAnsi="Times New Roman" w:cs="Times New Roman" w:eastAsiaTheme="minorEastAsia"/>
                <w:bCs/>
                <w:color w:val="auto"/>
                <w:w w:val="99"/>
                <w:kern w:val="21"/>
                <w:sz w:val="21"/>
                <w:szCs w:val="21"/>
                <w:highlight w:val="none"/>
              </w:rPr>
              <w:t>水井</w:t>
            </w:r>
            <w:r>
              <w:rPr>
                <w:rFonts w:hint="eastAsia" w:ascii="Times New Roman" w:hAnsi="Times New Roman" w:cs="Times New Roman" w:eastAsiaTheme="minorEastAsia"/>
                <w:bCs/>
                <w:color w:val="auto"/>
                <w:w w:val="99"/>
                <w:kern w:val="21"/>
                <w:sz w:val="21"/>
                <w:szCs w:val="21"/>
                <w:highlight w:val="none"/>
              </w:rPr>
              <w:t>（坐标：125.00428677,45.56709843</w:t>
            </w:r>
            <w:r>
              <w:rPr>
                <w:rFonts w:ascii="Times New Roman" w:hAnsi="Times New Roman" w:cs="Times New Roman" w:eastAsiaTheme="minorEastAsia"/>
                <w:bCs/>
                <w:color w:val="auto"/>
                <w:w w:val="99"/>
                <w:kern w:val="21"/>
                <w:sz w:val="21"/>
                <w:szCs w:val="21"/>
                <w:highlight w:val="none"/>
              </w:rPr>
              <w:t>）、区域下游</w:t>
            </w:r>
            <w:r>
              <w:rPr>
                <w:rFonts w:hint="eastAsia" w:ascii="Times New Roman" w:hAnsi="Times New Roman" w:cs="Times New Roman" w:eastAsiaTheme="minorEastAsia"/>
                <w:bCs/>
                <w:color w:val="auto"/>
                <w:w w:val="99"/>
                <w:kern w:val="21"/>
                <w:sz w:val="21"/>
                <w:szCs w:val="21"/>
                <w:highlight w:val="none"/>
                <w:lang w:eastAsia="zh-CN"/>
              </w:rPr>
              <w:t>后永利村</w:t>
            </w:r>
            <w:r>
              <w:rPr>
                <w:rFonts w:hint="eastAsia" w:ascii="Times New Roman" w:hAnsi="Times New Roman" w:cs="Times New Roman" w:eastAsiaTheme="minorEastAsia"/>
                <w:bCs/>
                <w:color w:val="auto"/>
                <w:w w:val="99"/>
                <w:kern w:val="21"/>
                <w:sz w:val="21"/>
                <w:szCs w:val="21"/>
                <w:highlight w:val="none"/>
              </w:rPr>
              <w:t>水井（坐标：124.99969482,45.55114286</w:t>
            </w:r>
            <w:r>
              <w:rPr>
                <w:rFonts w:ascii="Times New Roman" w:hAnsi="Times New Roman" w:cs="Times New Roman" w:eastAsiaTheme="minorEastAsia"/>
                <w:bCs/>
                <w:color w:val="auto"/>
                <w:w w:val="99"/>
                <w:kern w:val="21"/>
                <w:sz w:val="21"/>
                <w:szCs w:val="21"/>
                <w:highlight w:val="none"/>
              </w:rPr>
              <w:t>）各布设1口潜水跟踪监测水井，定期对地下水进行跟踪监测。</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依托区域内水井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c>
          <w:tcPr>
            <w:tcW w:w="3279" w:type="pct"/>
            <w:vAlign w:val="center"/>
          </w:tcPr>
          <w:p>
            <w:pPr>
              <w:keepNext w:val="0"/>
              <w:keepLines w:val="0"/>
              <w:pageBreakBefore w:val="0"/>
              <w:kinsoku/>
              <w:wordWrap/>
              <w:overflowPunct/>
              <w:topLinePunct w:val="0"/>
              <w:bidi w:val="0"/>
              <w:spacing w:line="360" w:lineRule="exact"/>
              <w:ind w:firstLine="0"/>
              <w:jc w:val="both"/>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柴油罐区、钻井液罐区、发电机房、钢制泥浆槽、KOH材料房、钻井泵、钻台等处属于重点防渗区，采用地面碾压平整并铺设2mm厚防渗土工布进行防渗，渗透系数</w:t>
            </w:r>
            <w:r>
              <w:rPr>
                <w:rFonts w:hint="eastAsia" w:ascii="Times New Roman" w:hAnsi="Times New Roman" w:cs="Times New Roman" w:eastAsiaTheme="minorEastAsia"/>
                <w:bCs/>
                <w:color w:val="auto"/>
                <w:w w:val="99"/>
                <w:kern w:val="21"/>
                <w:sz w:val="21"/>
                <w:szCs w:val="21"/>
                <w:highlight w:val="none"/>
              </w:rPr>
              <w:t>为</w:t>
            </w:r>
            <w:r>
              <w:rPr>
                <w:rFonts w:ascii="Times New Roman" w:hAnsi="Times New Roman" w:cs="Times New Roman" w:eastAsiaTheme="minorEastAsia"/>
                <w:bCs/>
                <w:color w:val="auto"/>
                <w:w w:val="99"/>
                <w:kern w:val="21"/>
                <w:sz w:val="21"/>
                <w:szCs w:val="21"/>
                <w:highlight w:val="none"/>
              </w:rPr>
              <w:t>1×10</w:t>
            </w:r>
            <w:r>
              <w:rPr>
                <w:rFonts w:ascii="Times New Roman" w:hAnsi="Times New Roman" w:cs="Times New Roman" w:eastAsiaTheme="minorEastAsia"/>
                <w:bCs/>
                <w:color w:val="auto"/>
                <w:w w:val="99"/>
                <w:kern w:val="21"/>
                <w:sz w:val="21"/>
                <w:szCs w:val="21"/>
                <w:highlight w:val="none"/>
                <w:vertAlign w:val="superscript"/>
              </w:rPr>
              <w:t>-10</w:t>
            </w:r>
            <w:r>
              <w:rPr>
                <w:rFonts w:ascii="Times New Roman" w:hAnsi="Times New Roman" w:cs="Times New Roman" w:eastAsiaTheme="minorEastAsia"/>
                <w:bCs/>
                <w:color w:val="auto"/>
                <w:w w:val="99"/>
                <w:kern w:val="21"/>
                <w:sz w:val="21"/>
                <w:szCs w:val="21"/>
                <w:highlight w:val="none"/>
              </w:rPr>
              <w:t>cm/s，满足地下水导则中关于重点防渗区等效黏土防渗层Mb≥6.0m，K≤1×10</w:t>
            </w:r>
            <w:r>
              <w:rPr>
                <w:rFonts w:ascii="Times New Roman" w:hAnsi="Times New Roman" w:cs="Times New Roman" w:eastAsiaTheme="minorEastAsia"/>
                <w:bCs/>
                <w:color w:val="auto"/>
                <w:w w:val="99"/>
                <w:kern w:val="21"/>
                <w:sz w:val="21"/>
                <w:szCs w:val="21"/>
                <w:highlight w:val="none"/>
                <w:vertAlign w:val="superscript"/>
              </w:rPr>
              <w:t>-7</w:t>
            </w:r>
            <w:r>
              <w:rPr>
                <w:rFonts w:ascii="Times New Roman" w:hAnsi="Times New Roman" w:cs="Times New Roman" w:eastAsiaTheme="minorEastAsia"/>
                <w:bCs/>
                <w:color w:val="auto"/>
                <w:w w:val="99"/>
                <w:kern w:val="21"/>
                <w:sz w:val="21"/>
                <w:szCs w:val="21"/>
                <w:highlight w:val="none"/>
              </w:rPr>
              <w:t>cm/s防渗技术要求；钻井液材料房、其他材料房</w:t>
            </w:r>
            <w:r>
              <w:rPr>
                <w:rFonts w:hint="eastAsia" w:ascii="Times New Roman" w:hAnsi="Times New Roman" w:cs="Times New Roman" w:eastAsiaTheme="minorEastAsia"/>
                <w:bCs/>
                <w:color w:val="auto"/>
                <w:w w:val="99"/>
                <w:kern w:val="21"/>
                <w:sz w:val="21"/>
                <w:szCs w:val="21"/>
                <w:highlight w:val="none"/>
              </w:rPr>
              <w:t>、</w:t>
            </w:r>
            <w:r>
              <w:rPr>
                <w:rFonts w:ascii="Times New Roman" w:hAnsi="Times New Roman" w:cs="Times New Roman" w:eastAsiaTheme="minorEastAsia"/>
                <w:bCs/>
                <w:color w:val="auto"/>
                <w:w w:val="99"/>
                <w:kern w:val="21"/>
                <w:sz w:val="21"/>
                <w:szCs w:val="21"/>
                <w:highlight w:val="none"/>
              </w:rPr>
              <w:t>临时旱厕做一般防渗处理，采用1.5m厚黏土防渗层，渗透系数</w:t>
            </w:r>
            <w:r>
              <w:rPr>
                <w:rFonts w:hint="eastAsia" w:ascii="Times New Roman" w:hAnsi="Times New Roman" w:cs="Times New Roman" w:eastAsiaTheme="minorEastAsia"/>
                <w:bCs/>
                <w:color w:val="auto"/>
                <w:w w:val="99"/>
                <w:kern w:val="21"/>
                <w:sz w:val="21"/>
                <w:szCs w:val="21"/>
                <w:highlight w:val="none"/>
              </w:rPr>
              <w:t>为</w:t>
            </w:r>
            <w:r>
              <w:rPr>
                <w:rFonts w:ascii="Times New Roman" w:hAnsi="Times New Roman" w:cs="Times New Roman" w:eastAsiaTheme="minorEastAsia"/>
                <w:bCs/>
                <w:color w:val="auto"/>
                <w:w w:val="99"/>
                <w:kern w:val="21"/>
                <w:sz w:val="21"/>
                <w:szCs w:val="21"/>
                <w:highlight w:val="none"/>
              </w:rPr>
              <w:t>1.0×10</w:t>
            </w:r>
            <w:r>
              <w:rPr>
                <w:rFonts w:ascii="Times New Roman" w:hAnsi="Times New Roman" w:cs="Times New Roman" w:eastAsiaTheme="minorEastAsia"/>
                <w:bCs/>
                <w:color w:val="auto"/>
                <w:w w:val="99"/>
                <w:kern w:val="21"/>
                <w:sz w:val="21"/>
                <w:szCs w:val="21"/>
                <w:highlight w:val="none"/>
                <w:vertAlign w:val="superscript"/>
              </w:rPr>
              <w:t>-7</w:t>
            </w:r>
            <w:r>
              <w:rPr>
                <w:rFonts w:ascii="Times New Roman" w:hAnsi="Times New Roman" w:cs="Times New Roman" w:eastAsiaTheme="minorEastAsia"/>
                <w:bCs/>
                <w:color w:val="auto"/>
                <w:w w:val="99"/>
                <w:kern w:val="21"/>
                <w:sz w:val="21"/>
                <w:szCs w:val="21"/>
                <w:highlight w:val="none"/>
              </w:rPr>
              <w:t>cm/s，满足地下水导则中关于一般防渗区等效黏土防渗层Mb≥1.5m，K≤1×10</w:t>
            </w:r>
            <w:r>
              <w:rPr>
                <w:rFonts w:ascii="Times New Roman" w:hAnsi="Times New Roman" w:cs="Times New Roman" w:eastAsiaTheme="minorEastAsia"/>
                <w:bCs/>
                <w:color w:val="auto"/>
                <w:w w:val="99"/>
                <w:kern w:val="21"/>
                <w:sz w:val="21"/>
                <w:szCs w:val="21"/>
                <w:highlight w:val="none"/>
                <w:vertAlign w:val="superscript"/>
              </w:rPr>
              <w:t>-7</w:t>
            </w:r>
            <w:r>
              <w:rPr>
                <w:rFonts w:ascii="Times New Roman" w:hAnsi="Times New Roman" w:cs="Times New Roman" w:eastAsiaTheme="minorEastAsia"/>
                <w:bCs/>
                <w:color w:val="auto"/>
                <w:w w:val="99"/>
                <w:kern w:val="21"/>
                <w:sz w:val="21"/>
                <w:szCs w:val="21"/>
                <w:highlight w:val="none"/>
              </w:rPr>
              <w:t>cm/s防渗技术要求；井场其他区域属于简单防渗区，采用地面碾压平整进行防渗，满足地下水导则中关于简单防渗区一般地面硬化防渗技术要求。</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c>
          <w:tcPr>
            <w:tcW w:w="3279" w:type="pct"/>
            <w:vAlign w:val="center"/>
          </w:tcPr>
          <w:p>
            <w:pPr>
              <w:keepNext w:val="0"/>
              <w:keepLines w:val="0"/>
              <w:pageBreakBefore w:val="0"/>
              <w:kinsoku/>
              <w:wordWrap/>
              <w:overflowPunct/>
              <w:topLinePunct w:val="0"/>
              <w:bidi w:val="0"/>
              <w:spacing w:line="360" w:lineRule="exact"/>
              <w:ind w:firstLine="0"/>
              <w:jc w:val="both"/>
              <w:rPr>
                <w:rFonts w:ascii="Times New Roman" w:hAnsi="Times New Roman" w:cs="Times New Roman" w:eastAsiaTheme="minorEastAsia"/>
                <w:bCs/>
                <w:color w:val="auto"/>
                <w:w w:val="99"/>
                <w:kern w:val="21"/>
                <w:sz w:val="21"/>
                <w:szCs w:val="21"/>
                <w:highlight w:val="none"/>
              </w:rPr>
            </w:pPr>
            <w:r>
              <w:rPr>
                <w:rFonts w:hint="eastAsia" w:ascii="Times New Roman" w:hAnsi="Times New Roman" w:cs="Times New Roman" w:eastAsiaTheme="minorEastAsia"/>
                <w:color w:val="auto"/>
                <w:w w:val="99"/>
                <w:kern w:val="2"/>
                <w:sz w:val="21"/>
                <w:szCs w:val="21"/>
                <w:highlight w:val="none"/>
                <w:lang w:eastAsia="zh-CN"/>
              </w:rPr>
              <w:t>在源244-134井场内、源256-128井场东北侧60m耕地、源312-104井场东北侧60m耕地</w:t>
            </w:r>
            <w:r>
              <w:rPr>
                <w:rFonts w:ascii="Times New Roman" w:hAnsi="Times New Roman" w:cs="Times New Roman" w:eastAsiaTheme="minorEastAsia"/>
                <w:color w:val="auto"/>
                <w:w w:val="99"/>
                <w:kern w:val="2"/>
                <w:sz w:val="21"/>
                <w:szCs w:val="21"/>
                <w:highlight w:val="none"/>
              </w:rPr>
              <w:t>各设1个土壤跟踪监测点，监测因子为pH、石油烃，监测频率为1次/3年，定期对土壤进行跟踪监测。</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Merge w:val="restar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固废处置</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生活垃圾</w:t>
            </w:r>
            <w:r>
              <w:rPr>
                <w:rFonts w:hint="eastAsia" w:ascii="Times New Roman" w:hAnsi="Times New Roman" w:cs="Times New Roman" w:eastAsiaTheme="minorEastAsia"/>
                <w:bCs/>
                <w:color w:val="auto"/>
                <w:w w:val="99"/>
                <w:kern w:val="21"/>
                <w:sz w:val="21"/>
                <w:szCs w:val="21"/>
                <w:highlight w:val="none"/>
              </w:rPr>
              <w:t>统一收集后运至</w:t>
            </w:r>
            <w:r>
              <w:rPr>
                <w:rFonts w:hint="eastAsia" w:ascii="Times New Roman" w:hAnsi="Times New Roman" w:cs="Times New Roman" w:eastAsiaTheme="minorEastAsia"/>
                <w:bCs/>
                <w:color w:val="auto"/>
                <w:w w:val="99"/>
                <w:kern w:val="21"/>
                <w:sz w:val="21"/>
                <w:szCs w:val="21"/>
                <w:highlight w:val="none"/>
                <w:lang w:eastAsia="zh-CN"/>
              </w:rPr>
              <w:t>肇东市生活垃圾填埋场</w:t>
            </w:r>
            <w:r>
              <w:rPr>
                <w:rFonts w:hint="eastAsia" w:ascii="Times New Roman" w:hAnsi="Times New Roman" w:cs="Times New Roman" w:eastAsiaTheme="minorEastAsia"/>
                <w:bCs/>
                <w:color w:val="auto"/>
                <w:w w:val="99"/>
                <w:kern w:val="21"/>
                <w:sz w:val="21"/>
                <w:szCs w:val="21"/>
                <w:highlight w:val="none"/>
              </w:rPr>
              <w:t>处理</w:t>
            </w:r>
            <w:r>
              <w:rPr>
                <w:rFonts w:ascii="Times New Roman" w:hAnsi="Times New Roman" w:cs="Times New Roman" w:eastAsiaTheme="minorEastAsia"/>
                <w:bCs/>
                <w:color w:val="auto"/>
                <w:w w:val="99"/>
                <w:kern w:val="21"/>
                <w:sz w:val="21"/>
                <w:szCs w:val="21"/>
                <w:highlight w:val="none"/>
              </w:rPr>
              <w:t>。</w:t>
            </w:r>
          </w:p>
        </w:tc>
        <w:tc>
          <w:tcPr>
            <w:tcW w:w="668" w:type="pct"/>
            <w:vMerge w:val="restar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color w:val="auto"/>
                <w:w w:val="99"/>
                <w:sz w:val="21"/>
                <w:szCs w:val="21"/>
                <w:highlight w:val="none"/>
              </w:rPr>
            </w:pPr>
          </w:p>
        </w:tc>
        <w:tc>
          <w:tcPr>
            <w:tcW w:w="683"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color w:val="auto"/>
                <w:w w:val="99"/>
                <w:sz w:val="21"/>
                <w:szCs w:val="21"/>
                <w:highlight w:val="none"/>
              </w:rPr>
            </w:pP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hint="eastAsia" w:ascii="Times New Roman" w:hAnsi="Times New Roman" w:cs="Times New Roman" w:eastAsiaTheme="minorEastAsia"/>
                <w:bCs/>
                <w:color w:val="auto"/>
                <w:w w:val="99"/>
                <w:kern w:val="21"/>
                <w:sz w:val="21"/>
                <w:szCs w:val="21"/>
                <w:highlight w:val="none"/>
              </w:rPr>
              <w:t>废弃防渗布及</w:t>
            </w:r>
            <w:r>
              <w:rPr>
                <w:rFonts w:ascii="Times New Roman" w:hAnsi="Times New Roman" w:cs="Times New Roman" w:eastAsiaTheme="minorEastAsia"/>
                <w:bCs/>
                <w:color w:val="auto"/>
                <w:w w:val="99"/>
                <w:kern w:val="21"/>
                <w:sz w:val="21"/>
                <w:szCs w:val="21"/>
                <w:highlight w:val="none"/>
              </w:rPr>
              <w:t>膨润土、纯碱、重晶石粉废弃包装袋</w:t>
            </w:r>
            <w:r>
              <w:rPr>
                <w:rFonts w:hint="eastAsia" w:ascii="Times New Roman" w:hAnsi="Times New Roman" w:cs="Times New Roman" w:eastAsiaTheme="minorEastAsia"/>
                <w:bCs/>
                <w:color w:val="auto"/>
                <w:w w:val="99"/>
                <w:kern w:val="21"/>
                <w:sz w:val="21"/>
                <w:szCs w:val="21"/>
                <w:highlight w:val="none"/>
              </w:rPr>
              <w:t>由施工单位统一收集后拉运至第八采油厂工业固废填埋场处理</w:t>
            </w:r>
            <w:r>
              <w:rPr>
                <w:rFonts w:ascii="Times New Roman" w:hAnsi="Times New Roman" w:cs="Times New Roman" w:eastAsiaTheme="minorEastAsia"/>
                <w:bCs/>
                <w:color w:val="auto"/>
                <w:w w:val="99"/>
                <w:kern w:val="21"/>
                <w:sz w:val="21"/>
                <w:szCs w:val="21"/>
                <w:highlight w:val="none"/>
              </w:rPr>
              <w:t>。</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color w:val="auto"/>
                <w:w w:val="99"/>
                <w:sz w:val="21"/>
                <w:szCs w:val="21"/>
                <w:highlight w:val="none"/>
              </w:rPr>
            </w:pPr>
          </w:p>
        </w:tc>
        <w:tc>
          <w:tcPr>
            <w:tcW w:w="683"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color w:val="auto"/>
                <w:w w:val="99"/>
                <w:sz w:val="21"/>
                <w:szCs w:val="21"/>
                <w:highlight w:val="none"/>
              </w:rPr>
            </w:pP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color w:val="auto"/>
                <w:w w:val="99"/>
                <w:sz w:val="21"/>
                <w:szCs w:val="21"/>
                <w:highlight w:val="none"/>
              </w:rPr>
              <w:t>废弃KOH包装袋经收集后直接由施工单位委托资质单位处理，不在井场暂存。</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每座井场设置容积100m</w:t>
            </w:r>
            <w:r>
              <w:rPr>
                <w:rFonts w:ascii="Times New Roman" w:hAnsi="Times New Roman" w:cs="Times New Roman" w:eastAsiaTheme="minorEastAsia"/>
                <w:bCs/>
                <w:color w:val="auto"/>
                <w:w w:val="99"/>
                <w:kern w:val="21"/>
                <w:sz w:val="21"/>
                <w:szCs w:val="21"/>
                <w:highlight w:val="none"/>
                <w:vertAlign w:val="superscript"/>
              </w:rPr>
              <w:t>3</w:t>
            </w:r>
            <w:r>
              <w:rPr>
                <w:rFonts w:ascii="Times New Roman" w:hAnsi="Times New Roman" w:cs="Times New Roman" w:eastAsiaTheme="minorEastAsia"/>
                <w:bCs/>
                <w:color w:val="auto"/>
                <w:w w:val="99"/>
                <w:kern w:val="21"/>
                <w:sz w:val="21"/>
                <w:szCs w:val="21"/>
                <w:highlight w:val="none"/>
              </w:rPr>
              <w:t>的钢制泥浆槽（10×5×2m），用于暂存钻井岩屑、废弃钻井液、废射孔液，钢制泥浆槽做重点防渗，采用地面碾压平整并铺设2mm厚防渗土工布进行防渗，渗透系数</w:t>
            </w:r>
            <w:r>
              <w:rPr>
                <w:rFonts w:hint="eastAsia" w:ascii="Times New Roman" w:hAnsi="Times New Roman" w:cs="Times New Roman" w:eastAsiaTheme="minorEastAsia"/>
                <w:bCs/>
                <w:color w:val="auto"/>
                <w:w w:val="99"/>
                <w:kern w:val="21"/>
                <w:sz w:val="21"/>
                <w:szCs w:val="21"/>
                <w:highlight w:val="none"/>
              </w:rPr>
              <w:t>为</w:t>
            </w:r>
            <w:r>
              <w:rPr>
                <w:rFonts w:ascii="Times New Roman" w:hAnsi="Times New Roman" w:cs="Times New Roman" w:eastAsiaTheme="minorEastAsia"/>
                <w:bCs/>
                <w:color w:val="auto"/>
                <w:w w:val="99"/>
                <w:kern w:val="21"/>
                <w:sz w:val="21"/>
                <w:szCs w:val="21"/>
                <w:highlight w:val="none"/>
              </w:rPr>
              <w:t>1×10</w:t>
            </w:r>
            <w:r>
              <w:rPr>
                <w:rFonts w:ascii="Times New Roman" w:hAnsi="Times New Roman" w:cs="Times New Roman" w:eastAsiaTheme="minorEastAsia"/>
                <w:bCs/>
                <w:color w:val="auto"/>
                <w:w w:val="99"/>
                <w:kern w:val="21"/>
                <w:sz w:val="21"/>
                <w:szCs w:val="21"/>
                <w:highlight w:val="none"/>
                <w:vertAlign w:val="superscript"/>
              </w:rPr>
              <w:t>-10</w:t>
            </w:r>
            <w:r>
              <w:rPr>
                <w:rFonts w:ascii="Times New Roman" w:hAnsi="Times New Roman" w:cs="Times New Roman" w:eastAsiaTheme="minorEastAsia"/>
                <w:bCs/>
                <w:color w:val="auto"/>
                <w:w w:val="99"/>
                <w:kern w:val="21"/>
                <w:sz w:val="21"/>
                <w:szCs w:val="21"/>
                <w:highlight w:val="none"/>
              </w:rPr>
              <w:t>cm/s，钻井岩屑、废弃钻井液由罐车</w:t>
            </w:r>
            <w:r>
              <w:rPr>
                <w:rFonts w:hint="eastAsia" w:ascii="Times New Roman" w:hAnsi="Times New Roman" w:cs="Times New Roman" w:eastAsiaTheme="minorEastAsia"/>
                <w:bCs/>
                <w:color w:val="auto"/>
                <w:w w:val="99"/>
                <w:kern w:val="21"/>
                <w:sz w:val="21"/>
                <w:szCs w:val="21"/>
                <w:highlight w:val="none"/>
              </w:rPr>
              <w:t>及时拉运至大庆油田昆仑集团有限公司环保分公司处理，废射孔液运至黑龙江龙之润环保工程有限公司废射孔液处理装置处理</w:t>
            </w:r>
            <w:r>
              <w:rPr>
                <w:rFonts w:ascii="Times New Roman" w:hAnsi="Times New Roman" w:cs="Times New Roman" w:eastAsiaTheme="minorEastAsia"/>
                <w:bCs/>
                <w:color w:val="auto"/>
                <w:w w:val="99"/>
                <w:kern w:val="21"/>
                <w:sz w:val="21"/>
                <w:szCs w:val="21"/>
                <w:highlight w:val="none"/>
              </w:rPr>
              <w:t>。</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噪声治理措施</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合理安排施工进度，减少施工时间，避免大量高噪声设备同时施工；除钻进外，其它施工严格禁止夜间进行。合理布置施工现场；降低设备噪声运输车辆选择避开居民区的路线，尽量不鸣笛。</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生态恢复措施</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对临时占用</w:t>
            </w:r>
            <w:r>
              <w:rPr>
                <w:rFonts w:hint="eastAsia" w:ascii="Times New Roman" w:hAnsi="Times New Roman" w:cs="Times New Roman" w:eastAsiaTheme="minorEastAsia"/>
                <w:bCs/>
                <w:color w:val="auto"/>
                <w:w w:val="99"/>
                <w:kern w:val="21"/>
                <w:sz w:val="21"/>
                <w:szCs w:val="21"/>
                <w:highlight w:val="none"/>
              </w:rPr>
              <w:t>耕地</w:t>
            </w:r>
            <w:r>
              <w:rPr>
                <w:rFonts w:ascii="Times New Roman" w:hAnsi="Times New Roman" w:cs="Times New Roman" w:eastAsiaTheme="minorEastAsia"/>
                <w:bCs/>
                <w:color w:val="auto"/>
                <w:w w:val="99"/>
                <w:kern w:val="21"/>
                <w:sz w:val="21"/>
                <w:szCs w:val="21"/>
                <w:highlight w:val="none"/>
              </w:rPr>
              <w:t>进行表土留存，分层回填，整平翻松，恢复植被。</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风险防范措施</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每座施工井场泥浆泵、泥浆槽、钻机底座、井控远程控制台，砂泵坑等处设置铁质围堰，上铺防渗布，围堰高度为0.1m；柴油储罐设0.4m高围堰；施工井场周围设置截水沟（</w:t>
            </w:r>
            <w:r>
              <w:rPr>
                <w:rFonts w:hint="eastAsia" w:ascii="Times New Roman" w:hAnsi="Times New Roman" w:cs="Times New Roman" w:eastAsiaTheme="minorEastAsia"/>
                <w:bCs/>
                <w:color w:val="auto"/>
                <w:w w:val="99"/>
                <w:kern w:val="21"/>
                <w:sz w:val="21"/>
                <w:szCs w:val="21"/>
                <w:highlight w:val="none"/>
              </w:rPr>
              <w:t>单井长140m×宽0.5m×深0.5m</w:t>
            </w:r>
            <w:r>
              <w:rPr>
                <w:rFonts w:ascii="Times New Roman" w:hAnsi="Times New Roman" w:cs="Times New Roman" w:eastAsiaTheme="minorEastAsia"/>
                <w:bCs/>
                <w:color w:val="auto"/>
                <w:w w:val="99"/>
                <w:kern w:val="21"/>
                <w:sz w:val="21"/>
                <w:szCs w:val="21"/>
                <w:highlight w:val="none"/>
              </w:rPr>
              <w:t>），防止钻井废水溢流污染周边地表水体。</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restart"/>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r>
              <w:rPr>
                <w:rFonts w:eastAsiaTheme="minorEastAsia"/>
                <w:bCs/>
                <w:color w:val="auto"/>
                <w:w w:val="99"/>
                <w:kern w:val="21"/>
                <w:sz w:val="21"/>
                <w:szCs w:val="21"/>
                <w:highlight w:val="none"/>
              </w:rPr>
              <w:t>依托工程</w:t>
            </w:r>
          </w:p>
        </w:tc>
        <w:tc>
          <w:tcPr>
            <w:tcW w:w="683" w:type="pct"/>
            <w:vAlign w:val="center"/>
          </w:tcPr>
          <w:p>
            <w:pPr>
              <w:pStyle w:val="27"/>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color w:val="auto"/>
                <w:w w:val="99"/>
                <w:sz w:val="21"/>
                <w:szCs w:val="21"/>
                <w:highlight w:val="none"/>
              </w:rPr>
            </w:pPr>
            <w:r>
              <w:rPr>
                <w:rFonts w:hint="default" w:ascii="Times New Roman" w:hAnsi="Times New Roman" w:eastAsia="宋体" w:cs="Times New Roman"/>
                <w:bCs/>
                <w:color w:val="auto"/>
                <w:w w:val="99"/>
                <w:kern w:val="21"/>
                <w:sz w:val="21"/>
                <w:szCs w:val="21"/>
                <w:highlight w:val="none"/>
                <w:lang w:eastAsia="zh-CN"/>
              </w:rPr>
              <w:t>采油十厂9万m</w:t>
            </w:r>
            <w:r>
              <w:rPr>
                <w:rFonts w:hint="default" w:ascii="Times New Roman" w:hAnsi="Times New Roman" w:eastAsia="宋体" w:cs="Times New Roman"/>
                <w:bCs/>
                <w:color w:val="auto"/>
                <w:w w:val="99"/>
                <w:kern w:val="21"/>
                <w:sz w:val="21"/>
                <w:szCs w:val="21"/>
                <w:highlight w:val="none"/>
                <w:vertAlign w:val="superscript"/>
                <w:lang w:eastAsia="zh-CN"/>
              </w:rPr>
              <w:t>3</w:t>
            </w:r>
            <w:r>
              <w:rPr>
                <w:rFonts w:hint="default" w:ascii="Times New Roman" w:hAnsi="Times New Roman" w:eastAsia="宋体" w:cs="Times New Roman"/>
                <w:bCs/>
                <w:color w:val="auto"/>
                <w:w w:val="99"/>
                <w:kern w:val="21"/>
                <w:sz w:val="21"/>
                <w:szCs w:val="21"/>
                <w:highlight w:val="none"/>
                <w:lang w:eastAsia="zh-CN"/>
              </w:rPr>
              <w:t>/a钻井废弃泥浆无害化处理项</w:t>
            </w:r>
            <w:r>
              <w:rPr>
                <w:rFonts w:hint="eastAsia" w:ascii="Times New Roman" w:hAnsi="Times New Roman" w:cs="Times New Roman"/>
                <w:bCs/>
                <w:color w:val="auto"/>
                <w:w w:val="99"/>
                <w:kern w:val="21"/>
                <w:sz w:val="21"/>
                <w:szCs w:val="21"/>
                <w:highlight w:val="none"/>
                <w:lang w:eastAsia="zh-CN"/>
              </w:rPr>
              <w:t>目</w:t>
            </w:r>
          </w:p>
        </w:tc>
        <w:tc>
          <w:tcPr>
            <w:tcW w:w="3279" w:type="pct"/>
            <w:vAlign w:val="center"/>
          </w:tcPr>
          <w:p>
            <w:pPr>
              <w:keepNext w:val="0"/>
              <w:keepLines w:val="0"/>
              <w:pageBreakBefore w:val="0"/>
              <w:kinsoku/>
              <w:wordWrap/>
              <w:overflowPunct/>
              <w:topLinePunct w:val="0"/>
              <w:bidi w:val="0"/>
              <w:spacing w:line="360" w:lineRule="exact"/>
              <w:ind w:firstLine="0"/>
              <w:jc w:val="both"/>
              <w:rPr>
                <w:rFonts w:ascii="Times New Roman" w:hAnsi="Times New Roman" w:cs="Times New Roman" w:eastAsiaTheme="minorEastAsia"/>
                <w:bCs/>
                <w:color w:val="auto"/>
                <w:w w:val="99"/>
                <w:kern w:val="21"/>
                <w:sz w:val="21"/>
                <w:szCs w:val="21"/>
                <w:highlight w:val="none"/>
              </w:rPr>
            </w:pPr>
            <w:r>
              <w:rPr>
                <w:rFonts w:hint="eastAsia" w:ascii="Times New Roman" w:hAnsi="Times New Roman" w:cs="Times New Roman" w:eastAsiaTheme="minorEastAsia"/>
                <w:bCs/>
                <w:color w:val="auto"/>
                <w:w w:val="99"/>
                <w:kern w:val="21"/>
                <w:sz w:val="21"/>
                <w:szCs w:val="21"/>
                <w:highlight w:val="none"/>
              </w:rPr>
              <w:t>大庆油田昆仑集团有限公司环保分公司采油十厂9万m</w:t>
            </w:r>
            <w:r>
              <w:rPr>
                <w:rFonts w:hint="eastAsia" w:ascii="Times New Roman" w:hAnsi="Times New Roman" w:cs="Times New Roman" w:eastAsiaTheme="minorEastAsia"/>
                <w:bCs/>
                <w:color w:val="auto"/>
                <w:w w:val="99"/>
                <w:kern w:val="21"/>
                <w:sz w:val="21"/>
                <w:szCs w:val="21"/>
                <w:highlight w:val="none"/>
                <w:vertAlign w:val="superscript"/>
              </w:rPr>
              <w:t>3</w:t>
            </w:r>
            <w:r>
              <w:rPr>
                <w:rFonts w:hint="eastAsia" w:ascii="Times New Roman" w:hAnsi="Times New Roman" w:cs="Times New Roman" w:eastAsiaTheme="minorEastAsia"/>
                <w:bCs/>
                <w:color w:val="auto"/>
                <w:w w:val="99"/>
                <w:kern w:val="21"/>
                <w:sz w:val="21"/>
                <w:szCs w:val="21"/>
                <w:highlight w:val="none"/>
              </w:rPr>
              <w:t>/a钻井废弃泥浆无害化处理项目</w:t>
            </w:r>
            <w:r>
              <w:rPr>
                <w:rFonts w:ascii="Times New Roman" w:hAnsi="Times New Roman" w:cs="Times New Roman" w:eastAsiaTheme="minorEastAsia"/>
                <w:bCs/>
                <w:color w:val="auto"/>
                <w:w w:val="99"/>
                <w:kern w:val="21"/>
                <w:sz w:val="21"/>
                <w:szCs w:val="21"/>
                <w:highlight w:val="none"/>
              </w:rPr>
              <w:t>位于大庆</w:t>
            </w:r>
            <w:r>
              <w:rPr>
                <w:rFonts w:hint="eastAsia" w:ascii="Times New Roman" w:hAnsi="Times New Roman" w:cs="Times New Roman" w:eastAsiaTheme="minorEastAsia"/>
                <w:bCs/>
                <w:color w:val="auto"/>
                <w:w w:val="99"/>
                <w:kern w:val="21"/>
                <w:sz w:val="21"/>
                <w:szCs w:val="21"/>
                <w:highlight w:val="none"/>
              </w:rPr>
              <w:t>市肇州县朝阳沟镇爱国村东王家岗屯东南约1000m处，</w:t>
            </w:r>
            <w:r>
              <w:rPr>
                <w:rFonts w:ascii="Times New Roman" w:hAnsi="Times New Roman" w:cs="Times New Roman" w:eastAsiaTheme="minorEastAsia"/>
                <w:bCs/>
                <w:color w:val="auto"/>
                <w:w w:val="99"/>
                <w:kern w:val="21"/>
                <w:sz w:val="21"/>
                <w:szCs w:val="21"/>
                <w:highlight w:val="none"/>
              </w:rPr>
              <w:t>该泥浆无害化处理装置于2020年</w:t>
            </w:r>
            <w:r>
              <w:rPr>
                <w:rFonts w:hint="eastAsia" w:ascii="Times New Roman" w:hAnsi="Times New Roman" w:cs="Times New Roman" w:eastAsiaTheme="minorEastAsia"/>
                <w:bCs/>
                <w:color w:val="auto"/>
                <w:w w:val="99"/>
                <w:kern w:val="21"/>
                <w:sz w:val="21"/>
                <w:szCs w:val="21"/>
                <w:highlight w:val="none"/>
              </w:rPr>
              <w:t>4月1</w:t>
            </w:r>
            <w:r>
              <w:rPr>
                <w:rFonts w:ascii="Times New Roman" w:hAnsi="Times New Roman" w:cs="Times New Roman" w:eastAsiaTheme="minorEastAsia"/>
                <w:bCs/>
                <w:color w:val="auto"/>
                <w:w w:val="99"/>
                <w:kern w:val="21"/>
                <w:sz w:val="21"/>
                <w:szCs w:val="21"/>
                <w:highlight w:val="none"/>
              </w:rPr>
              <w:t>0日获得了大庆市</w:t>
            </w:r>
            <w:r>
              <w:rPr>
                <w:rFonts w:hint="eastAsia" w:ascii="Times New Roman" w:hAnsi="Times New Roman" w:cs="Times New Roman" w:eastAsiaTheme="minorEastAsia"/>
                <w:bCs/>
                <w:color w:val="auto"/>
                <w:w w:val="99"/>
                <w:kern w:val="21"/>
                <w:sz w:val="21"/>
                <w:szCs w:val="21"/>
                <w:highlight w:val="none"/>
              </w:rPr>
              <w:t>肇州县</w:t>
            </w:r>
            <w:r>
              <w:rPr>
                <w:rFonts w:ascii="Times New Roman" w:hAnsi="Times New Roman" w:cs="Times New Roman" w:eastAsiaTheme="minorEastAsia"/>
                <w:bCs/>
                <w:color w:val="auto"/>
                <w:w w:val="99"/>
                <w:kern w:val="21"/>
                <w:sz w:val="21"/>
                <w:szCs w:val="21"/>
                <w:highlight w:val="none"/>
              </w:rPr>
              <w:t>环境保护局的批复（</w:t>
            </w:r>
            <w:r>
              <w:rPr>
                <w:rFonts w:hint="eastAsia" w:ascii="Times New Roman" w:hAnsi="Times New Roman" w:cs="Times New Roman" w:eastAsiaTheme="minorEastAsia"/>
                <w:bCs/>
                <w:color w:val="auto"/>
                <w:w w:val="99"/>
                <w:kern w:val="21"/>
                <w:sz w:val="21"/>
                <w:szCs w:val="21"/>
                <w:highlight w:val="none"/>
              </w:rPr>
              <w:t>州环发</w:t>
            </w:r>
            <w:r>
              <w:rPr>
                <w:rFonts w:ascii="Times New Roman" w:hAnsi="Times New Roman" w:cs="Times New Roman" w:eastAsiaTheme="minorEastAsia"/>
                <w:bCs/>
                <w:color w:val="auto"/>
                <w:w w:val="99"/>
                <w:kern w:val="21"/>
                <w:sz w:val="21"/>
                <w:szCs w:val="21"/>
                <w:highlight w:val="none"/>
              </w:rPr>
              <w:t>[2020]</w:t>
            </w:r>
            <w:r>
              <w:rPr>
                <w:rFonts w:hint="eastAsia" w:ascii="Times New Roman" w:hAnsi="Times New Roman" w:cs="Times New Roman" w:eastAsiaTheme="minorEastAsia"/>
                <w:bCs/>
                <w:color w:val="auto"/>
                <w:w w:val="99"/>
                <w:kern w:val="21"/>
                <w:sz w:val="21"/>
                <w:szCs w:val="21"/>
                <w:highlight w:val="none"/>
              </w:rPr>
              <w:t>4</w:t>
            </w:r>
            <w:r>
              <w:rPr>
                <w:rFonts w:ascii="Times New Roman" w:hAnsi="Times New Roman" w:cs="Times New Roman" w:eastAsiaTheme="minorEastAsia"/>
                <w:bCs/>
                <w:color w:val="auto"/>
                <w:w w:val="99"/>
                <w:kern w:val="21"/>
                <w:sz w:val="21"/>
                <w:szCs w:val="21"/>
                <w:highlight w:val="none"/>
              </w:rPr>
              <w:t>号）</w:t>
            </w:r>
            <w:r>
              <w:rPr>
                <w:rFonts w:hint="eastAsia" w:ascii="Times New Roman" w:hAnsi="Times New Roman" w:cs="Times New Roman" w:eastAsiaTheme="minorEastAsia"/>
                <w:bCs/>
                <w:color w:val="auto"/>
                <w:w w:val="99"/>
                <w:kern w:val="21"/>
                <w:sz w:val="21"/>
                <w:szCs w:val="21"/>
                <w:highlight w:val="none"/>
              </w:rPr>
              <w:t>，于2020年11月</w:t>
            </w:r>
            <w:r>
              <w:rPr>
                <w:rFonts w:ascii="Times New Roman" w:hAnsi="Times New Roman" w:cs="Times New Roman" w:eastAsiaTheme="minorEastAsia"/>
                <w:bCs/>
                <w:color w:val="auto"/>
                <w:w w:val="99"/>
                <w:kern w:val="21"/>
                <w:sz w:val="21"/>
                <w:szCs w:val="21"/>
                <w:highlight w:val="none"/>
              </w:rPr>
              <w:t>完成自主</w:t>
            </w:r>
            <w:r>
              <w:rPr>
                <w:rFonts w:hint="eastAsia" w:ascii="Times New Roman" w:hAnsi="Times New Roman" w:cs="Times New Roman" w:eastAsiaTheme="minorEastAsia"/>
                <w:bCs/>
                <w:color w:val="auto"/>
                <w:w w:val="99"/>
                <w:kern w:val="21"/>
                <w:sz w:val="21"/>
                <w:szCs w:val="21"/>
                <w:highlight w:val="none"/>
              </w:rPr>
              <w:t>验收</w:t>
            </w:r>
            <w:r>
              <w:rPr>
                <w:rFonts w:ascii="Times New Roman" w:hAnsi="Times New Roman" w:cs="Times New Roman" w:eastAsiaTheme="minorEastAsia"/>
                <w:bCs/>
                <w:color w:val="auto"/>
                <w:w w:val="99"/>
                <w:kern w:val="21"/>
                <w:sz w:val="21"/>
                <w:szCs w:val="21"/>
                <w:highlight w:val="none"/>
              </w:rPr>
              <w:t>。装置主要采取“</w:t>
            </w:r>
            <w:r>
              <w:rPr>
                <w:rFonts w:hint="eastAsia" w:ascii="Times New Roman" w:hAnsi="Times New Roman" w:cs="Times New Roman" w:eastAsiaTheme="minorEastAsia"/>
                <w:bCs/>
                <w:color w:val="auto"/>
                <w:w w:val="99"/>
                <w:kern w:val="21"/>
                <w:sz w:val="21"/>
                <w:szCs w:val="21"/>
                <w:highlight w:val="none"/>
              </w:rPr>
              <w:t>除油+破乳+脱稳</w:t>
            </w:r>
            <w:r>
              <w:rPr>
                <w:rFonts w:ascii="Times New Roman" w:hAnsi="Times New Roman" w:cs="Times New Roman" w:eastAsiaTheme="minorEastAsia"/>
                <w:bCs/>
                <w:color w:val="auto"/>
                <w:w w:val="99"/>
                <w:kern w:val="21"/>
                <w:sz w:val="21"/>
                <w:szCs w:val="21"/>
                <w:highlight w:val="none"/>
              </w:rPr>
              <w:t>+压滤出水及泥饼”工艺，废弃泥浆处理装置最大处理能力为</w:t>
            </w:r>
            <w:r>
              <w:rPr>
                <w:rFonts w:hint="eastAsia" w:ascii="Times New Roman" w:hAnsi="Times New Roman" w:cs="Times New Roman" w:eastAsiaTheme="minorEastAsia"/>
                <w:bCs/>
                <w:color w:val="auto"/>
                <w:w w:val="99"/>
                <w:kern w:val="21"/>
                <w:sz w:val="21"/>
                <w:szCs w:val="21"/>
                <w:highlight w:val="none"/>
                <w:lang w:val="en-US" w:eastAsia="zh-CN"/>
              </w:rPr>
              <w:t>5</w:t>
            </w:r>
            <w:r>
              <w:rPr>
                <w:rFonts w:ascii="Times New Roman" w:hAnsi="Times New Roman" w:cs="Times New Roman" w:eastAsiaTheme="minorEastAsia"/>
                <w:bCs/>
                <w:color w:val="auto"/>
                <w:w w:val="99"/>
                <w:kern w:val="21"/>
                <w:sz w:val="21"/>
                <w:szCs w:val="21"/>
                <w:highlight w:val="none"/>
              </w:rPr>
              <w:t>00m</w:t>
            </w:r>
            <w:r>
              <w:rPr>
                <w:rFonts w:ascii="Times New Roman" w:hAnsi="Times New Roman" w:cs="Times New Roman" w:eastAsiaTheme="minorEastAsia"/>
                <w:bCs/>
                <w:color w:val="auto"/>
                <w:w w:val="99"/>
                <w:kern w:val="21"/>
                <w:sz w:val="21"/>
                <w:szCs w:val="21"/>
                <w:highlight w:val="none"/>
                <w:vertAlign w:val="superscript"/>
              </w:rPr>
              <w:t>3</w:t>
            </w:r>
            <w:r>
              <w:rPr>
                <w:rFonts w:ascii="Times New Roman" w:hAnsi="Times New Roman" w:cs="Times New Roman" w:eastAsiaTheme="minorEastAsia"/>
                <w:bCs/>
                <w:color w:val="auto"/>
                <w:w w:val="99"/>
                <w:kern w:val="21"/>
                <w:sz w:val="21"/>
                <w:szCs w:val="21"/>
                <w:highlight w:val="none"/>
              </w:rPr>
              <w:t>/d，现实际处理量为150m</w:t>
            </w:r>
            <w:r>
              <w:rPr>
                <w:rFonts w:ascii="Times New Roman" w:hAnsi="Times New Roman" w:cs="Times New Roman" w:eastAsiaTheme="minorEastAsia"/>
                <w:bCs/>
                <w:color w:val="auto"/>
                <w:w w:val="99"/>
                <w:kern w:val="21"/>
                <w:sz w:val="21"/>
                <w:szCs w:val="21"/>
                <w:highlight w:val="none"/>
                <w:vertAlign w:val="superscript"/>
              </w:rPr>
              <w:t>3</w:t>
            </w:r>
            <w:r>
              <w:rPr>
                <w:rFonts w:ascii="Times New Roman" w:hAnsi="Times New Roman" w:cs="Times New Roman" w:eastAsiaTheme="minorEastAsia"/>
                <w:bCs/>
                <w:color w:val="auto"/>
                <w:w w:val="99"/>
                <w:kern w:val="21"/>
                <w:sz w:val="21"/>
                <w:szCs w:val="21"/>
                <w:highlight w:val="none"/>
              </w:rPr>
              <w:t>/d，本项目新增处理</w:t>
            </w:r>
            <w:r>
              <w:rPr>
                <w:rFonts w:hint="eastAsia" w:ascii="Times New Roman" w:hAnsi="Times New Roman" w:cs="Times New Roman" w:eastAsiaTheme="minorEastAsia"/>
                <w:bCs/>
                <w:color w:val="auto"/>
                <w:w w:val="99"/>
                <w:kern w:val="21"/>
                <w:sz w:val="21"/>
                <w:szCs w:val="21"/>
                <w:highlight w:val="none"/>
                <w:lang w:val="zh-CN"/>
              </w:rPr>
              <w:t>123.83</w:t>
            </w:r>
            <w:r>
              <w:rPr>
                <w:rFonts w:ascii="Times New Roman" w:hAnsi="Times New Roman" w:cs="Times New Roman" w:eastAsiaTheme="minorEastAsia"/>
                <w:bCs/>
                <w:color w:val="auto"/>
                <w:w w:val="99"/>
                <w:kern w:val="21"/>
                <w:sz w:val="21"/>
                <w:szCs w:val="21"/>
                <w:highlight w:val="none"/>
              </w:rPr>
              <w:t>m</w:t>
            </w:r>
            <w:r>
              <w:rPr>
                <w:rFonts w:ascii="Times New Roman" w:hAnsi="Times New Roman" w:cs="Times New Roman" w:eastAsiaTheme="minorEastAsia"/>
                <w:bCs/>
                <w:color w:val="auto"/>
                <w:w w:val="99"/>
                <w:kern w:val="21"/>
                <w:sz w:val="21"/>
                <w:szCs w:val="21"/>
                <w:highlight w:val="none"/>
                <w:vertAlign w:val="superscript"/>
              </w:rPr>
              <w:t>3</w:t>
            </w:r>
            <w:r>
              <w:rPr>
                <w:rFonts w:ascii="Times New Roman" w:hAnsi="Times New Roman" w:cs="Times New Roman" w:eastAsiaTheme="minorEastAsia"/>
                <w:bCs/>
                <w:color w:val="auto"/>
                <w:w w:val="99"/>
                <w:kern w:val="21"/>
                <w:sz w:val="21"/>
                <w:szCs w:val="21"/>
                <w:highlight w:val="none"/>
              </w:rPr>
              <w:t>/d，新增本项目处理负荷后，负荷为</w:t>
            </w:r>
            <w:r>
              <w:rPr>
                <w:rFonts w:hint="eastAsia" w:ascii="Times New Roman" w:hAnsi="Times New Roman" w:cs="Times New Roman" w:eastAsiaTheme="minorEastAsia"/>
                <w:bCs/>
                <w:color w:val="auto"/>
                <w:w w:val="99"/>
                <w:kern w:val="21"/>
                <w:sz w:val="21"/>
                <w:szCs w:val="21"/>
                <w:highlight w:val="none"/>
                <w:lang w:val="en-US" w:eastAsia="zh-CN"/>
              </w:rPr>
              <w:t>54.77</w:t>
            </w:r>
            <w:r>
              <w:rPr>
                <w:rFonts w:ascii="Times New Roman" w:hAnsi="Times New Roman" w:cs="Times New Roman" w:eastAsiaTheme="minorEastAsia"/>
                <w:bCs/>
                <w:color w:val="auto"/>
                <w:w w:val="99"/>
                <w:kern w:val="21"/>
                <w:sz w:val="21"/>
                <w:szCs w:val="21"/>
                <w:highlight w:val="none"/>
              </w:rPr>
              <w:t>%，处理后的浸出液可以满足黑龙江省废弃钻井泥浆处理技术指标，本工程依托可行。</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hint="eastAsia" w:ascii="Times New Roman" w:hAnsi="Times New Roman" w:cs="Times New Roman"/>
                <w:bCs/>
                <w:color w:val="auto"/>
                <w:w w:val="99"/>
                <w:sz w:val="21"/>
                <w:szCs w:val="21"/>
                <w:highlight w:val="none"/>
              </w:rPr>
              <w:t>第八采油厂</w:t>
            </w:r>
            <w:r>
              <w:rPr>
                <w:rFonts w:ascii="Times New Roman" w:hAnsi="Times New Roman" w:cs="Times New Roman"/>
                <w:bCs/>
                <w:color w:val="auto"/>
                <w:w w:val="99"/>
                <w:sz w:val="21"/>
                <w:szCs w:val="21"/>
                <w:highlight w:val="none"/>
              </w:rPr>
              <w:t>工业固废填埋场</w:t>
            </w:r>
          </w:p>
        </w:tc>
        <w:tc>
          <w:tcPr>
            <w:tcW w:w="3279" w:type="pct"/>
            <w:vAlign w:val="center"/>
          </w:tcPr>
          <w:p>
            <w:pPr>
              <w:pStyle w:val="32"/>
              <w:keepNext w:val="0"/>
              <w:keepLines w:val="0"/>
              <w:pageBreakBefore w:val="0"/>
              <w:kinsoku/>
              <w:wordWrap/>
              <w:overflowPunct/>
              <w:topLinePunct w:val="0"/>
              <w:bidi w:val="0"/>
              <w:spacing w:line="360" w:lineRule="exact"/>
              <w:ind w:firstLine="0"/>
              <w:jc w:val="both"/>
              <w:rPr>
                <w:rFonts w:ascii="Times New Roman" w:hAnsi="Times New Roman" w:eastAsiaTheme="minorEastAsia"/>
                <w:color w:val="auto"/>
                <w:w w:val="99"/>
                <w:kern w:val="21"/>
                <w:sz w:val="21"/>
                <w:szCs w:val="21"/>
                <w:highlight w:val="none"/>
              </w:rPr>
            </w:pPr>
            <w:r>
              <w:rPr>
                <w:rFonts w:ascii="Times New Roman" w:hAnsi="Times New Roman" w:eastAsiaTheme="minorEastAsia"/>
                <w:bCs/>
                <w:color w:val="auto"/>
                <w:w w:val="99"/>
                <w:kern w:val="21"/>
                <w:sz w:val="21"/>
                <w:szCs w:val="21"/>
                <w:highlight w:val="none"/>
              </w:rPr>
              <w:t>第八采油厂工业固废填埋场位于大庆市肇源县新福乡双龙山北侧 1.8km，乐业村东南 1.05km。固废填埋场占地 1.91hm</w:t>
            </w:r>
            <w:r>
              <w:rPr>
                <w:rFonts w:ascii="Times New Roman" w:hAnsi="Times New Roman" w:eastAsiaTheme="minorEastAsia"/>
                <w:bCs/>
                <w:color w:val="auto"/>
                <w:w w:val="99"/>
                <w:kern w:val="21"/>
                <w:sz w:val="21"/>
                <w:szCs w:val="21"/>
                <w:highlight w:val="none"/>
                <w:vertAlign w:val="superscript"/>
              </w:rPr>
              <w:t>2</w:t>
            </w:r>
            <w:r>
              <w:rPr>
                <w:rFonts w:ascii="Times New Roman" w:hAnsi="Times New Roman" w:eastAsiaTheme="minorEastAsia"/>
                <w:bCs/>
                <w:color w:val="auto"/>
                <w:w w:val="99"/>
                <w:kern w:val="21"/>
                <w:sz w:val="21"/>
                <w:szCs w:val="21"/>
                <w:highlight w:val="none"/>
              </w:rPr>
              <w:t>，填埋场总容量为 11624m</w:t>
            </w:r>
            <w:r>
              <w:rPr>
                <w:rFonts w:ascii="Times New Roman" w:hAnsi="Times New Roman" w:eastAsiaTheme="minorEastAsia"/>
                <w:bCs/>
                <w:color w:val="auto"/>
                <w:w w:val="99"/>
                <w:kern w:val="21"/>
                <w:sz w:val="21"/>
                <w:szCs w:val="21"/>
                <w:highlight w:val="none"/>
                <w:vertAlign w:val="superscript"/>
              </w:rPr>
              <w:t>3</w:t>
            </w:r>
            <w:r>
              <w:rPr>
                <w:rFonts w:ascii="Times New Roman" w:hAnsi="Times New Roman" w:eastAsiaTheme="minorEastAsia"/>
                <w:bCs/>
                <w:color w:val="auto"/>
                <w:w w:val="99"/>
                <w:kern w:val="21"/>
                <w:sz w:val="21"/>
                <w:szCs w:val="21"/>
                <w:highlight w:val="none"/>
              </w:rPr>
              <w:t>。第八采油厂工业固废填埋场于201</w:t>
            </w:r>
            <w:r>
              <w:rPr>
                <w:rFonts w:hint="eastAsia" w:ascii="Times New Roman" w:hAnsi="Times New Roman" w:eastAsiaTheme="minorEastAsia"/>
                <w:bCs/>
                <w:color w:val="auto"/>
                <w:w w:val="99"/>
                <w:kern w:val="21"/>
                <w:sz w:val="21"/>
                <w:szCs w:val="21"/>
                <w:highlight w:val="none"/>
              </w:rPr>
              <w:t>1</w:t>
            </w:r>
            <w:r>
              <w:rPr>
                <w:rFonts w:ascii="Times New Roman" w:hAnsi="Times New Roman" w:eastAsiaTheme="minorEastAsia"/>
                <w:bCs/>
                <w:color w:val="auto"/>
                <w:w w:val="99"/>
                <w:kern w:val="21"/>
                <w:sz w:val="21"/>
                <w:szCs w:val="21"/>
                <w:highlight w:val="none"/>
              </w:rPr>
              <w:t>年1</w:t>
            </w:r>
            <w:r>
              <w:rPr>
                <w:rFonts w:hint="eastAsia" w:ascii="Times New Roman" w:hAnsi="Times New Roman" w:eastAsiaTheme="minorEastAsia"/>
                <w:bCs/>
                <w:color w:val="auto"/>
                <w:w w:val="99"/>
                <w:kern w:val="21"/>
                <w:sz w:val="21"/>
                <w:szCs w:val="21"/>
                <w:highlight w:val="none"/>
              </w:rPr>
              <w:t>1月</w:t>
            </w:r>
            <w:r>
              <w:rPr>
                <w:rFonts w:ascii="Times New Roman" w:hAnsi="Times New Roman" w:eastAsiaTheme="minorEastAsia"/>
                <w:bCs/>
                <w:color w:val="auto"/>
                <w:w w:val="99"/>
                <w:kern w:val="21"/>
                <w:sz w:val="21"/>
                <w:szCs w:val="21"/>
                <w:highlight w:val="none"/>
              </w:rPr>
              <w:t>22日取得环评批复，批复号为庆环建字[2011]171 号；2014年申请环保验收，大庆市环境保护局于2014年8月8日发函同意其通过项目竣工环境保护验收，验收文号为庆环验[2014]38号。第八采油厂工业固废填埋场年处理能力为 581.2m</w:t>
            </w:r>
            <w:r>
              <w:rPr>
                <w:rFonts w:ascii="Times New Roman" w:hAnsi="Times New Roman" w:eastAsiaTheme="minorEastAsia"/>
                <w:bCs/>
                <w:color w:val="auto"/>
                <w:w w:val="99"/>
                <w:kern w:val="21"/>
                <w:sz w:val="21"/>
                <w:szCs w:val="21"/>
                <w:highlight w:val="none"/>
                <w:vertAlign w:val="superscript"/>
              </w:rPr>
              <w:t>3</w:t>
            </w:r>
            <w:r>
              <w:rPr>
                <w:rFonts w:ascii="Times New Roman" w:hAnsi="Times New Roman" w:eastAsiaTheme="minorEastAsia"/>
                <w:bCs/>
                <w:color w:val="auto"/>
                <w:w w:val="99"/>
                <w:kern w:val="21"/>
                <w:sz w:val="21"/>
                <w:szCs w:val="21"/>
                <w:highlight w:val="none"/>
              </w:rPr>
              <w:t>/a，合700t/a，本项目产生的废弃包装袋送至固废填埋场</w:t>
            </w:r>
            <w:r>
              <w:rPr>
                <w:rFonts w:hint="eastAsia" w:ascii="Times New Roman" w:hAnsi="Times New Roman" w:eastAsiaTheme="minorEastAsia"/>
                <w:bCs/>
                <w:color w:val="auto"/>
                <w:w w:val="99"/>
                <w:kern w:val="21"/>
                <w:sz w:val="21"/>
                <w:szCs w:val="21"/>
                <w:highlight w:val="none"/>
              </w:rPr>
              <w:t>，</w:t>
            </w:r>
            <w:r>
              <w:rPr>
                <w:rFonts w:ascii="Times New Roman" w:hAnsi="Times New Roman" w:eastAsiaTheme="minorEastAsia"/>
                <w:bCs/>
                <w:color w:val="auto"/>
                <w:w w:val="99"/>
                <w:kern w:val="21"/>
                <w:sz w:val="21"/>
                <w:szCs w:val="21"/>
                <w:highlight w:val="none"/>
              </w:rPr>
              <w:t>本项目产生废弃防渗布和一般包装袋共计</w:t>
            </w:r>
            <w:r>
              <w:rPr>
                <w:rFonts w:hint="eastAsia" w:ascii="Times New Roman" w:hAnsi="Times New Roman" w:eastAsiaTheme="minorEastAsia"/>
                <w:bCs/>
                <w:color w:val="auto"/>
                <w:w w:val="99"/>
                <w:kern w:val="21"/>
                <w:sz w:val="21"/>
                <w:szCs w:val="21"/>
                <w:highlight w:val="none"/>
              </w:rPr>
              <w:t>19.052</w:t>
            </w:r>
            <w:r>
              <w:rPr>
                <w:rFonts w:ascii="Times New Roman" w:hAnsi="Times New Roman" w:eastAsiaTheme="minorEastAsia"/>
                <w:bCs/>
                <w:color w:val="auto"/>
                <w:w w:val="99"/>
                <w:kern w:val="21"/>
                <w:sz w:val="21"/>
                <w:szCs w:val="21"/>
                <w:highlight w:val="none"/>
              </w:rPr>
              <w:t>t，填埋场剩余容量能够容纳本项目产生的固体废物，本项目依托可行。</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bCs/>
                <w:color w:val="auto"/>
                <w:w w:val="99"/>
                <w:sz w:val="21"/>
                <w:szCs w:val="21"/>
                <w:highlight w:val="none"/>
              </w:rPr>
              <w:t>黑龙江龙之润环保工程有限公司</w:t>
            </w:r>
            <w:r>
              <w:rPr>
                <w:rFonts w:hint="default" w:ascii="Times New Roman" w:hAnsi="Times New Roman" w:cs="Times New Roman"/>
                <w:bCs/>
                <w:color w:val="auto"/>
                <w:w w:val="99"/>
                <w:sz w:val="21"/>
                <w:szCs w:val="21"/>
                <w:highlight w:val="none"/>
                <w:lang w:eastAsia="zh-CN"/>
              </w:rPr>
              <w:t>废射孔液处理装置</w:t>
            </w:r>
          </w:p>
        </w:tc>
        <w:tc>
          <w:tcPr>
            <w:tcW w:w="3279" w:type="pct"/>
            <w:vAlign w:val="center"/>
          </w:tcPr>
          <w:p>
            <w:pPr>
              <w:keepNext w:val="0"/>
              <w:keepLines w:val="0"/>
              <w:pageBreakBefore w:val="0"/>
              <w:kinsoku/>
              <w:wordWrap/>
              <w:overflowPunct/>
              <w:topLinePunct w:val="0"/>
              <w:bidi w:val="0"/>
              <w:spacing w:line="360" w:lineRule="exact"/>
              <w:ind w:firstLine="0"/>
              <w:jc w:val="both"/>
              <w:rPr>
                <w:rFonts w:ascii="Times New Roman" w:hAnsi="Times New Roman" w:cs="Times New Roman" w:eastAsiaTheme="minorEastAsia"/>
                <w:bCs/>
                <w:color w:val="auto"/>
                <w:w w:val="99"/>
                <w:kern w:val="21"/>
                <w:sz w:val="21"/>
                <w:szCs w:val="21"/>
                <w:highlight w:val="none"/>
              </w:rPr>
            </w:pPr>
            <w:r>
              <w:rPr>
                <w:rFonts w:hint="eastAsia" w:ascii="Times New Roman" w:hAnsi="Times New Roman" w:cs="Times New Roman"/>
                <w:bCs/>
                <w:color w:val="auto"/>
                <w:w w:val="99"/>
                <w:sz w:val="21"/>
                <w:szCs w:val="21"/>
                <w:highlight w:val="none"/>
              </w:rPr>
              <w:t>黑龙江龙之润环保工程有限公司位于红岗区铁人园区兴隆产业园区，该</w:t>
            </w:r>
            <w:r>
              <w:rPr>
                <w:rFonts w:hint="eastAsia" w:ascii="Times New Roman" w:hAnsi="Times New Roman" w:cs="Times New Roman"/>
                <w:bCs/>
                <w:color w:val="auto"/>
                <w:w w:val="99"/>
                <w:sz w:val="21"/>
                <w:szCs w:val="21"/>
                <w:highlight w:val="none"/>
                <w:lang w:eastAsia="zh-CN"/>
              </w:rPr>
              <w:t>射孔液处理</w:t>
            </w:r>
            <w:r>
              <w:rPr>
                <w:rFonts w:hint="eastAsia" w:ascii="Times New Roman" w:hAnsi="Times New Roman" w:cs="Times New Roman"/>
                <w:bCs/>
                <w:color w:val="auto"/>
                <w:w w:val="99"/>
                <w:sz w:val="21"/>
                <w:szCs w:val="21"/>
                <w:highlight w:val="none"/>
              </w:rPr>
              <w:t>处理装置</w:t>
            </w:r>
            <w:r>
              <w:rPr>
                <w:rFonts w:ascii="Times New Roman" w:hAnsi="Times New Roman" w:cs="Times New Roman" w:eastAsiaTheme="minorEastAsia"/>
                <w:bCs/>
                <w:color w:val="auto"/>
                <w:w w:val="99"/>
                <w:kern w:val="21"/>
                <w:sz w:val="21"/>
                <w:szCs w:val="21"/>
                <w:highlight w:val="none"/>
              </w:rPr>
              <w:t>于20</w:t>
            </w:r>
            <w:r>
              <w:rPr>
                <w:rFonts w:hint="eastAsia" w:ascii="Times New Roman" w:hAnsi="Times New Roman" w:cs="Times New Roman" w:eastAsiaTheme="minorEastAsia"/>
                <w:bCs/>
                <w:color w:val="auto"/>
                <w:w w:val="99"/>
                <w:kern w:val="21"/>
                <w:sz w:val="21"/>
                <w:szCs w:val="21"/>
                <w:highlight w:val="none"/>
              </w:rPr>
              <w:t>19</w:t>
            </w:r>
            <w:r>
              <w:rPr>
                <w:rFonts w:ascii="Times New Roman" w:hAnsi="Times New Roman" w:cs="Times New Roman" w:eastAsiaTheme="minorEastAsia"/>
                <w:bCs/>
                <w:color w:val="auto"/>
                <w:w w:val="99"/>
                <w:kern w:val="21"/>
                <w:sz w:val="21"/>
                <w:szCs w:val="21"/>
                <w:highlight w:val="none"/>
              </w:rPr>
              <w:t>年</w:t>
            </w:r>
            <w:r>
              <w:rPr>
                <w:rFonts w:hint="eastAsia" w:ascii="Times New Roman" w:hAnsi="Times New Roman" w:cs="Times New Roman" w:eastAsiaTheme="minorEastAsia"/>
                <w:bCs/>
                <w:color w:val="auto"/>
                <w:w w:val="99"/>
                <w:kern w:val="21"/>
                <w:sz w:val="21"/>
                <w:szCs w:val="21"/>
                <w:highlight w:val="none"/>
              </w:rPr>
              <w:t>6</w:t>
            </w:r>
            <w:r>
              <w:rPr>
                <w:rFonts w:ascii="Times New Roman" w:hAnsi="Times New Roman" w:cs="Times New Roman" w:eastAsiaTheme="minorEastAsia"/>
                <w:bCs/>
                <w:color w:val="auto"/>
                <w:w w:val="99"/>
                <w:kern w:val="21"/>
                <w:sz w:val="21"/>
                <w:szCs w:val="21"/>
                <w:highlight w:val="none"/>
              </w:rPr>
              <w:t>月</w:t>
            </w:r>
            <w:r>
              <w:rPr>
                <w:rFonts w:hint="eastAsia" w:ascii="Times New Roman" w:hAnsi="Times New Roman" w:cs="Times New Roman" w:eastAsiaTheme="minorEastAsia"/>
                <w:bCs/>
                <w:color w:val="auto"/>
                <w:w w:val="99"/>
                <w:kern w:val="21"/>
                <w:sz w:val="21"/>
                <w:szCs w:val="21"/>
                <w:highlight w:val="none"/>
              </w:rPr>
              <w:t>26</w:t>
            </w:r>
            <w:r>
              <w:rPr>
                <w:rFonts w:ascii="Times New Roman" w:hAnsi="Times New Roman" w:cs="Times New Roman" w:eastAsiaTheme="minorEastAsia"/>
                <w:bCs/>
                <w:color w:val="auto"/>
                <w:w w:val="99"/>
                <w:kern w:val="21"/>
                <w:sz w:val="21"/>
                <w:szCs w:val="21"/>
                <w:highlight w:val="none"/>
              </w:rPr>
              <w:t>日获得了大庆市</w:t>
            </w:r>
            <w:r>
              <w:rPr>
                <w:rFonts w:hint="eastAsia" w:ascii="Times New Roman" w:hAnsi="Times New Roman" w:cs="Times New Roman" w:eastAsiaTheme="minorEastAsia"/>
                <w:bCs/>
                <w:color w:val="auto"/>
                <w:w w:val="99"/>
                <w:kern w:val="21"/>
                <w:sz w:val="21"/>
                <w:szCs w:val="21"/>
                <w:highlight w:val="none"/>
              </w:rPr>
              <w:t>红岗</w:t>
            </w:r>
            <w:r>
              <w:rPr>
                <w:rFonts w:ascii="Times New Roman" w:hAnsi="Times New Roman" w:cs="Times New Roman" w:eastAsiaTheme="minorEastAsia"/>
                <w:bCs/>
                <w:color w:val="auto"/>
                <w:w w:val="99"/>
                <w:kern w:val="21"/>
                <w:sz w:val="21"/>
                <w:szCs w:val="21"/>
                <w:highlight w:val="none"/>
              </w:rPr>
              <w:t>区环境保护局的批复（</w:t>
            </w:r>
            <w:r>
              <w:rPr>
                <w:rFonts w:hint="eastAsia" w:ascii="Times New Roman" w:hAnsi="Times New Roman" w:cs="Times New Roman" w:eastAsiaTheme="minorEastAsia"/>
                <w:bCs/>
                <w:color w:val="auto"/>
                <w:w w:val="99"/>
                <w:kern w:val="21"/>
                <w:sz w:val="21"/>
                <w:szCs w:val="21"/>
                <w:highlight w:val="none"/>
              </w:rPr>
              <w:t>岗环审</w:t>
            </w:r>
            <w:r>
              <w:rPr>
                <w:rFonts w:ascii="Times New Roman" w:hAnsi="Times New Roman" w:cs="Times New Roman" w:eastAsiaTheme="minorEastAsia"/>
                <w:bCs/>
                <w:color w:val="auto"/>
                <w:w w:val="99"/>
                <w:kern w:val="21"/>
                <w:sz w:val="21"/>
                <w:szCs w:val="21"/>
                <w:highlight w:val="none"/>
              </w:rPr>
              <w:t>[20</w:t>
            </w:r>
            <w:r>
              <w:rPr>
                <w:rFonts w:hint="eastAsia" w:ascii="Times New Roman" w:hAnsi="Times New Roman" w:cs="Times New Roman" w:eastAsiaTheme="minorEastAsia"/>
                <w:bCs/>
                <w:color w:val="auto"/>
                <w:w w:val="99"/>
                <w:kern w:val="21"/>
                <w:sz w:val="21"/>
                <w:szCs w:val="21"/>
                <w:highlight w:val="none"/>
              </w:rPr>
              <w:t>19</w:t>
            </w:r>
            <w:r>
              <w:rPr>
                <w:rFonts w:ascii="Times New Roman" w:hAnsi="Times New Roman" w:cs="Times New Roman" w:eastAsiaTheme="minorEastAsia"/>
                <w:bCs/>
                <w:color w:val="auto"/>
                <w:w w:val="99"/>
                <w:kern w:val="21"/>
                <w:sz w:val="21"/>
                <w:szCs w:val="21"/>
                <w:highlight w:val="none"/>
              </w:rPr>
              <w:t>]</w:t>
            </w:r>
            <w:r>
              <w:rPr>
                <w:rFonts w:hint="eastAsia" w:ascii="Times New Roman" w:hAnsi="Times New Roman" w:cs="Times New Roman" w:eastAsiaTheme="minorEastAsia"/>
                <w:bCs/>
                <w:color w:val="auto"/>
                <w:w w:val="99"/>
                <w:kern w:val="21"/>
                <w:sz w:val="21"/>
                <w:szCs w:val="21"/>
                <w:highlight w:val="none"/>
              </w:rPr>
              <w:t>01</w:t>
            </w:r>
            <w:r>
              <w:rPr>
                <w:rFonts w:ascii="Times New Roman" w:hAnsi="Times New Roman" w:cs="Times New Roman" w:eastAsiaTheme="minorEastAsia"/>
                <w:bCs/>
                <w:color w:val="auto"/>
                <w:w w:val="99"/>
                <w:kern w:val="21"/>
                <w:sz w:val="21"/>
                <w:szCs w:val="21"/>
                <w:highlight w:val="none"/>
              </w:rPr>
              <w:t>6号）</w:t>
            </w:r>
            <w:r>
              <w:rPr>
                <w:rFonts w:hint="eastAsia" w:ascii="Times New Roman" w:hAnsi="Times New Roman" w:cs="Times New Roman" w:eastAsiaTheme="minorEastAsia"/>
                <w:bCs/>
                <w:color w:val="auto"/>
                <w:w w:val="99"/>
                <w:kern w:val="21"/>
                <w:sz w:val="21"/>
                <w:szCs w:val="21"/>
                <w:highlight w:val="none"/>
              </w:rPr>
              <w:t>，于2019年12月</w:t>
            </w:r>
            <w:r>
              <w:rPr>
                <w:rFonts w:ascii="Times New Roman" w:hAnsi="Times New Roman" w:cs="Times New Roman" w:eastAsiaTheme="minorEastAsia"/>
                <w:bCs/>
                <w:color w:val="auto"/>
                <w:w w:val="99"/>
                <w:kern w:val="21"/>
                <w:sz w:val="21"/>
                <w:szCs w:val="21"/>
                <w:highlight w:val="none"/>
              </w:rPr>
              <w:t>完成自主</w:t>
            </w:r>
            <w:r>
              <w:rPr>
                <w:rFonts w:hint="eastAsia" w:ascii="Times New Roman" w:hAnsi="Times New Roman" w:cs="Times New Roman" w:eastAsiaTheme="minorEastAsia"/>
                <w:bCs/>
                <w:color w:val="auto"/>
                <w:w w:val="99"/>
                <w:kern w:val="21"/>
                <w:sz w:val="21"/>
                <w:szCs w:val="21"/>
                <w:highlight w:val="none"/>
              </w:rPr>
              <w:t>验收</w:t>
            </w:r>
            <w:r>
              <w:rPr>
                <w:rFonts w:ascii="Times New Roman" w:hAnsi="Times New Roman" w:cs="Times New Roman" w:eastAsiaTheme="minorEastAsia"/>
                <w:bCs/>
                <w:color w:val="auto"/>
                <w:w w:val="99"/>
                <w:kern w:val="21"/>
                <w:sz w:val="21"/>
                <w:szCs w:val="21"/>
                <w:highlight w:val="none"/>
              </w:rPr>
              <w:t>。装置主要采取“</w:t>
            </w:r>
            <w:r>
              <w:rPr>
                <w:rFonts w:hint="eastAsia" w:ascii="Times New Roman" w:hAnsi="Times New Roman" w:cs="Times New Roman" w:eastAsiaTheme="minorEastAsia"/>
                <w:bCs/>
                <w:color w:val="auto"/>
                <w:w w:val="99"/>
                <w:kern w:val="21"/>
                <w:sz w:val="21"/>
                <w:szCs w:val="21"/>
                <w:highlight w:val="none"/>
              </w:rPr>
              <w:t>高频脱水</w:t>
            </w:r>
            <w:r>
              <w:rPr>
                <w:rFonts w:ascii="Times New Roman" w:hAnsi="Times New Roman" w:cs="Times New Roman" w:eastAsiaTheme="minorEastAsia"/>
                <w:bCs/>
                <w:color w:val="auto"/>
                <w:w w:val="99"/>
                <w:kern w:val="21"/>
                <w:sz w:val="21"/>
                <w:szCs w:val="21"/>
                <w:highlight w:val="none"/>
              </w:rPr>
              <w:t>+</w:t>
            </w:r>
            <w:r>
              <w:rPr>
                <w:rFonts w:hint="eastAsia" w:ascii="Times New Roman" w:hAnsi="Times New Roman" w:cs="Times New Roman" w:eastAsiaTheme="minorEastAsia"/>
                <w:bCs/>
                <w:color w:val="auto"/>
                <w:w w:val="99"/>
                <w:kern w:val="21"/>
                <w:sz w:val="21"/>
                <w:szCs w:val="21"/>
                <w:highlight w:val="none"/>
              </w:rPr>
              <w:t>除砂+中速离心+压滤絮凝+二次压滤</w:t>
            </w:r>
            <w:r>
              <w:rPr>
                <w:rFonts w:ascii="Times New Roman" w:hAnsi="Times New Roman" w:cs="Times New Roman" w:eastAsiaTheme="minorEastAsia"/>
                <w:bCs/>
                <w:color w:val="auto"/>
                <w:w w:val="99"/>
                <w:kern w:val="21"/>
                <w:sz w:val="21"/>
                <w:szCs w:val="21"/>
                <w:highlight w:val="none"/>
              </w:rPr>
              <w:t>”工艺，废弃泥浆处理装置最大处理能力为500m</w:t>
            </w:r>
            <w:r>
              <w:rPr>
                <w:rFonts w:ascii="Times New Roman" w:hAnsi="Times New Roman" w:cs="Times New Roman" w:eastAsiaTheme="minorEastAsia"/>
                <w:bCs/>
                <w:color w:val="auto"/>
                <w:w w:val="99"/>
                <w:kern w:val="21"/>
                <w:sz w:val="21"/>
                <w:szCs w:val="21"/>
                <w:highlight w:val="none"/>
                <w:vertAlign w:val="superscript"/>
              </w:rPr>
              <w:t>3</w:t>
            </w:r>
            <w:r>
              <w:rPr>
                <w:rFonts w:ascii="Times New Roman" w:hAnsi="Times New Roman" w:cs="Times New Roman" w:eastAsiaTheme="minorEastAsia"/>
                <w:bCs/>
                <w:color w:val="auto"/>
                <w:w w:val="99"/>
                <w:kern w:val="21"/>
                <w:sz w:val="21"/>
                <w:szCs w:val="21"/>
                <w:highlight w:val="none"/>
              </w:rPr>
              <w:t>/d，现实际处理量为150m</w:t>
            </w:r>
            <w:r>
              <w:rPr>
                <w:rFonts w:ascii="Times New Roman" w:hAnsi="Times New Roman" w:cs="Times New Roman" w:eastAsiaTheme="minorEastAsia"/>
                <w:bCs/>
                <w:color w:val="auto"/>
                <w:w w:val="99"/>
                <w:kern w:val="21"/>
                <w:sz w:val="21"/>
                <w:szCs w:val="21"/>
                <w:highlight w:val="none"/>
                <w:vertAlign w:val="superscript"/>
              </w:rPr>
              <w:t>3</w:t>
            </w:r>
            <w:r>
              <w:rPr>
                <w:rFonts w:ascii="Times New Roman" w:hAnsi="Times New Roman" w:cs="Times New Roman" w:eastAsiaTheme="minorEastAsia"/>
                <w:bCs/>
                <w:color w:val="auto"/>
                <w:w w:val="99"/>
                <w:kern w:val="21"/>
                <w:sz w:val="21"/>
                <w:szCs w:val="21"/>
                <w:highlight w:val="none"/>
              </w:rPr>
              <w:t>/d，本项目新增处理80m</w:t>
            </w:r>
            <w:r>
              <w:rPr>
                <w:rFonts w:ascii="Times New Roman" w:hAnsi="Times New Roman" w:cs="Times New Roman" w:eastAsiaTheme="minorEastAsia"/>
                <w:bCs/>
                <w:color w:val="auto"/>
                <w:w w:val="99"/>
                <w:kern w:val="21"/>
                <w:sz w:val="21"/>
                <w:szCs w:val="21"/>
                <w:highlight w:val="none"/>
                <w:vertAlign w:val="superscript"/>
              </w:rPr>
              <w:t>3</w:t>
            </w:r>
            <w:r>
              <w:rPr>
                <w:rFonts w:ascii="Times New Roman" w:hAnsi="Times New Roman" w:cs="Times New Roman" w:eastAsiaTheme="minorEastAsia"/>
                <w:bCs/>
                <w:color w:val="auto"/>
                <w:w w:val="99"/>
                <w:kern w:val="21"/>
                <w:sz w:val="21"/>
                <w:szCs w:val="21"/>
                <w:highlight w:val="none"/>
              </w:rPr>
              <w:t>/d，新增本项目处理负荷后，负荷为46%，处理后的浸出液可以满足黑龙江省废弃钻井泥浆处理技术指标，本工程依托可行。</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依托</w:t>
            </w:r>
          </w:p>
        </w:tc>
      </w:tr>
    </w:tbl>
    <w:p>
      <w:pPr>
        <w:pStyle w:val="5"/>
        <w:keepNext w:val="0"/>
        <w:keepLines w:val="0"/>
        <w:widowControl w:val="0"/>
        <w:rPr>
          <w:rFonts w:ascii="Times New Roman" w:hAnsi="Times New Roman"/>
          <w:b/>
          <w:snapToGrid w:val="0"/>
          <w:color w:val="auto"/>
          <w:w w:val="99"/>
          <w:highlight w:val="none"/>
        </w:rPr>
      </w:pPr>
      <w:bookmarkStart w:id="356" w:name="_Toc80105140"/>
      <w:r>
        <w:rPr>
          <w:rFonts w:ascii="Times New Roman" w:hAnsi="Times New Roman"/>
          <w:b/>
          <w:snapToGrid w:val="0"/>
          <w:color w:val="auto"/>
          <w:w w:val="99"/>
          <w:highlight w:val="none"/>
        </w:rPr>
        <w:t>3.3工程方案</w:t>
      </w:r>
      <w:bookmarkEnd w:id="356"/>
    </w:p>
    <w:p>
      <w:pPr>
        <w:pStyle w:val="7"/>
        <w:keepNext w:val="0"/>
        <w:keepLines w:val="0"/>
        <w:widowControl w:val="0"/>
        <w:rPr>
          <w:b/>
          <w:color w:val="auto"/>
          <w:w w:val="99"/>
          <w:kern w:val="2"/>
          <w:sz w:val="24"/>
          <w:szCs w:val="24"/>
          <w:highlight w:val="none"/>
        </w:rPr>
      </w:pPr>
      <w:bookmarkStart w:id="357" w:name="_Toc77667285"/>
      <w:bookmarkStart w:id="358" w:name="_Toc71371941"/>
      <w:bookmarkStart w:id="359" w:name="_Toc69690808"/>
      <w:bookmarkStart w:id="360" w:name="_Toc74812312"/>
      <w:bookmarkStart w:id="361" w:name="_Toc80105141"/>
      <w:bookmarkStart w:id="362" w:name="_Toc61597218"/>
      <w:bookmarkStart w:id="363" w:name="_Toc67523590"/>
      <w:r>
        <w:rPr>
          <w:b/>
          <w:color w:val="auto"/>
          <w:w w:val="99"/>
          <w:kern w:val="2"/>
          <w:sz w:val="24"/>
          <w:szCs w:val="24"/>
          <w:highlight w:val="none"/>
        </w:rPr>
        <w:t>3.3.1钻前准备工作</w:t>
      </w:r>
      <w:bookmarkEnd w:id="357"/>
      <w:bookmarkEnd w:id="358"/>
      <w:bookmarkEnd w:id="359"/>
      <w:bookmarkEnd w:id="360"/>
      <w:bookmarkEnd w:id="361"/>
      <w:bookmarkEnd w:id="362"/>
      <w:bookmarkEnd w:id="363"/>
    </w:p>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3.3.1.1井位选择</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钻前准备工作主要为平整井场，保证全套钻井设备达到相关安装标准，安装完成后并进行相关调试。</w:t>
      </w:r>
      <w:r>
        <w:rPr>
          <w:rFonts w:ascii="Times New Roman" w:hAnsi="Times New Roman" w:eastAsiaTheme="minorEastAsia"/>
          <w:bCs/>
          <w:snapToGrid w:val="0"/>
          <w:color w:val="auto"/>
          <w:w w:val="99"/>
          <w:highlight w:val="none"/>
        </w:rPr>
        <w:t>本项目新钻油井</w:t>
      </w:r>
      <w:r>
        <w:rPr>
          <w:rFonts w:hint="eastAsia" w:ascii="Times New Roman" w:hAnsi="Times New Roman" w:eastAsiaTheme="minorEastAsia"/>
          <w:bCs/>
          <w:snapToGrid w:val="0"/>
          <w:color w:val="auto"/>
          <w:w w:val="99"/>
          <w:highlight w:val="none"/>
        </w:rPr>
        <w:t>4</w:t>
      </w:r>
      <w:r>
        <w:rPr>
          <w:rFonts w:hint="eastAsia" w:ascii="Times New Roman" w:hAnsi="Times New Roman" w:eastAsiaTheme="minorEastAsia"/>
          <w:bCs/>
          <w:snapToGrid w:val="0"/>
          <w:color w:val="auto"/>
          <w:w w:val="99"/>
          <w:highlight w:val="none"/>
          <w:lang w:val="en-US" w:eastAsia="zh-CN"/>
        </w:rPr>
        <w:t>4</w:t>
      </w:r>
      <w:r>
        <w:rPr>
          <w:rFonts w:hint="eastAsia" w:ascii="Times New Roman" w:hAnsi="Times New Roman" w:eastAsiaTheme="minorEastAsia"/>
          <w:bCs/>
          <w:snapToGrid w:val="0"/>
          <w:color w:val="auto"/>
          <w:w w:val="99"/>
          <w:highlight w:val="none"/>
        </w:rPr>
        <w:t>口，包括首钻井2口、</w:t>
      </w:r>
      <w:r>
        <w:rPr>
          <w:rFonts w:hint="eastAsia" w:ascii="Times New Roman" w:hAnsi="Times New Roman" w:eastAsiaTheme="minorEastAsia"/>
          <w:bCs/>
          <w:snapToGrid w:val="0"/>
          <w:color w:val="auto"/>
          <w:w w:val="99"/>
          <w:highlight w:val="none"/>
          <w:lang w:eastAsia="zh-CN"/>
        </w:rPr>
        <w:t>正常井</w:t>
      </w:r>
      <w:r>
        <w:rPr>
          <w:rFonts w:hint="eastAsia" w:ascii="Times New Roman" w:hAnsi="Times New Roman" w:eastAsiaTheme="minorEastAsia"/>
          <w:bCs/>
          <w:snapToGrid w:val="0"/>
          <w:color w:val="auto"/>
          <w:w w:val="99"/>
          <w:highlight w:val="none"/>
          <w:lang w:val="en-US" w:eastAsia="zh-CN"/>
        </w:rPr>
        <w:t>31</w:t>
      </w:r>
      <w:r>
        <w:rPr>
          <w:rFonts w:hint="eastAsia" w:ascii="Times New Roman" w:hAnsi="Times New Roman" w:eastAsiaTheme="minorEastAsia"/>
          <w:bCs/>
          <w:snapToGrid w:val="0"/>
          <w:color w:val="auto"/>
          <w:w w:val="99"/>
          <w:highlight w:val="none"/>
          <w:lang w:eastAsia="zh-CN"/>
        </w:rPr>
        <w:t>口</w:t>
      </w:r>
      <w:r>
        <w:rPr>
          <w:rFonts w:hint="eastAsia" w:ascii="Times New Roman" w:hAnsi="Times New Roman" w:eastAsiaTheme="minorEastAsia"/>
          <w:bCs/>
          <w:snapToGrid w:val="0"/>
          <w:color w:val="auto"/>
          <w:w w:val="99"/>
          <w:highlight w:val="none"/>
        </w:rPr>
        <w:t>、缓钻井11口</w:t>
      </w:r>
      <w:r>
        <w:rPr>
          <w:rFonts w:ascii="Times New Roman" w:hAnsi="Times New Roman" w:eastAsiaTheme="minorEastAsia"/>
          <w:bCs/>
          <w:snapToGrid w:val="0"/>
          <w:color w:val="auto"/>
          <w:w w:val="99"/>
          <w:highlight w:val="none"/>
        </w:rPr>
        <w:t>，</w:t>
      </w:r>
      <w:r>
        <w:rPr>
          <w:rFonts w:hint="eastAsia" w:ascii="Times New Roman" w:hAnsi="Times New Roman" w:eastAsiaTheme="minorEastAsia"/>
          <w:bCs/>
          <w:snapToGrid w:val="0"/>
          <w:color w:val="auto"/>
          <w:w w:val="99"/>
          <w:highlight w:val="none"/>
        </w:rPr>
        <w:t>均为单井</w:t>
      </w:r>
      <w:r>
        <w:rPr>
          <w:rFonts w:ascii="Times New Roman" w:hAnsi="Times New Roman" w:eastAsiaTheme="minorEastAsia"/>
          <w:bCs/>
          <w:snapToGrid w:val="0"/>
          <w:color w:val="auto"/>
          <w:w w:val="99"/>
          <w:highlight w:val="none"/>
        </w:rPr>
        <w:t>，</w:t>
      </w:r>
      <w:r>
        <w:rPr>
          <w:rFonts w:hint="eastAsia" w:ascii="Times New Roman" w:hAnsi="Times New Roman" w:eastAsiaTheme="minorEastAsia"/>
          <w:bCs/>
          <w:snapToGrid w:val="0"/>
          <w:color w:val="auto"/>
          <w:w w:val="99"/>
          <w:highlight w:val="none"/>
        </w:rPr>
        <w:t>单井完钻井深为</w:t>
      </w:r>
      <w:r>
        <w:rPr>
          <w:rFonts w:hint="eastAsia" w:ascii="Times New Roman" w:hAnsi="Times New Roman" w:eastAsiaTheme="minorEastAsia"/>
          <w:bCs/>
          <w:snapToGrid w:val="0"/>
          <w:color w:val="auto"/>
          <w:w w:val="99"/>
          <w:highlight w:val="none"/>
          <w:lang w:eastAsia="zh-CN"/>
        </w:rPr>
        <w:t>1689-1867m</w:t>
      </w:r>
      <w:r>
        <w:rPr>
          <w:rFonts w:ascii="Times New Roman" w:hAnsi="Times New Roman" w:eastAsiaTheme="minorEastAsia"/>
          <w:bCs/>
          <w:snapToGrid w:val="0"/>
          <w:color w:val="auto"/>
          <w:w w:val="99"/>
          <w:highlight w:val="none"/>
        </w:rPr>
        <w:t>，总进尺</w:t>
      </w:r>
      <w:r>
        <w:rPr>
          <w:rFonts w:hint="eastAsia" w:ascii="Times New Roman" w:hAnsi="Times New Roman" w:eastAsiaTheme="minorEastAsia"/>
          <w:bCs/>
          <w:snapToGrid w:val="0"/>
          <w:color w:val="auto"/>
          <w:w w:val="99"/>
          <w:highlight w:val="none"/>
          <w:lang w:eastAsia="zh-CN"/>
        </w:rPr>
        <w:t>79111m</w:t>
      </w:r>
      <w:r>
        <w:rPr>
          <w:rFonts w:ascii="Times New Roman" w:hAnsi="Times New Roman" w:cs="Times New Roman" w:eastAsiaTheme="minorEastAsia"/>
          <w:bCs/>
          <w:color w:val="auto"/>
          <w:w w:val="99"/>
          <w:kern w:val="21"/>
          <w:highlight w:val="none"/>
        </w:rPr>
        <w:t>。</w:t>
      </w:r>
      <w:r>
        <w:rPr>
          <w:rFonts w:ascii="Times New Roman" w:hAnsi="Times New Roman" w:cs="Times New Roman" w:eastAsiaTheme="minorEastAsia"/>
          <w:color w:val="auto"/>
          <w:w w:val="99"/>
          <w:kern w:val="21"/>
          <w:highlight w:val="none"/>
        </w:rPr>
        <w:t>具体钻井井位坐标见表3.3-1。本项目拟钻井场相对位置见附图7。</w:t>
      </w:r>
    </w:p>
    <w:p>
      <w:pPr>
        <w:widowControl w:val="0"/>
        <w:spacing w:line="500" w:lineRule="exact"/>
        <w:ind w:firstLine="474" w:firstLineChars="200"/>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1"/>
          <w:highlight w:val="none"/>
        </w:rPr>
        <w:t>表3.3-1                  项目钻井井位坐标统计表</w:t>
      </w:r>
    </w:p>
    <w:tbl>
      <w:tblPr>
        <w:tblStyle w:val="8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9"/>
        <w:gridCol w:w="1009"/>
        <w:gridCol w:w="1327"/>
        <w:gridCol w:w="1242"/>
        <w:gridCol w:w="1221"/>
        <w:gridCol w:w="589"/>
        <w:gridCol w:w="922"/>
        <w:gridCol w:w="1463"/>
        <w:gridCol w:w="9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Merge w:val="restar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序号</w:t>
            </w:r>
          </w:p>
        </w:tc>
        <w:tc>
          <w:tcPr>
            <w:tcW w:w="543" w:type="pct"/>
            <w:vMerge w:val="restar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区块</w:t>
            </w:r>
          </w:p>
        </w:tc>
        <w:tc>
          <w:tcPr>
            <w:tcW w:w="714" w:type="pct"/>
            <w:vMerge w:val="restar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井号</w:t>
            </w:r>
          </w:p>
        </w:tc>
        <w:tc>
          <w:tcPr>
            <w:tcW w:w="1325" w:type="pct"/>
            <w:gridSpan w:val="2"/>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井位坐标</w:t>
            </w:r>
          </w:p>
        </w:tc>
        <w:tc>
          <w:tcPr>
            <w:tcW w:w="317" w:type="pct"/>
            <w:vMerge w:val="restar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井别</w:t>
            </w:r>
          </w:p>
        </w:tc>
        <w:tc>
          <w:tcPr>
            <w:tcW w:w="496" w:type="pct"/>
            <w:vMerge w:val="restar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井型</w:t>
            </w:r>
          </w:p>
        </w:tc>
        <w:tc>
          <w:tcPr>
            <w:tcW w:w="787" w:type="pct"/>
            <w:vMerge w:val="restar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设计井深（m）</w:t>
            </w:r>
          </w:p>
        </w:tc>
        <w:tc>
          <w:tcPr>
            <w:tcW w:w="497" w:type="pct"/>
            <w:vMerge w:val="restar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占地类型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井口横坐标</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井口纵坐标</w:t>
            </w:r>
          </w:p>
        </w:tc>
        <w:tc>
          <w:tcPr>
            <w:tcW w:w="317"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496"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87"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497"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w:t>
            </w:r>
          </w:p>
        </w:tc>
        <w:tc>
          <w:tcPr>
            <w:tcW w:w="543" w:type="pct"/>
            <w:vMerge w:val="restar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源35区块</w:t>
            </w: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源276-120</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21654241.2</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5048602.8</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首钻井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1803.9</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源288-114</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21653494.6</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5047967.1</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首钻井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1803.7</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源232-132</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21655548.2</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5051007.5</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1851.9</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4</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源236-130</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21655272.8</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5050797.1</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1849.3</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源236-134</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21655783.5</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5050799.9</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1853.9</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6</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源240-128</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21655041.3</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5050617.3</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1856.5</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7</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源240-132</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21655518.2</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5050621.7</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1844.5</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8</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源240-136</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21655980.0</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5050618.4</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1859.8</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9</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源244-134</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21655783.5</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5050405.8</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1847.8</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10</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源248-130</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21655471.4</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5050170.9</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1838.7</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11</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源252-122</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21654582.5</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5049941.6</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1822.1</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12</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源256-124</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21654797.2</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5049745.7</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1816.9</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13</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源260-122</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21654582.5</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5049534.2</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1801.9</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14</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源260-126</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21655051.4</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5049543.1</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1818.2</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15</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源272-118</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21654180.2</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5048809.2</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1808.3</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源278-124</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21654791.0</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5048461.9</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1758.6</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源280-118</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21654145.5</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5048388.0</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1789.6</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源282-116</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21653799.5</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5048290.4</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1801.1</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源282-122</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21654610.8</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5048271.6</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1745.3</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源282-126</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21654964.6</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5048254.9</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1755.8</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源284-120</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21654198.0</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5048182.9</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1786.9</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22</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源286-98</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21652981.1</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5048080.2</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1759.4</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23</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源294-118</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21654008.5</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5047804.8</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1798.1</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24</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源296-108</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21653246.5</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5047739.2</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1770.8</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25</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源298-110</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21653298.3</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5047567.9</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1773.4</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26</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源298-116</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21653834.9</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5047547.0</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1789.1</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27</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源306-108</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21653094.4</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5047178.8</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1762</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28</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源308-108</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21653064.8</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5046953.8</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1765.8</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29</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源312-116</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21654152.1</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5046872.6</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1689.5</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30</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源232-128</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21655032.5</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5051007.5</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缓钻井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1864.9</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31</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源232-136</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21656003.8</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5051017.5</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缓钻井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1867.4</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32</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源248-126</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21654968.0</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5050167.6</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缓钻井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1838.6</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33</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源268-120</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21654254.2</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5049009.1</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缓钻井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1822.1</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34</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源282-98</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21652972.4</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5048264.8</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缓钻井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1766.7</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35</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源284-114</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21653478.1</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5048167.2</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缓钻井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1807.9</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36</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源312-104</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21652846.5</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5046771.4</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缓钻井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1756.8</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37</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源312-120</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21654557.7</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5046802.4</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缓钻井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1701.5</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38</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源252-134</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21655616.7</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5049943.2</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缓钻井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1847.8</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39</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源256-128</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21655300.8</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5049742.7</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缓钻井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1837.1</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40</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源278-128</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21655201.6</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5048461.9</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缓钻井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1778.6</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41</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源35-5</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21654180.2</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5048809.2</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1689.5</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42</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源302-108</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21654791.0</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5048461.9</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1770.8</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43</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源35</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21654145.5</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5048388.0</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1773.4</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44</w:t>
            </w:r>
          </w:p>
        </w:tc>
        <w:tc>
          <w:tcPr>
            <w:tcW w:w="54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714"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源244-斜140</w:t>
            </w:r>
          </w:p>
        </w:tc>
        <w:tc>
          <w:tcPr>
            <w:tcW w:w="668"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21653799.5</w:t>
            </w:r>
          </w:p>
        </w:tc>
        <w:tc>
          <w:tcPr>
            <w:tcW w:w="65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5048290.4</w:t>
            </w:r>
          </w:p>
        </w:tc>
        <w:tc>
          <w:tcPr>
            <w:tcW w:w="31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9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78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1765.8</w:t>
            </w:r>
          </w:p>
        </w:tc>
        <w:tc>
          <w:tcPr>
            <w:tcW w:w="49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bl>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3.3.1.2井身结构</w:t>
      </w:r>
    </w:p>
    <w:p>
      <w:pPr>
        <w:widowControl w:val="0"/>
        <w:tabs>
          <w:tab w:val="left" w:pos="-315"/>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本工程新钻井井身结构</w:t>
      </w:r>
      <w:r>
        <w:rPr>
          <w:rFonts w:hint="eastAsia" w:ascii="Times New Roman" w:hAnsi="Times New Roman" w:cs="Times New Roman" w:eastAsiaTheme="minorEastAsia"/>
          <w:bCs/>
          <w:color w:val="auto"/>
          <w:w w:val="99"/>
          <w:kern w:val="21"/>
          <w:highlight w:val="none"/>
        </w:rPr>
        <w:t>包括首钻井2口、</w:t>
      </w:r>
      <w:r>
        <w:rPr>
          <w:rFonts w:hint="eastAsia" w:ascii="Times New Roman" w:hAnsi="Times New Roman" w:cs="Times New Roman" w:eastAsiaTheme="minorEastAsia"/>
          <w:bCs/>
          <w:color w:val="auto"/>
          <w:w w:val="99"/>
          <w:kern w:val="21"/>
          <w:highlight w:val="none"/>
          <w:lang w:eastAsia="zh-CN"/>
        </w:rPr>
        <w:t>正常井</w:t>
      </w:r>
      <w:r>
        <w:rPr>
          <w:rFonts w:hint="eastAsia" w:ascii="Times New Roman" w:hAnsi="Times New Roman" w:cs="Times New Roman" w:eastAsiaTheme="minorEastAsia"/>
          <w:bCs/>
          <w:color w:val="auto"/>
          <w:w w:val="99"/>
          <w:kern w:val="21"/>
          <w:highlight w:val="none"/>
          <w:lang w:val="en-US" w:eastAsia="zh-CN"/>
        </w:rPr>
        <w:t>31</w:t>
      </w:r>
      <w:r>
        <w:rPr>
          <w:rFonts w:hint="eastAsia" w:ascii="Times New Roman" w:hAnsi="Times New Roman" w:cs="Times New Roman" w:eastAsiaTheme="minorEastAsia"/>
          <w:bCs/>
          <w:color w:val="auto"/>
          <w:w w:val="99"/>
          <w:kern w:val="21"/>
          <w:highlight w:val="none"/>
          <w:lang w:eastAsia="zh-CN"/>
        </w:rPr>
        <w:t>口</w:t>
      </w:r>
      <w:r>
        <w:rPr>
          <w:rFonts w:hint="eastAsia" w:ascii="Times New Roman" w:hAnsi="Times New Roman" w:cs="Times New Roman" w:eastAsiaTheme="minorEastAsia"/>
          <w:bCs/>
          <w:color w:val="auto"/>
          <w:w w:val="99"/>
          <w:kern w:val="21"/>
          <w:highlight w:val="none"/>
        </w:rPr>
        <w:t>、缓钻井11口</w:t>
      </w:r>
      <w:r>
        <w:rPr>
          <w:rFonts w:ascii="Times New Roman" w:hAnsi="Times New Roman" w:cs="Times New Roman" w:eastAsiaTheme="minorEastAsia"/>
          <w:bCs/>
          <w:color w:val="auto"/>
          <w:w w:val="99"/>
          <w:kern w:val="21"/>
          <w:highlight w:val="none"/>
        </w:rPr>
        <w:t>，项目井身设计数据见</w:t>
      </w:r>
      <w:r>
        <w:rPr>
          <w:rFonts w:ascii="Times New Roman" w:hAnsi="Times New Roman" w:cs="Times New Roman" w:eastAsiaTheme="minorEastAsia"/>
          <w:color w:val="auto"/>
          <w:w w:val="99"/>
          <w:kern w:val="21"/>
          <w:highlight w:val="none"/>
        </w:rPr>
        <w:t>表3.3-2</w:t>
      </w:r>
      <w:r>
        <w:rPr>
          <w:rFonts w:ascii="Times New Roman" w:hAnsi="Times New Roman" w:cs="Times New Roman" w:eastAsiaTheme="minorEastAsia"/>
          <w:bCs/>
          <w:color w:val="auto"/>
          <w:w w:val="99"/>
          <w:kern w:val="21"/>
          <w:highlight w:val="none"/>
        </w:rPr>
        <w:t>。井身结构示意图见图</w:t>
      </w:r>
      <w:r>
        <w:rPr>
          <w:rFonts w:ascii="Times New Roman" w:hAnsi="Times New Roman" w:cs="Times New Roman" w:eastAsiaTheme="minorEastAsia"/>
          <w:color w:val="auto"/>
          <w:w w:val="99"/>
          <w:kern w:val="21"/>
          <w:highlight w:val="none"/>
        </w:rPr>
        <w:t>3.3-1</w:t>
      </w:r>
      <w:r>
        <w:rPr>
          <w:rFonts w:ascii="Times New Roman" w:hAnsi="Times New Roman" w:cs="Times New Roman" w:eastAsiaTheme="minorEastAsia"/>
          <w:bCs/>
          <w:color w:val="auto"/>
          <w:w w:val="99"/>
          <w:kern w:val="21"/>
          <w:highlight w:val="none"/>
        </w:rPr>
        <w:t>。</w:t>
      </w:r>
    </w:p>
    <w:p>
      <w:pPr>
        <w:widowControl w:val="0"/>
        <w:spacing w:line="500" w:lineRule="exact"/>
        <w:ind w:firstLine="474" w:firstLineChars="200"/>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1"/>
          <w:highlight w:val="none"/>
        </w:rPr>
        <w:t>表3.3-2</w:t>
      </w:r>
      <w:r>
        <w:rPr>
          <w:rFonts w:ascii="Times New Roman" w:hAnsi="Times New Roman" w:cs="Times New Roman" w:eastAsiaTheme="minorEastAsia"/>
          <w:b/>
          <w:bCs/>
          <w:color w:val="auto"/>
          <w:w w:val="99"/>
          <w:highlight w:val="none"/>
        </w:rPr>
        <w:t xml:space="preserve">                   井身结构设计数据表</w:t>
      </w:r>
    </w:p>
    <w:tbl>
      <w:tblPr>
        <w:tblStyle w:val="8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44"/>
        <w:gridCol w:w="1085"/>
        <w:gridCol w:w="1427"/>
        <w:gridCol w:w="1225"/>
        <w:gridCol w:w="1247"/>
        <w:gridCol w:w="1479"/>
        <w:gridCol w:w="167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2"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开钻</w:t>
            </w:r>
          </w:p>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次序</w:t>
            </w:r>
          </w:p>
        </w:tc>
        <w:tc>
          <w:tcPr>
            <w:tcW w:w="584"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井  深</w:t>
            </w:r>
          </w:p>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m</w:t>
            </w:r>
          </w:p>
        </w:tc>
        <w:tc>
          <w:tcPr>
            <w:tcW w:w="768"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钻头尺寸</w:t>
            </w:r>
          </w:p>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mm</w:t>
            </w:r>
          </w:p>
        </w:tc>
        <w:tc>
          <w:tcPr>
            <w:tcW w:w="659"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套管柱</w:t>
            </w:r>
          </w:p>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类  型</w:t>
            </w:r>
          </w:p>
        </w:tc>
        <w:tc>
          <w:tcPr>
            <w:tcW w:w="671" w:type="pct"/>
            <w:tcMar>
              <w:top w:w="28" w:type="dxa"/>
              <w:left w:w="0" w:type="dxa"/>
              <w:right w:w="0" w:type="dxa"/>
            </w:tcMar>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套管尺寸</w:t>
            </w:r>
          </w:p>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mm</w:t>
            </w:r>
          </w:p>
        </w:tc>
        <w:tc>
          <w:tcPr>
            <w:tcW w:w="796" w:type="pct"/>
            <w:tcMar>
              <w:top w:w="28" w:type="dxa"/>
              <w:left w:w="0" w:type="dxa"/>
              <w:right w:w="0" w:type="dxa"/>
            </w:tcMar>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套管下入</w:t>
            </w:r>
          </w:p>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深    度</w:t>
            </w:r>
          </w:p>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m</w:t>
            </w:r>
          </w:p>
        </w:tc>
        <w:tc>
          <w:tcPr>
            <w:tcW w:w="899" w:type="pct"/>
            <w:tcMar>
              <w:left w:w="0" w:type="dxa"/>
              <w:right w:w="0" w:type="dxa"/>
            </w:tcMar>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环空水泥浆</w:t>
            </w:r>
          </w:p>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返      深</w:t>
            </w:r>
          </w:p>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2"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一开</w:t>
            </w:r>
          </w:p>
        </w:tc>
        <w:tc>
          <w:tcPr>
            <w:tcW w:w="584"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134~142</w:t>
            </w:r>
          </w:p>
        </w:tc>
        <w:tc>
          <w:tcPr>
            <w:tcW w:w="768"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342.9</w:t>
            </w:r>
          </w:p>
        </w:tc>
        <w:tc>
          <w:tcPr>
            <w:tcW w:w="659"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表层套管</w:t>
            </w:r>
          </w:p>
        </w:tc>
        <w:tc>
          <w:tcPr>
            <w:tcW w:w="671"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273.1</w:t>
            </w:r>
          </w:p>
        </w:tc>
        <w:tc>
          <w:tcPr>
            <w:tcW w:w="796"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133~141</w:t>
            </w:r>
          </w:p>
        </w:tc>
        <w:tc>
          <w:tcPr>
            <w:tcW w:w="899"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地面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2"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二开</w:t>
            </w:r>
          </w:p>
        </w:tc>
        <w:tc>
          <w:tcPr>
            <w:tcW w:w="584"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设计井深</w:t>
            </w:r>
          </w:p>
        </w:tc>
        <w:tc>
          <w:tcPr>
            <w:tcW w:w="768"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215.9</w:t>
            </w:r>
          </w:p>
        </w:tc>
        <w:tc>
          <w:tcPr>
            <w:tcW w:w="659"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生产套管</w:t>
            </w:r>
          </w:p>
        </w:tc>
        <w:tc>
          <w:tcPr>
            <w:tcW w:w="671"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139.7</w:t>
            </w:r>
          </w:p>
        </w:tc>
        <w:tc>
          <w:tcPr>
            <w:tcW w:w="796"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设计井深-3</w:t>
            </w:r>
          </w:p>
        </w:tc>
        <w:tc>
          <w:tcPr>
            <w:tcW w:w="899"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地面</w:t>
            </w:r>
          </w:p>
        </w:tc>
      </w:tr>
    </w:tbl>
    <w:tbl>
      <w:tblPr>
        <w:tblStyle w:val="8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1"/>
        <w:gridCol w:w="4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6" w:type="pct"/>
          </w:tcPr>
          <w:p>
            <w:pPr>
              <w:widowControl w:val="0"/>
              <w:tabs>
                <w:tab w:val="left" w:pos="-315"/>
              </w:tabs>
              <w:jc w:val="both"/>
              <w:rPr>
                <w:rFonts w:ascii="Times New Roman" w:hAnsi="Times New Roman" w:cs="Times New Roman" w:eastAsiaTheme="minorEastAsia"/>
                <w:color w:val="auto"/>
                <w:w w:val="99"/>
                <w:kern w:val="21"/>
                <w:highlight w:val="none"/>
              </w:rPr>
            </w:pPr>
            <w:r>
              <w:rPr>
                <w:rFonts w:hint="eastAsia" w:ascii="Times New Roman" w:hAnsi="Times New Roman" w:cs="Times New Roman" w:eastAsiaTheme="minorEastAsia"/>
                <w:color w:val="auto"/>
                <w:w w:val="99"/>
                <w:kern w:val="21"/>
                <w:highlight w:val="none"/>
              </w:rPr>
              <w:drawing>
                <wp:inline distT="0" distB="0" distL="114300" distR="114300">
                  <wp:extent cx="2722880" cy="3918585"/>
                  <wp:effectExtent l="0" t="0" r="1270" b="5715"/>
                  <wp:docPr id="54" name="图片 54" descr="ecda4c273dde008a8ecb5eb28efac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ecda4c273dde008a8ecb5eb28efac65"/>
                          <pic:cNvPicPr>
                            <a:picLocks noChangeAspect="1"/>
                          </pic:cNvPicPr>
                        </pic:nvPicPr>
                        <pic:blipFill>
                          <a:blip r:embed="rId13"/>
                          <a:stretch>
                            <a:fillRect/>
                          </a:stretch>
                        </pic:blipFill>
                        <pic:spPr>
                          <a:xfrm>
                            <a:off x="0" y="0"/>
                            <a:ext cx="2722880" cy="3918585"/>
                          </a:xfrm>
                          <a:prstGeom prst="rect">
                            <a:avLst/>
                          </a:prstGeom>
                        </pic:spPr>
                      </pic:pic>
                    </a:graphicData>
                  </a:graphic>
                </wp:inline>
              </w:drawing>
            </w:r>
          </w:p>
        </w:tc>
        <w:tc>
          <w:tcPr>
            <w:tcW w:w="2603" w:type="pct"/>
          </w:tcPr>
          <w:p>
            <w:pPr>
              <w:widowControl w:val="0"/>
              <w:tabs>
                <w:tab w:val="left" w:pos="-315"/>
              </w:tabs>
              <w:jc w:val="both"/>
              <w:rPr>
                <w:rFonts w:ascii="Times New Roman" w:hAnsi="Times New Roman" w:cs="Times New Roman" w:eastAsiaTheme="minorEastAsia"/>
                <w:color w:val="auto"/>
                <w:w w:val="99"/>
                <w:kern w:val="21"/>
                <w:highlight w:val="none"/>
              </w:rPr>
            </w:pPr>
            <w:r>
              <w:rPr>
                <w:rFonts w:hint="eastAsia" w:ascii="Times New Roman" w:hAnsi="Times New Roman" w:cs="Times New Roman" w:eastAsiaTheme="minorEastAsia"/>
                <w:color w:val="auto"/>
                <w:w w:val="99"/>
                <w:kern w:val="21"/>
                <w:highlight w:val="none"/>
              </w:rPr>
              <w:drawing>
                <wp:inline distT="0" distB="0" distL="114300" distR="114300">
                  <wp:extent cx="2965450" cy="3907790"/>
                  <wp:effectExtent l="0" t="0" r="6350" b="16510"/>
                  <wp:docPr id="55" name="图片 55" descr="3d5c5ba8301da165a90adcdb17e90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3d5c5ba8301da165a90adcdb17e909f"/>
                          <pic:cNvPicPr>
                            <a:picLocks noChangeAspect="1"/>
                          </pic:cNvPicPr>
                        </pic:nvPicPr>
                        <pic:blipFill>
                          <a:blip r:embed="rId14"/>
                          <a:stretch>
                            <a:fillRect/>
                          </a:stretch>
                        </pic:blipFill>
                        <pic:spPr>
                          <a:xfrm>
                            <a:off x="0" y="0"/>
                            <a:ext cx="2965450" cy="39077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6" w:type="pct"/>
          </w:tcPr>
          <w:p>
            <w:pPr>
              <w:widowControl w:val="0"/>
              <w:tabs>
                <w:tab w:val="left" w:pos="-315"/>
              </w:tabs>
              <w:jc w:val="center"/>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 xml:space="preserve">图3.3-1   </w:t>
            </w:r>
            <w:r>
              <w:rPr>
                <w:rFonts w:hint="eastAsia" w:ascii="Times New Roman" w:hAnsi="Times New Roman" w:cs="Times New Roman" w:eastAsiaTheme="minorEastAsia"/>
                <w:color w:val="auto"/>
                <w:w w:val="99"/>
                <w:kern w:val="21"/>
                <w:highlight w:val="none"/>
              </w:rPr>
              <w:t>直</w:t>
            </w:r>
            <w:r>
              <w:rPr>
                <w:rFonts w:ascii="Times New Roman" w:hAnsi="Times New Roman" w:cs="Times New Roman" w:eastAsiaTheme="minorEastAsia"/>
                <w:color w:val="auto"/>
                <w:w w:val="99"/>
                <w:kern w:val="21"/>
                <w:highlight w:val="none"/>
              </w:rPr>
              <w:t>井井身结构示意图</w:t>
            </w:r>
          </w:p>
        </w:tc>
        <w:tc>
          <w:tcPr>
            <w:tcW w:w="2603" w:type="pct"/>
          </w:tcPr>
          <w:p>
            <w:pPr>
              <w:widowControl w:val="0"/>
              <w:tabs>
                <w:tab w:val="left" w:pos="-315"/>
              </w:tabs>
              <w:jc w:val="center"/>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图3.3-</w:t>
            </w:r>
            <w:r>
              <w:rPr>
                <w:rFonts w:hint="eastAsia" w:ascii="Times New Roman" w:hAnsi="Times New Roman" w:cs="Times New Roman" w:eastAsiaTheme="minorEastAsia"/>
                <w:color w:val="auto"/>
                <w:w w:val="99"/>
                <w:kern w:val="21"/>
                <w:highlight w:val="none"/>
              </w:rPr>
              <w:t>2</w:t>
            </w:r>
            <w:r>
              <w:rPr>
                <w:rFonts w:ascii="Times New Roman" w:hAnsi="Times New Roman" w:cs="Times New Roman" w:eastAsiaTheme="minorEastAsia"/>
                <w:color w:val="auto"/>
                <w:w w:val="99"/>
                <w:kern w:val="21"/>
                <w:highlight w:val="none"/>
              </w:rPr>
              <w:t xml:space="preserve">      定向井井身结构示意图</w:t>
            </w:r>
          </w:p>
        </w:tc>
      </w:tr>
    </w:tbl>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3.3.1.3钻机选型及钻井主要设备</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本项目</w:t>
      </w:r>
      <w:r>
        <w:rPr>
          <w:rFonts w:ascii="Times New Roman" w:hAnsi="Times New Roman" w:cs="Times New Roman" w:eastAsiaTheme="minorEastAsia"/>
          <w:bCs/>
          <w:color w:val="auto"/>
          <w:w w:val="99"/>
          <w:kern w:val="21"/>
          <w:highlight w:val="none"/>
        </w:rPr>
        <w:t>选用ZJ-20/1350钻机</w:t>
      </w:r>
      <w:r>
        <w:rPr>
          <w:rFonts w:ascii="Times New Roman" w:hAnsi="Times New Roman" w:cs="Times New Roman" w:eastAsiaTheme="minorEastAsia"/>
          <w:color w:val="auto"/>
          <w:w w:val="99"/>
          <w:kern w:val="21"/>
          <w:highlight w:val="none"/>
        </w:rPr>
        <w:t>。钻机及钻井主要设备性能参数见表3.3-3。</w:t>
      </w:r>
    </w:p>
    <w:p>
      <w:pPr>
        <w:pStyle w:val="103"/>
        <w:spacing w:line="500" w:lineRule="exact"/>
        <w:ind w:firstLine="474" w:firstLineChars="200"/>
        <w:jc w:val="both"/>
        <w:rPr>
          <w:b/>
          <w:bCs/>
          <w:color w:val="auto"/>
          <w:w w:val="99"/>
          <w:kern w:val="21"/>
          <w:highlight w:val="none"/>
        </w:rPr>
      </w:pPr>
      <w:r>
        <w:rPr>
          <w:rFonts w:eastAsiaTheme="minorEastAsia"/>
          <w:b/>
          <w:bCs/>
          <w:color w:val="auto"/>
          <w:w w:val="99"/>
          <w:kern w:val="21"/>
          <w:highlight w:val="none"/>
        </w:rPr>
        <w:t xml:space="preserve">表3.3-3           </w:t>
      </w:r>
      <w:r>
        <w:rPr>
          <w:b/>
          <w:bCs/>
          <w:color w:val="auto"/>
          <w:w w:val="99"/>
          <w:kern w:val="21"/>
          <w:highlight w:val="none"/>
        </w:rPr>
        <w:t>ZJ-20/1350钻机及钻井主要设备性能参数</w:t>
      </w:r>
    </w:p>
    <w:tbl>
      <w:tblPr>
        <w:tblStyle w:val="8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134"/>
        <w:gridCol w:w="1524"/>
        <w:gridCol w:w="2475"/>
        <w:gridCol w:w="1938"/>
        <w:gridCol w:w="12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序号</w:t>
            </w:r>
          </w:p>
        </w:tc>
        <w:tc>
          <w:tcPr>
            <w:tcW w:w="2658" w:type="dxa"/>
            <w:gridSpan w:val="2"/>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名   称</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型   号</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主要技术参数</w:t>
            </w:r>
          </w:p>
        </w:tc>
        <w:tc>
          <w:tcPr>
            <w:tcW w:w="1292"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备  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w:t>
            </w:r>
          </w:p>
        </w:tc>
        <w:tc>
          <w:tcPr>
            <w:tcW w:w="2658" w:type="dxa"/>
            <w:gridSpan w:val="2"/>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钻机</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ZJ-20/1350</w:t>
            </w:r>
          </w:p>
        </w:tc>
        <w:tc>
          <w:tcPr>
            <w:tcW w:w="1938" w:type="dxa"/>
            <w:vAlign w:val="center"/>
          </w:tcPr>
          <w:p>
            <w:pPr>
              <w:spacing w:line="320" w:lineRule="exact"/>
              <w:jc w:val="center"/>
              <w:rPr>
                <w:rFonts w:ascii="Times New Roman" w:hAnsi="Times New Roman"/>
                <w:color w:val="auto"/>
                <w:w w:val="99"/>
                <w:sz w:val="21"/>
                <w:szCs w:val="21"/>
                <w:highlight w:val="none"/>
              </w:rPr>
            </w:pP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w:t>
            </w:r>
          </w:p>
        </w:tc>
        <w:tc>
          <w:tcPr>
            <w:tcW w:w="2658" w:type="dxa"/>
            <w:gridSpan w:val="2"/>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井架</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JJ135/39-A</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1350 kN</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restar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3</w:t>
            </w:r>
          </w:p>
        </w:tc>
        <w:tc>
          <w:tcPr>
            <w:tcW w:w="1134" w:type="dxa"/>
            <w:vMerge w:val="restar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提升系统</w:t>
            </w: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天车</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TC-162</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1620 kN</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pPr>
              <w:spacing w:line="320" w:lineRule="exact"/>
              <w:jc w:val="center"/>
              <w:rPr>
                <w:rFonts w:ascii="Times New Roman" w:hAnsi="Times New Roman"/>
                <w:color w:val="auto"/>
                <w:w w:val="99"/>
                <w:sz w:val="21"/>
                <w:szCs w:val="21"/>
                <w:highlight w:val="none"/>
              </w:rPr>
            </w:pPr>
          </w:p>
        </w:tc>
        <w:tc>
          <w:tcPr>
            <w:tcW w:w="1134" w:type="dxa"/>
            <w:vMerge w:val="continue"/>
            <w:vAlign w:val="center"/>
          </w:tcPr>
          <w:p>
            <w:pPr>
              <w:spacing w:line="320" w:lineRule="exact"/>
              <w:jc w:val="center"/>
              <w:rPr>
                <w:rFonts w:ascii="Times New Roman" w:hAnsi="Times New Roman"/>
                <w:color w:val="auto"/>
                <w:w w:val="99"/>
                <w:sz w:val="21"/>
                <w:szCs w:val="21"/>
                <w:highlight w:val="none"/>
              </w:rPr>
            </w:pP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游动滑车</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YC-162</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1620 kN</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pPr>
              <w:spacing w:line="320" w:lineRule="exact"/>
              <w:jc w:val="center"/>
              <w:rPr>
                <w:rFonts w:ascii="Times New Roman" w:hAnsi="Times New Roman"/>
                <w:color w:val="auto"/>
                <w:w w:val="99"/>
                <w:sz w:val="21"/>
                <w:szCs w:val="21"/>
                <w:highlight w:val="none"/>
              </w:rPr>
            </w:pPr>
          </w:p>
        </w:tc>
        <w:tc>
          <w:tcPr>
            <w:tcW w:w="1134" w:type="dxa"/>
            <w:vMerge w:val="continue"/>
            <w:vAlign w:val="center"/>
          </w:tcPr>
          <w:p>
            <w:pPr>
              <w:spacing w:line="320" w:lineRule="exact"/>
              <w:jc w:val="center"/>
              <w:rPr>
                <w:rFonts w:ascii="Times New Roman" w:hAnsi="Times New Roman"/>
                <w:color w:val="auto"/>
                <w:w w:val="99"/>
                <w:sz w:val="21"/>
                <w:szCs w:val="21"/>
                <w:highlight w:val="none"/>
              </w:rPr>
            </w:pP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大钩</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DG-162</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1620 kN</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pPr>
              <w:spacing w:line="320" w:lineRule="exact"/>
              <w:jc w:val="center"/>
              <w:rPr>
                <w:rFonts w:ascii="Times New Roman" w:hAnsi="Times New Roman"/>
                <w:color w:val="auto"/>
                <w:w w:val="99"/>
                <w:sz w:val="21"/>
                <w:szCs w:val="21"/>
                <w:highlight w:val="none"/>
              </w:rPr>
            </w:pPr>
          </w:p>
        </w:tc>
        <w:tc>
          <w:tcPr>
            <w:tcW w:w="1134" w:type="dxa"/>
            <w:vMerge w:val="continue"/>
            <w:vAlign w:val="center"/>
          </w:tcPr>
          <w:p>
            <w:pPr>
              <w:spacing w:line="320" w:lineRule="exact"/>
              <w:jc w:val="center"/>
              <w:rPr>
                <w:rFonts w:ascii="Times New Roman" w:hAnsi="Times New Roman"/>
                <w:color w:val="auto"/>
                <w:w w:val="99"/>
                <w:sz w:val="21"/>
                <w:szCs w:val="21"/>
                <w:highlight w:val="none"/>
              </w:rPr>
            </w:pP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水龙头</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SL-160</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1600 kN</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pPr>
              <w:spacing w:line="320" w:lineRule="exact"/>
              <w:jc w:val="center"/>
              <w:rPr>
                <w:rFonts w:ascii="Times New Roman" w:hAnsi="Times New Roman"/>
                <w:color w:val="auto"/>
                <w:w w:val="99"/>
                <w:sz w:val="21"/>
                <w:szCs w:val="21"/>
                <w:highlight w:val="none"/>
              </w:rPr>
            </w:pPr>
          </w:p>
        </w:tc>
        <w:tc>
          <w:tcPr>
            <w:tcW w:w="1134" w:type="dxa"/>
            <w:vMerge w:val="continue"/>
            <w:vAlign w:val="center"/>
          </w:tcPr>
          <w:p>
            <w:pPr>
              <w:spacing w:line="320" w:lineRule="exact"/>
              <w:jc w:val="center"/>
              <w:rPr>
                <w:rFonts w:ascii="Times New Roman" w:hAnsi="Times New Roman"/>
                <w:color w:val="auto"/>
                <w:w w:val="99"/>
                <w:sz w:val="21"/>
                <w:szCs w:val="21"/>
                <w:highlight w:val="none"/>
              </w:rPr>
            </w:pP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绞车</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JC-20</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196 kN</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4</w:t>
            </w:r>
          </w:p>
        </w:tc>
        <w:tc>
          <w:tcPr>
            <w:tcW w:w="2658" w:type="dxa"/>
            <w:gridSpan w:val="2"/>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转盘</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ZP-175</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1350 kN</w:t>
            </w:r>
          </w:p>
        </w:tc>
        <w:tc>
          <w:tcPr>
            <w:tcW w:w="1292"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13.73kN·m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restar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5</w:t>
            </w:r>
          </w:p>
        </w:tc>
        <w:tc>
          <w:tcPr>
            <w:tcW w:w="1134" w:type="dxa"/>
            <w:vMerge w:val="restar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循环系统</w:t>
            </w: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搅拌机</w:t>
            </w:r>
          </w:p>
        </w:tc>
        <w:tc>
          <w:tcPr>
            <w:tcW w:w="2475" w:type="dxa"/>
            <w:vAlign w:val="center"/>
          </w:tcPr>
          <w:p>
            <w:pPr>
              <w:spacing w:line="320" w:lineRule="exact"/>
              <w:jc w:val="center"/>
              <w:rPr>
                <w:rFonts w:ascii="Times New Roman" w:hAnsi="Times New Roman"/>
                <w:color w:val="auto"/>
                <w:w w:val="99"/>
                <w:sz w:val="21"/>
                <w:szCs w:val="21"/>
                <w:highlight w:val="none"/>
              </w:rPr>
            </w:pP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7.5 kW</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pPr>
              <w:spacing w:line="320" w:lineRule="exact"/>
              <w:jc w:val="center"/>
              <w:rPr>
                <w:rFonts w:ascii="Times New Roman" w:hAnsi="Times New Roman"/>
                <w:color w:val="auto"/>
                <w:w w:val="99"/>
                <w:sz w:val="21"/>
                <w:szCs w:val="21"/>
                <w:highlight w:val="none"/>
              </w:rPr>
            </w:pPr>
          </w:p>
        </w:tc>
        <w:tc>
          <w:tcPr>
            <w:tcW w:w="1134" w:type="dxa"/>
            <w:vMerge w:val="continue"/>
            <w:vAlign w:val="center"/>
          </w:tcPr>
          <w:p>
            <w:pPr>
              <w:spacing w:line="320" w:lineRule="exact"/>
              <w:jc w:val="center"/>
              <w:rPr>
                <w:rFonts w:ascii="Times New Roman" w:hAnsi="Times New Roman"/>
                <w:color w:val="auto"/>
                <w:w w:val="99"/>
                <w:sz w:val="21"/>
                <w:szCs w:val="21"/>
                <w:highlight w:val="none"/>
              </w:rPr>
            </w:pP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钻井泵1#</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SL3NB-1300A</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956 kW</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pPr>
              <w:spacing w:line="320" w:lineRule="exact"/>
              <w:jc w:val="center"/>
              <w:rPr>
                <w:rFonts w:ascii="Times New Roman" w:hAnsi="Times New Roman"/>
                <w:color w:val="auto"/>
                <w:w w:val="99"/>
                <w:sz w:val="21"/>
                <w:szCs w:val="21"/>
                <w:highlight w:val="none"/>
              </w:rPr>
            </w:pPr>
          </w:p>
        </w:tc>
        <w:tc>
          <w:tcPr>
            <w:tcW w:w="1134" w:type="dxa"/>
            <w:vMerge w:val="continue"/>
            <w:vAlign w:val="center"/>
          </w:tcPr>
          <w:p>
            <w:pPr>
              <w:spacing w:line="320" w:lineRule="exact"/>
              <w:jc w:val="center"/>
              <w:rPr>
                <w:rFonts w:ascii="Times New Roman" w:hAnsi="Times New Roman"/>
                <w:color w:val="auto"/>
                <w:w w:val="99"/>
                <w:sz w:val="21"/>
                <w:szCs w:val="21"/>
                <w:highlight w:val="none"/>
              </w:rPr>
            </w:pP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钻井泵2#</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SL3NB-1300A</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956 kW</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pPr>
              <w:spacing w:line="320" w:lineRule="exact"/>
              <w:jc w:val="center"/>
              <w:rPr>
                <w:rFonts w:ascii="Times New Roman" w:hAnsi="Times New Roman"/>
                <w:color w:val="auto"/>
                <w:w w:val="99"/>
                <w:sz w:val="21"/>
                <w:szCs w:val="21"/>
                <w:highlight w:val="none"/>
              </w:rPr>
            </w:pPr>
          </w:p>
        </w:tc>
        <w:tc>
          <w:tcPr>
            <w:tcW w:w="1134" w:type="dxa"/>
            <w:vMerge w:val="continue"/>
            <w:vAlign w:val="center"/>
          </w:tcPr>
          <w:p>
            <w:pPr>
              <w:spacing w:line="320" w:lineRule="exact"/>
              <w:jc w:val="center"/>
              <w:rPr>
                <w:rFonts w:ascii="Times New Roman" w:hAnsi="Times New Roman"/>
                <w:color w:val="auto"/>
                <w:w w:val="99"/>
                <w:sz w:val="21"/>
                <w:szCs w:val="21"/>
                <w:highlight w:val="none"/>
              </w:rPr>
            </w:pP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钻井液罐</w:t>
            </w:r>
          </w:p>
        </w:tc>
        <w:tc>
          <w:tcPr>
            <w:tcW w:w="2475" w:type="dxa"/>
            <w:vAlign w:val="center"/>
          </w:tcPr>
          <w:p>
            <w:pPr>
              <w:spacing w:line="320" w:lineRule="exact"/>
              <w:jc w:val="center"/>
              <w:rPr>
                <w:rFonts w:ascii="Times New Roman" w:hAnsi="Times New Roman"/>
                <w:color w:val="auto"/>
                <w:w w:val="99"/>
                <w:sz w:val="21"/>
                <w:szCs w:val="21"/>
                <w:highlight w:val="none"/>
              </w:rPr>
            </w:pPr>
          </w:p>
        </w:tc>
        <w:tc>
          <w:tcPr>
            <w:tcW w:w="1938" w:type="dxa"/>
            <w:vAlign w:val="center"/>
          </w:tcPr>
          <w:p>
            <w:pPr>
              <w:spacing w:line="320" w:lineRule="exact"/>
              <w:jc w:val="center"/>
              <w:rPr>
                <w:rFonts w:ascii="Times New Roman" w:hAnsi="Times New Roman"/>
                <w:color w:val="auto"/>
                <w:w w:val="99"/>
                <w:sz w:val="21"/>
                <w:szCs w:val="21"/>
                <w:highlight w:val="none"/>
              </w:rPr>
            </w:pP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restar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6</w:t>
            </w:r>
          </w:p>
        </w:tc>
        <w:tc>
          <w:tcPr>
            <w:tcW w:w="1134" w:type="dxa"/>
            <w:vMerge w:val="restar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动力系统</w:t>
            </w: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柴油机1#</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PZ12V  190B</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882 kW</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pPr>
              <w:spacing w:line="320" w:lineRule="exact"/>
              <w:jc w:val="center"/>
              <w:rPr>
                <w:rFonts w:ascii="Times New Roman" w:hAnsi="Times New Roman"/>
                <w:color w:val="auto"/>
                <w:w w:val="99"/>
                <w:sz w:val="21"/>
                <w:szCs w:val="21"/>
                <w:highlight w:val="none"/>
              </w:rPr>
            </w:pPr>
          </w:p>
        </w:tc>
        <w:tc>
          <w:tcPr>
            <w:tcW w:w="1134" w:type="dxa"/>
            <w:vMerge w:val="continue"/>
            <w:vAlign w:val="center"/>
          </w:tcPr>
          <w:p>
            <w:pPr>
              <w:spacing w:line="320" w:lineRule="exact"/>
              <w:jc w:val="center"/>
              <w:rPr>
                <w:rFonts w:ascii="Times New Roman" w:hAnsi="Times New Roman"/>
                <w:color w:val="auto"/>
                <w:w w:val="99"/>
                <w:sz w:val="21"/>
                <w:szCs w:val="21"/>
                <w:highlight w:val="none"/>
              </w:rPr>
            </w:pP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柴油机2#</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PZ12V  190B</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882 kW</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pPr>
              <w:spacing w:line="320" w:lineRule="exact"/>
              <w:jc w:val="center"/>
              <w:rPr>
                <w:rFonts w:ascii="Times New Roman" w:hAnsi="Times New Roman"/>
                <w:color w:val="auto"/>
                <w:w w:val="99"/>
                <w:sz w:val="21"/>
                <w:szCs w:val="21"/>
                <w:highlight w:val="none"/>
              </w:rPr>
            </w:pPr>
          </w:p>
        </w:tc>
        <w:tc>
          <w:tcPr>
            <w:tcW w:w="1134" w:type="dxa"/>
            <w:vMerge w:val="continue"/>
            <w:vAlign w:val="center"/>
          </w:tcPr>
          <w:p>
            <w:pPr>
              <w:spacing w:line="320" w:lineRule="exact"/>
              <w:jc w:val="center"/>
              <w:rPr>
                <w:rFonts w:ascii="Times New Roman" w:hAnsi="Times New Roman"/>
                <w:color w:val="auto"/>
                <w:w w:val="99"/>
                <w:sz w:val="21"/>
                <w:szCs w:val="21"/>
                <w:highlight w:val="none"/>
              </w:rPr>
            </w:pP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发电机1#</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12V135</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200 kW</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pPr>
              <w:spacing w:line="320" w:lineRule="exact"/>
              <w:jc w:val="center"/>
              <w:rPr>
                <w:rFonts w:ascii="Times New Roman" w:hAnsi="Times New Roman"/>
                <w:color w:val="auto"/>
                <w:w w:val="99"/>
                <w:sz w:val="21"/>
                <w:szCs w:val="21"/>
                <w:highlight w:val="none"/>
              </w:rPr>
            </w:pPr>
          </w:p>
        </w:tc>
        <w:tc>
          <w:tcPr>
            <w:tcW w:w="1134" w:type="dxa"/>
            <w:vMerge w:val="continue"/>
            <w:vAlign w:val="center"/>
          </w:tcPr>
          <w:p>
            <w:pPr>
              <w:spacing w:line="320" w:lineRule="exact"/>
              <w:jc w:val="center"/>
              <w:rPr>
                <w:rFonts w:ascii="Times New Roman" w:hAnsi="Times New Roman"/>
                <w:color w:val="auto"/>
                <w:w w:val="99"/>
                <w:sz w:val="21"/>
                <w:szCs w:val="21"/>
                <w:highlight w:val="none"/>
              </w:rPr>
            </w:pP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发电机2#</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12V135</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200 kW</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restar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7</w:t>
            </w:r>
          </w:p>
        </w:tc>
        <w:tc>
          <w:tcPr>
            <w:tcW w:w="1134" w:type="dxa"/>
            <w:vMerge w:val="restar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钻机控制系统</w:t>
            </w: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自动压风机</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5.5/12V</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5.5 kW</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pPr>
              <w:spacing w:line="320" w:lineRule="exact"/>
              <w:jc w:val="center"/>
              <w:rPr>
                <w:rFonts w:ascii="Times New Roman" w:hAnsi="Times New Roman"/>
                <w:color w:val="auto"/>
                <w:w w:val="99"/>
                <w:sz w:val="21"/>
                <w:szCs w:val="21"/>
                <w:highlight w:val="none"/>
              </w:rPr>
            </w:pPr>
          </w:p>
        </w:tc>
        <w:tc>
          <w:tcPr>
            <w:tcW w:w="1134" w:type="dxa"/>
            <w:vMerge w:val="continue"/>
            <w:vAlign w:val="center"/>
          </w:tcPr>
          <w:p>
            <w:pPr>
              <w:spacing w:line="320" w:lineRule="exact"/>
              <w:jc w:val="center"/>
              <w:rPr>
                <w:rFonts w:ascii="Times New Roman" w:hAnsi="Times New Roman"/>
                <w:color w:val="auto"/>
                <w:w w:val="99"/>
                <w:sz w:val="21"/>
                <w:szCs w:val="21"/>
                <w:highlight w:val="none"/>
              </w:rPr>
            </w:pP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电动压风机</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5.5/12V</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5.5 kW</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restar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8</w:t>
            </w:r>
          </w:p>
        </w:tc>
        <w:tc>
          <w:tcPr>
            <w:tcW w:w="1134" w:type="dxa"/>
            <w:vMerge w:val="restar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固控设备</w:t>
            </w: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振动筛</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2YNS-D</w:t>
            </w:r>
          </w:p>
        </w:tc>
        <w:tc>
          <w:tcPr>
            <w:tcW w:w="1938" w:type="dxa"/>
            <w:vAlign w:val="center"/>
          </w:tcPr>
          <w:p>
            <w:pPr>
              <w:spacing w:line="320" w:lineRule="exact"/>
              <w:jc w:val="center"/>
              <w:rPr>
                <w:rFonts w:ascii="Times New Roman" w:hAnsi="Times New Roman"/>
                <w:color w:val="auto"/>
                <w:w w:val="99"/>
                <w:sz w:val="21"/>
                <w:szCs w:val="21"/>
                <w:highlight w:val="none"/>
              </w:rPr>
            </w:pPr>
          </w:p>
        </w:tc>
        <w:tc>
          <w:tcPr>
            <w:tcW w:w="1292"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pPr>
              <w:spacing w:line="320" w:lineRule="exact"/>
              <w:jc w:val="center"/>
              <w:rPr>
                <w:rFonts w:ascii="Times New Roman" w:hAnsi="Times New Roman"/>
                <w:color w:val="auto"/>
                <w:w w:val="99"/>
                <w:sz w:val="21"/>
                <w:szCs w:val="21"/>
                <w:highlight w:val="none"/>
              </w:rPr>
            </w:pPr>
          </w:p>
        </w:tc>
        <w:tc>
          <w:tcPr>
            <w:tcW w:w="1134" w:type="dxa"/>
            <w:vMerge w:val="continue"/>
            <w:vAlign w:val="center"/>
          </w:tcPr>
          <w:p>
            <w:pPr>
              <w:spacing w:line="320" w:lineRule="exact"/>
              <w:jc w:val="center"/>
              <w:rPr>
                <w:rFonts w:ascii="Times New Roman" w:hAnsi="Times New Roman"/>
                <w:color w:val="auto"/>
                <w:w w:val="99"/>
                <w:sz w:val="21"/>
                <w:szCs w:val="21"/>
                <w:highlight w:val="none"/>
              </w:rPr>
            </w:pP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除砂器</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MCS-300×1</w:t>
            </w:r>
          </w:p>
        </w:tc>
        <w:tc>
          <w:tcPr>
            <w:tcW w:w="1938" w:type="dxa"/>
            <w:vAlign w:val="center"/>
          </w:tcPr>
          <w:p>
            <w:pPr>
              <w:spacing w:line="320" w:lineRule="exact"/>
              <w:jc w:val="center"/>
              <w:rPr>
                <w:rFonts w:ascii="Times New Roman" w:hAnsi="Times New Roman"/>
                <w:color w:val="auto"/>
                <w:w w:val="99"/>
                <w:sz w:val="21"/>
                <w:szCs w:val="21"/>
                <w:highlight w:val="none"/>
              </w:rPr>
            </w:pPr>
          </w:p>
        </w:tc>
        <w:tc>
          <w:tcPr>
            <w:tcW w:w="1292" w:type="dxa"/>
            <w:vAlign w:val="center"/>
          </w:tcPr>
          <w:p>
            <w:pPr>
              <w:pStyle w:val="1704"/>
              <w:spacing w:after="0" w:line="320" w:lineRule="exact"/>
              <w:rPr>
                <w:rFonts w:ascii="Times New Roman" w:hAnsi="Times New Roman" w:eastAsia="宋体"/>
                <w:color w:val="auto"/>
                <w:w w:val="99"/>
                <w:kern w:val="0"/>
                <w:szCs w:val="21"/>
                <w:highlight w:val="none"/>
              </w:rPr>
            </w:pPr>
            <w:r>
              <w:rPr>
                <w:rFonts w:ascii="Times New Roman" w:hAnsi="Times New Roman" w:eastAsia="宋体"/>
                <w:color w:val="auto"/>
                <w:w w:val="99"/>
                <w:kern w:val="0"/>
                <w:szCs w:val="21"/>
                <w:highlight w:val="none"/>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9</w:t>
            </w:r>
          </w:p>
        </w:tc>
        <w:tc>
          <w:tcPr>
            <w:tcW w:w="2658" w:type="dxa"/>
            <w:gridSpan w:val="2"/>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液压大钳</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YQ-100</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100kN•m</w:t>
            </w:r>
          </w:p>
        </w:tc>
        <w:tc>
          <w:tcPr>
            <w:tcW w:w="1292" w:type="dxa"/>
            <w:vAlign w:val="center"/>
          </w:tcPr>
          <w:p>
            <w:pPr>
              <w:spacing w:line="320" w:lineRule="exact"/>
              <w:jc w:val="center"/>
              <w:rPr>
                <w:rFonts w:ascii="Times New Roman" w:hAnsi="Times New Roman"/>
                <w:color w:val="auto"/>
                <w:w w:val="99"/>
                <w:sz w:val="21"/>
                <w:szCs w:val="21"/>
                <w:highlight w:val="none"/>
              </w:rPr>
            </w:pPr>
          </w:p>
        </w:tc>
      </w:tr>
    </w:tbl>
    <w:p>
      <w:pPr>
        <w:widowControl w:val="0"/>
        <w:spacing w:line="500" w:lineRule="exact"/>
        <w:ind w:firstLine="474" w:firstLineChars="200"/>
        <w:rPr>
          <w:rFonts w:ascii="Times New Roman" w:hAnsi="Times New Roman" w:eastAsia="黑体"/>
          <w:b/>
          <w:color w:val="auto"/>
          <w:w w:val="99"/>
          <w:highlight w:val="none"/>
        </w:rPr>
      </w:pPr>
      <w:r>
        <w:rPr>
          <w:rFonts w:ascii="Times New Roman" w:hAnsi="Times New Roman" w:eastAsia="黑体"/>
          <w:b/>
          <w:color w:val="auto"/>
          <w:w w:val="99"/>
          <w:highlight w:val="none"/>
        </w:rPr>
        <w:t xml:space="preserve"> 3.3.1.4钻井液</w:t>
      </w:r>
    </w:p>
    <w:p>
      <w:pPr>
        <w:widowControl w:val="0"/>
        <w:tabs>
          <w:tab w:val="left" w:pos="-315"/>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本工程钻井均采用了无毒无害或毒性极小的水基钻井泥浆，钻井一开采用膨润土混浆，二开采用钾盐共聚物钻井液体系。膨润土混浆主要成分是水、膨润土、纯碱等；钾盐共聚物钻井液体系，钻井液主要成分膨润土、纯碱、超细碳酸钙、润滑剂等。一开二开采用的钻液均为水基钻井液，非油基钻井液。本工程采用的钻井液具有较强的悬浮携沙能力和良好的抑制防塌能力，具有一定的抗污染和抗高温能力。钻井液密度随钻井深度加大而增加，范围为1.05~1.36g/cm</w:t>
      </w:r>
      <w:r>
        <w:rPr>
          <w:rFonts w:ascii="Times New Roman" w:hAnsi="Times New Roman" w:cs="Times New Roman" w:eastAsiaTheme="minorEastAsia"/>
          <w:bCs/>
          <w:color w:val="auto"/>
          <w:w w:val="99"/>
          <w:kern w:val="21"/>
          <w:highlight w:val="none"/>
          <w:vertAlign w:val="superscript"/>
        </w:rPr>
        <w:t>3</w:t>
      </w:r>
      <w:r>
        <w:rPr>
          <w:rFonts w:ascii="Times New Roman" w:hAnsi="Times New Roman" w:cs="Times New Roman" w:eastAsiaTheme="minorEastAsia"/>
          <w:bCs/>
          <w:color w:val="auto"/>
          <w:w w:val="99"/>
          <w:kern w:val="21"/>
          <w:highlight w:val="none"/>
        </w:rPr>
        <w:t>，pH值为8-9。工程配制钻井液的成分除氢氢化钾具中毒性、重晶石粉为轻微毒性外，其余成分均为无毒性物质。而氢氢化钾在配制钻井液过程中全部电离，反应生成物无毒性；重晶石粉成分为硫酸钡，具轻微毒性，但硫酸钡不溶于水，对环境不会造成危害。所以本工程使用的钻井液为低毒物质，对环境影响较小。具体钻井液材料用量设计见</w:t>
      </w:r>
      <w:r>
        <w:rPr>
          <w:rFonts w:ascii="Times New Roman" w:hAnsi="Times New Roman" w:cs="Times New Roman" w:eastAsiaTheme="minorEastAsia"/>
          <w:color w:val="auto"/>
          <w:w w:val="99"/>
          <w:kern w:val="21"/>
          <w:highlight w:val="none"/>
        </w:rPr>
        <w:t>表3.3-4</w:t>
      </w:r>
      <w:r>
        <w:rPr>
          <w:rFonts w:ascii="Times New Roman" w:hAnsi="Times New Roman" w:cs="Times New Roman" w:eastAsiaTheme="minorEastAsia"/>
          <w:bCs/>
          <w:color w:val="auto"/>
          <w:w w:val="99"/>
          <w:kern w:val="21"/>
          <w:highlight w:val="none"/>
        </w:rPr>
        <w:t>。</w:t>
      </w:r>
    </w:p>
    <w:p>
      <w:pPr>
        <w:widowControl w:val="0"/>
        <w:tabs>
          <w:tab w:val="left" w:pos="-315"/>
        </w:tabs>
        <w:spacing w:line="500" w:lineRule="exact"/>
        <w:ind w:firstLine="474" w:firstLineChars="200"/>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1"/>
          <w:highlight w:val="none"/>
        </w:rPr>
        <w:t>表3.3-4                钻井液材料用量设计数据表</w:t>
      </w:r>
    </w:p>
    <w:tbl>
      <w:tblPr>
        <w:tblStyle w:val="8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93"/>
        <w:gridCol w:w="1241"/>
        <w:gridCol w:w="1532"/>
        <w:gridCol w:w="2437"/>
        <w:gridCol w:w="15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tcBorders>
              <w:top w:val="single" w:color="auto" w:sz="12" w:space="0"/>
              <w:left w:val="nil"/>
              <w:bottom w:val="single" w:color="auto" w:sz="4" w:space="0"/>
              <w:right w:val="single" w:color="auto" w:sz="4" w:space="0"/>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开钻次序</w:t>
            </w:r>
          </w:p>
        </w:tc>
        <w:tc>
          <w:tcPr>
            <w:tcW w:w="1493" w:type="pct"/>
            <w:gridSpan w:val="2"/>
            <w:tcBorders>
              <w:top w:val="single" w:color="auto" w:sz="12"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一开</w:t>
            </w:r>
          </w:p>
        </w:tc>
        <w:tc>
          <w:tcPr>
            <w:tcW w:w="2165" w:type="pct"/>
            <w:gridSpan w:val="2"/>
            <w:tcBorders>
              <w:top w:val="single" w:color="auto" w:sz="12" w:space="0"/>
              <w:left w:val="single" w:color="auto" w:sz="4" w:space="0"/>
              <w:bottom w:val="single" w:color="auto" w:sz="4" w:space="0"/>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二开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tcBorders>
              <w:top w:val="single" w:color="auto" w:sz="4" w:space="0"/>
              <w:left w:val="nil"/>
              <w:bottom w:val="single" w:color="auto" w:sz="4" w:space="0"/>
              <w:right w:val="single" w:color="auto" w:sz="4" w:space="0"/>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钻头尺寸（mm）</w:t>
            </w:r>
          </w:p>
        </w:tc>
        <w:tc>
          <w:tcPr>
            <w:tcW w:w="1493" w:type="pct"/>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342.9</w:t>
            </w:r>
          </w:p>
        </w:tc>
        <w:tc>
          <w:tcPr>
            <w:tcW w:w="2165" w:type="pct"/>
            <w:gridSpan w:val="2"/>
            <w:tcBorders>
              <w:top w:val="single" w:color="auto" w:sz="4" w:space="0"/>
              <w:left w:val="single" w:color="auto" w:sz="4" w:space="0"/>
              <w:bottom w:val="single" w:color="auto" w:sz="4" w:space="0"/>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215.9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tcBorders>
              <w:top w:val="single" w:color="auto" w:sz="4" w:space="0"/>
              <w:left w:val="nil"/>
              <w:right w:val="single" w:color="auto" w:sz="4" w:space="0"/>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井段（m~m）</w:t>
            </w:r>
          </w:p>
        </w:tc>
        <w:tc>
          <w:tcPr>
            <w:tcW w:w="1493" w:type="pct"/>
            <w:gridSpan w:val="2"/>
            <w:tcBorders>
              <w:top w:val="single" w:color="auto" w:sz="4" w:space="0"/>
              <w:left w:val="single" w:color="auto" w:sz="4" w:space="0"/>
              <w:right w:val="single" w:color="auto" w:sz="4" w:space="0"/>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0~142</w:t>
            </w:r>
          </w:p>
        </w:tc>
        <w:tc>
          <w:tcPr>
            <w:tcW w:w="2165" w:type="pct"/>
            <w:gridSpan w:val="2"/>
            <w:tcBorders>
              <w:top w:val="single" w:color="auto" w:sz="4" w:space="0"/>
              <w:left w:val="single" w:color="auto" w:sz="4" w:space="0"/>
              <w:right w:val="nil"/>
            </w:tcBorders>
            <w:vAlign w:val="center"/>
          </w:tcPr>
          <w:p>
            <w:pPr>
              <w:spacing w:line="320" w:lineRule="exact"/>
              <w:jc w:val="center"/>
              <w:rPr>
                <w:rFonts w:hint="default" w:ascii="Times New Roman" w:hAnsi="Times New Roman" w:eastAsia="宋体"/>
                <w:color w:val="auto"/>
                <w:w w:val="99"/>
                <w:sz w:val="21"/>
                <w:szCs w:val="21"/>
                <w:highlight w:val="none"/>
                <w:lang w:val="en-US" w:eastAsia="zh-CN"/>
              </w:rPr>
            </w:pPr>
            <w:r>
              <w:rPr>
                <w:rFonts w:ascii="Times New Roman" w:hAnsi="Times New Roman"/>
                <w:color w:val="auto"/>
                <w:w w:val="99"/>
                <w:sz w:val="21"/>
                <w:szCs w:val="21"/>
                <w:highlight w:val="none"/>
              </w:rPr>
              <w:t>142~</w:t>
            </w:r>
            <w:r>
              <w:rPr>
                <w:rFonts w:hint="eastAsia" w:ascii="Times New Roman" w:hAnsi="Times New Roman"/>
                <w:color w:val="auto"/>
                <w:w w:val="99"/>
                <w:sz w:val="21"/>
                <w:szCs w:val="21"/>
                <w:highlight w:val="none"/>
                <w:lang w:val="en-US" w:eastAsia="zh-CN"/>
              </w:rPr>
              <w:t>2207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tcBorders>
              <w:lef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井筒容积（m</w:t>
            </w:r>
            <w:r>
              <w:rPr>
                <w:rFonts w:ascii="Times New Roman" w:hAnsi="Times New Roman"/>
                <w:color w:val="auto"/>
                <w:w w:val="99"/>
                <w:sz w:val="21"/>
                <w:szCs w:val="21"/>
                <w:highlight w:val="none"/>
                <w:vertAlign w:val="superscript"/>
              </w:rPr>
              <w:t>3</w:t>
            </w:r>
            <w:r>
              <w:rPr>
                <w:rFonts w:ascii="Times New Roman" w:hAnsi="Times New Roman"/>
                <w:color w:val="auto"/>
                <w:w w:val="99"/>
                <w:sz w:val="21"/>
                <w:szCs w:val="21"/>
                <w:highlight w:val="none"/>
              </w:rPr>
              <w:t>）</w:t>
            </w:r>
          </w:p>
        </w:tc>
        <w:tc>
          <w:tcPr>
            <w:tcW w:w="1493" w:type="pct"/>
            <w:gridSpan w:val="2"/>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23</w:t>
            </w:r>
          </w:p>
        </w:tc>
        <w:tc>
          <w:tcPr>
            <w:tcW w:w="2165" w:type="pct"/>
            <w:gridSpan w:val="2"/>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tcBorders>
              <w:lef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地面循环量（m</w:t>
            </w:r>
            <w:r>
              <w:rPr>
                <w:rFonts w:ascii="Times New Roman" w:hAnsi="Times New Roman"/>
                <w:color w:val="auto"/>
                <w:w w:val="99"/>
                <w:sz w:val="21"/>
                <w:szCs w:val="21"/>
                <w:highlight w:val="none"/>
                <w:vertAlign w:val="superscript"/>
              </w:rPr>
              <w:t>3</w:t>
            </w:r>
            <w:r>
              <w:rPr>
                <w:rFonts w:ascii="Times New Roman" w:hAnsi="Times New Roman"/>
                <w:color w:val="auto"/>
                <w:w w:val="99"/>
                <w:sz w:val="21"/>
                <w:szCs w:val="21"/>
                <w:highlight w:val="none"/>
              </w:rPr>
              <w:t>）</w:t>
            </w:r>
          </w:p>
        </w:tc>
        <w:tc>
          <w:tcPr>
            <w:tcW w:w="1493" w:type="pct"/>
            <w:gridSpan w:val="2"/>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40</w:t>
            </w:r>
          </w:p>
        </w:tc>
        <w:tc>
          <w:tcPr>
            <w:tcW w:w="2165" w:type="pct"/>
            <w:gridSpan w:val="2"/>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tcBorders>
              <w:lef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钻井液损耗量（m</w:t>
            </w:r>
            <w:r>
              <w:rPr>
                <w:rFonts w:ascii="Times New Roman" w:hAnsi="Times New Roman"/>
                <w:color w:val="auto"/>
                <w:w w:val="99"/>
                <w:sz w:val="21"/>
                <w:szCs w:val="21"/>
                <w:highlight w:val="none"/>
                <w:vertAlign w:val="superscript"/>
              </w:rPr>
              <w:t>3</w:t>
            </w:r>
            <w:r>
              <w:rPr>
                <w:rFonts w:ascii="Times New Roman" w:hAnsi="Times New Roman"/>
                <w:color w:val="auto"/>
                <w:w w:val="99"/>
                <w:sz w:val="21"/>
                <w:szCs w:val="21"/>
                <w:highlight w:val="none"/>
              </w:rPr>
              <w:t>）</w:t>
            </w:r>
          </w:p>
        </w:tc>
        <w:tc>
          <w:tcPr>
            <w:tcW w:w="1493" w:type="pct"/>
            <w:gridSpan w:val="2"/>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5</w:t>
            </w:r>
          </w:p>
        </w:tc>
        <w:tc>
          <w:tcPr>
            <w:tcW w:w="2165" w:type="pct"/>
            <w:gridSpan w:val="2"/>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tcBorders>
              <w:lef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钻井液总量（m</w:t>
            </w:r>
            <w:r>
              <w:rPr>
                <w:rFonts w:ascii="Times New Roman" w:hAnsi="Times New Roman"/>
                <w:color w:val="auto"/>
                <w:w w:val="99"/>
                <w:sz w:val="21"/>
                <w:szCs w:val="21"/>
                <w:highlight w:val="none"/>
                <w:vertAlign w:val="superscript"/>
              </w:rPr>
              <w:t>3</w:t>
            </w:r>
            <w:r>
              <w:rPr>
                <w:rFonts w:ascii="Times New Roman" w:hAnsi="Times New Roman"/>
                <w:color w:val="auto"/>
                <w:w w:val="99"/>
                <w:sz w:val="21"/>
                <w:szCs w:val="21"/>
                <w:highlight w:val="none"/>
              </w:rPr>
              <w:t>）</w:t>
            </w:r>
          </w:p>
        </w:tc>
        <w:tc>
          <w:tcPr>
            <w:tcW w:w="1493" w:type="pct"/>
            <w:gridSpan w:val="2"/>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68</w:t>
            </w:r>
          </w:p>
        </w:tc>
        <w:tc>
          <w:tcPr>
            <w:tcW w:w="2165" w:type="pct"/>
            <w:gridSpan w:val="2"/>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tcBorders>
              <w:lef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钻井液体系</w:t>
            </w:r>
          </w:p>
        </w:tc>
        <w:tc>
          <w:tcPr>
            <w:tcW w:w="1493" w:type="pct"/>
            <w:gridSpan w:val="2"/>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膨润土浆</w:t>
            </w:r>
          </w:p>
        </w:tc>
        <w:tc>
          <w:tcPr>
            <w:tcW w:w="2165" w:type="pct"/>
            <w:gridSpan w:val="2"/>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钾盐共聚物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restart"/>
            <w:tcBorders>
              <w:lef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钻井液材料名称和用量</w:t>
            </w: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材料名称</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材料用量</w:t>
            </w:r>
          </w:p>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t</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材料名称</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材料用量</w:t>
            </w:r>
          </w:p>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continue"/>
            <w:tcBorders>
              <w:left w:val="nil"/>
            </w:tcBorders>
            <w:vAlign w:val="center"/>
          </w:tcPr>
          <w:p>
            <w:pPr>
              <w:spacing w:line="320" w:lineRule="exact"/>
              <w:jc w:val="center"/>
              <w:rPr>
                <w:rFonts w:ascii="Times New Roman" w:hAnsi="Times New Roman"/>
                <w:color w:val="auto"/>
                <w:w w:val="99"/>
                <w:sz w:val="21"/>
                <w:szCs w:val="21"/>
                <w:highlight w:val="none"/>
              </w:rPr>
            </w:pP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膨润土</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3.0</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膨润土</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continue"/>
            <w:tcBorders>
              <w:left w:val="nil"/>
            </w:tcBorders>
            <w:vAlign w:val="center"/>
          </w:tcPr>
          <w:p>
            <w:pPr>
              <w:spacing w:line="320" w:lineRule="exact"/>
              <w:jc w:val="center"/>
              <w:rPr>
                <w:rFonts w:ascii="Times New Roman" w:hAnsi="Times New Roman"/>
                <w:color w:val="auto"/>
                <w:w w:val="99"/>
                <w:sz w:val="21"/>
                <w:szCs w:val="21"/>
                <w:highlight w:val="none"/>
              </w:rPr>
            </w:pP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纯碱</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0.3</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纯碱</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continue"/>
            <w:tcBorders>
              <w:left w:val="nil"/>
            </w:tcBorders>
            <w:vAlign w:val="center"/>
          </w:tcPr>
          <w:p>
            <w:pPr>
              <w:spacing w:line="320" w:lineRule="exact"/>
              <w:jc w:val="center"/>
              <w:rPr>
                <w:rFonts w:ascii="Times New Roman" w:hAnsi="Times New Roman"/>
                <w:color w:val="auto"/>
                <w:w w:val="99"/>
                <w:sz w:val="21"/>
                <w:szCs w:val="21"/>
                <w:highlight w:val="none"/>
              </w:rPr>
            </w:pP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重晶石粉</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25</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WDYZ-1</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continue"/>
            <w:tcBorders>
              <w:left w:val="nil"/>
            </w:tcBorders>
            <w:vAlign w:val="center"/>
          </w:tcPr>
          <w:p>
            <w:pPr>
              <w:spacing w:line="320" w:lineRule="exact"/>
              <w:jc w:val="center"/>
              <w:rPr>
                <w:rFonts w:ascii="Times New Roman" w:hAnsi="Times New Roman"/>
                <w:color w:val="auto"/>
                <w:w w:val="99"/>
                <w:sz w:val="21"/>
                <w:szCs w:val="21"/>
                <w:highlight w:val="none"/>
              </w:rPr>
            </w:pP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HX-D</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continue"/>
            <w:tcBorders>
              <w:left w:val="nil"/>
            </w:tcBorders>
            <w:vAlign w:val="center"/>
          </w:tcPr>
          <w:p>
            <w:pPr>
              <w:spacing w:line="320" w:lineRule="exact"/>
              <w:jc w:val="center"/>
              <w:rPr>
                <w:rFonts w:ascii="Times New Roman" w:hAnsi="Times New Roman"/>
                <w:color w:val="auto"/>
                <w:w w:val="99"/>
                <w:sz w:val="21"/>
                <w:szCs w:val="21"/>
                <w:highlight w:val="none"/>
              </w:rPr>
            </w:pP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JS-1</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continue"/>
            <w:tcBorders>
              <w:left w:val="nil"/>
            </w:tcBorders>
            <w:vAlign w:val="center"/>
          </w:tcPr>
          <w:p>
            <w:pPr>
              <w:spacing w:line="320" w:lineRule="exact"/>
              <w:jc w:val="center"/>
              <w:rPr>
                <w:rFonts w:ascii="Times New Roman" w:hAnsi="Times New Roman"/>
                <w:color w:val="auto"/>
                <w:w w:val="99"/>
                <w:sz w:val="21"/>
                <w:szCs w:val="21"/>
                <w:highlight w:val="none"/>
              </w:rPr>
            </w:pP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JS-2</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continue"/>
            <w:tcBorders>
              <w:left w:val="nil"/>
            </w:tcBorders>
            <w:vAlign w:val="center"/>
          </w:tcPr>
          <w:p>
            <w:pPr>
              <w:spacing w:line="320" w:lineRule="exact"/>
              <w:jc w:val="center"/>
              <w:rPr>
                <w:rFonts w:ascii="Times New Roman" w:hAnsi="Times New Roman"/>
                <w:color w:val="auto"/>
                <w:w w:val="99"/>
                <w:sz w:val="21"/>
                <w:szCs w:val="21"/>
                <w:highlight w:val="none"/>
              </w:rPr>
            </w:pP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NH</w:t>
            </w:r>
            <w:r>
              <w:rPr>
                <w:rFonts w:ascii="Times New Roman" w:hAnsi="Times New Roman"/>
                <w:color w:val="auto"/>
                <w:w w:val="99"/>
                <w:sz w:val="21"/>
                <w:szCs w:val="21"/>
                <w:highlight w:val="none"/>
                <w:vertAlign w:val="subscript"/>
              </w:rPr>
              <w:t>4</w:t>
            </w:r>
            <w:r>
              <w:rPr>
                <w:rFonts w:ascii="Times New Roman" w:hAnsi="Times New Roman"/>
                <w:color w:val="auto"/>
                <w:w w:val="99"/>
                <w:sz w:val="21"/>
                <w:szCs w:val="21"/>
                <w:highlight w:val="none"/>
              </w:rPr>
              <w:t>-HPAN-2</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continue"/>
            <w:tcBorders>
              <w:left w:val="nil"/>
            </w:tcBorders>
            <w:vAlign w:val="center"/>
          </w:tcPr>
          <w:p>
            <w:pPr>
              <w:spacing w:line="320" w:lineRule="exact"/>
              <w:jc w:val="center"/>
              <w:rPr>
                <w:rFonts w:ascii="Times New Roman" w:hAnsi="Times New Roman"/>
                <w:color w:val="auto"/>
                <w:w w:val="99"/>
                <w:sz w:val="21"/>
                <w:szCs w:val="21"/>
                <w:highlight w:val="none"/>
              </w:rPr>
            </w:pP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SPNH</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continue"/>
            <w:tcBorders>
              <w:left w:val="nil"/>
            </w:tcBorders>
            <w:vAlign w:val="center"/>
          </w:tcPr>
          <w:p>
            <w:pPr>
              <w:spacing w:line="320" w:lineRule="exact"/>
              <w:jc w:val="center"/>
              <w:rPr>
                <w:rFonts w:ascii="Times New Roman" w:hAnsi="Times New Roman"/>
                <w:color w:val="auto"/>
                <w:w w:val="99"/>
                <w:sz w:val="21"/>
                <w:szCs w:val="21"/>
                <w:highlight w:val="none"/>
              </w:rPr>
            </w:pP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DYFT-1</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continue"/>
            <w:tcBorders>
              <w:left w:val="nil"/>
            </w:tcBorders>
            <w:vAlign w:val="center"/>
          </w:tcPr>
          <w:p>
            <w:pPr>
              <w:spacing w:line="320" w:lineRule="exact"/>
              <w:jc w:val="center"/>
              <w:rPr>
                <w:rFonts w:ascii="Times New Roman" w:hAnsi="Times New Roman"/>
                <w:color w:val="auto"/>
                <w:w w:val="99"/>
                <w:sz w:val="21"/>
                <w:szCs w:val="21"/>
                <w:highlight w:val="none"/>
              </w:rPr>
            </w:pP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KOH</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continue"/>
            <w:tcBorders>
              <w:left w:val="nil"/>
            </w:tcBorders>
            <w:vAlign w:val="center"/>
          </w:tcPr>
          <w:p>
            <w:pPr>
              <w:spacing w:line="320" w:lineRule="exact"/>
              <w:jc w:val="center"/>
              <w:rPr>
                <w:rFonts w:ascii="Times New Roman" w:hAnsi="Times New Roman"/>
                <w:color w:val="auto"/>
                <w:w w:val="99"/>
                <w:sz w:val="21"/>
                <w:szCs w:val="21"/>
                <w:highlight w:val="none"/>
              </w:rPr>
            </w:pP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超细碳酸钙</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continue"/>
            <w:tcBorders>
              <w:left w:val="nil"/>
            </w:tcBorders>
            <w:vAlign w:val="center"/>
          </w:tcPr>
          <w:p>
            <w:pPr>
              <w:spacing w:line="320" w:lineRule="exact"/>
              <w:jc w:val="center"/>
              <w:rPr>
                <w:rFonts w:ascii="Times New Roman" w:hAnsi="Times New Roman"/>
                <w:color w:val="auto"/>
                <w:w w:val="99"/>
                <w:sz w:val="21"/>
                <w:szCs w:val="21"/>
                <w:highlight w:val="none"/>
              </w:rPr>
            </w:pP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重晶石粉</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157</w:t>
            </w:r>
          </w:p>
        </w:tc>
      </w:tr>
    </w:tbl>
    <w:p>
      <w:pPr>
        <w:widowControl w:val="0"/>
        <w:tabs>
          <w:tab w:val="left" w:pos="-315"/>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钻井液主要组分理化性质见</w:t>
      </w:r>
      <w:r>
        <w:rPr>
          <w:rFonts w:ascii="Times New Roman" w:hAnsi="Times New Roman" w:cs="Times New Roman" w:eastAsiaTheme="minorEastAsia"/>
          <w:color w:val="auto"/>
          <w:w w:val="99"/>
          <w:kern w:val="21"/>
          <w:highlight w:val="none"/>
        </w:rPr>
        <w:t>表3.3-5</w:t>
      </w:r>
      <w:r>
        <w:rPr>
          <w:rFonts w:ascii="Times New Roman" w:hAnsi="Times New Roman" w:cs="Times New Roman" w:eastAsiaTheme="minorEastAsia"/>
          <w:bCs/>
          <w:color w:val="auto"/>
          <w:w w:val="99"/>
          <w:kern w:val="21"/>
          <w:highlight w:val="none"/>
        </w:rPr>
        <w:t>。</w:t>
      </w:r>
    </w:p>
    <w:p>
      <w:pPr>
        <w:widowControl w:val="0"/>
        <w:tabs>
          <w:tab w:val="left" w:pos="-315"/>
        </w:tabs>
        <w:spacing w:line="500" w:lineRule="exact"/>
        <w:ind w:firstLine="474" w:firstLineChars="200"/>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1"/>
          <w:highlight w:val="none"/>
        </w:rPr>
        <w:t>表3.3-5               钻井液主要组分理化性质一览表</w:t>
      </w:r>
    </w:p>
    <w:tbl>
      <w:tblPr>
        <w:tblStyle w:val="8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013"/>
        <w:gridCol w:w="1789"/>
        <w:gridCol w:w="5192"/>
        <w:gridCol w:w="8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序号</w:t>
            </w:r>
          </w:p>
        </w:tc>
        <w:tc>
          <w:tcPr>
            <w:tcW w:w="52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原料</w:t>
            </w:r>
          </w:p>
        </w:tc>
        <w:tc>
          <w:tcPr>
            <w:tcW w:w="699"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主要组分</w:t>
            </w:r>
          </w:p>
        </w:tc>
        <w:tc>
          <w:tcPr>
            <w:tcW w:w="2891"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理化性质及作用</w:t>
            </w:r>
          </w:p>
        </w:tc>
        <w:tc>
          <w:tcPr>
            <w:tcW w:w="546"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毒理性质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1</w:t>
            </w:r>
          </w:p>
        </w:tc>
        <w:tc>
          <w:tcPr>
            <w:tcW w:w="52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膨润土</w:t>
            </w:r>
          </w:p>
        </w:tc>
        <w:tc>
          <w:tcPr>
            <w:tcW w:w="699"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天然矿物，主要成分是层状铝硅酸盐蒙脱石</w:t>
            </w:r>
          </w:p>
        </w:tc>
        <w:tc>
          <w:tcPr>
            <w:tcW w:w="2891" w:type="pct"/>
            <w:vAlign w:val="center"/>
          </w:tcPr>
          <w:p>
            <w:pPr>
              <w:widowControl w:val="0"/>
              <w:tabs>
                <w:tab w:val="left" w:pos="-315"/>
              </w:tabs>
              <w:spacing w:line="320" w:lineRule="exact"/>
              <w:jc w:val="both"/>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其晶体结构是由两个硅氧四面体晶片中间夹1个铝氧八面体晶片组成1个晶层，在硅氧四面体中，有部分的Si</w:t>
            </w:r>
            <w:r>
              <w:rPr>
                <w:rFonts w:ascii="Times New Roman" w:hAnsi="Times New Roman" w:cs="Times New Roman"/>
                <w:bCs/>
                <w:color w:val="auto"/>
                <w:w w:val="99"/>
                <w:kern w:val="21"/>
                <w:sz w:val="21"/>
                <w:szCs w:val="21"/>
                <w:highlight w:val="none"/>
                <w:vertAlign w:val="superscript"/>
              </w:rPr>
              <w:t>4+</w:t>
            </w:r>
            <w:r>
              <w:rPr>
                <w:rFonts w:ascii="Times New Roman" w:hAnsi="Times New Roman" w:cs="Times New Roman"/>
                <w:bCs/>
                <w:color w:val="auto"/>
                <w:w w:val="99"/>
                <w:kern w:val="21"/>
                <w:sz w:val="21"/>
                <w:szCs w:val="21"/>
                <w:highlight w:val="none"/>
              </w:rPr>
              <w:t>可被Al</w:t>
            </w:r>
            <w:r>
              <w:rPr>
                <w:rFonts w:ascii="Times New Roman" w:hAnsi="Times New Roman" w:cs="Times New Roman"/>
                <w:bCs/>
                <w:color w:val="auto"/>
                <w:w w:val="99"/>
                <w:kern w:val="21"/>
                <w:sz w:val="21"/>
                <w:szCs w:val="21"/>
                <w:highlight w:val="none"/>
                <w:vertAlign w:val="superscript"/>
              </w:rPr>
              <w:t>3+</w:t>
            </w:r>
            <w:r>
              <w:rPr>
                <w:rFonts w:ascii="Times New Roman" w:hAnsi="Times New Roman" w:cs="Times New Roman"/>
                <w:bCs/>
                <w:color w:val="auto"/>
                <w:w w:val="99"/>
                <w:kern w:val="21"/>
                <w:sz w:val="21"/>
                <w:szCs w:val="21"/>
                <w:highlight w:val="none"/>
              </w:rPr>
              <w:t>取代，铝氧八面体层中有部分的Al</w:t>
            </w:r>
            <w:r>
              <w:rPr>
                <w:rFonts w:ascii="Times New Roman" w:hAnsi="Times New Roman" w:cs="Times New Roman"/>
                <w:bCs/>
                <w:color w:val="auto"/>
                <w:w w:val="99"/>
                <w:kern w:val="21"/>
                <w:sz w:val="21"/>
                <w:szCs w:val="21"/>
                <w:highlight w:val="none"/>
                <w:vertAlign w:val="superscript"/>
              </w:rPr>
              <w:t>3+</w:t>
            </w:r>
            <w:r>
              <w:rPr>
                <w:rFonts w:ascii="Times New Roman" w:hAnsi="Times New Roman" w:cs="Times New Roman"/>
                <w:bCs/>
                <w:color w:val="auto"/>
                <w:w w:val="99"/>
                <w:kern w:val="21"/>
                <w:sz w:val="21"/>
                <w:szCs w:val="21"/>
                <w:highlight w:val="none"/>
              </w:rPr>
              <w:t>可被Fe</w:t>
            </w:r>
            <w:r>
              <w:rPr>
                <w:rFonts w:ascii="Times New Roman" w:hAnsi="Times New Roman" w:cs="Times New Roman"/>
                <w:bCs/>
                <w:color w:val="auto"/>
                <w:w w:val="99"/>
                <w:kern w:val="21"/>
                <w:sz w:val="21"/>
                <w:szCs w:val="21"/>
                <w:highlight w:val="none"/>
                <w:vertAlign w:val="superscript"/>
              </w:rPr>
              <w:t>2+</w:t>
            </w:r>
            <w:r>
              <w:rPr>
                <w:rFonts w:ascii="Times New Roman" w:hAnsi="Times New Roman" w:cs="Times New Roman"/>
                <w:bCs/>
                <w:color w:val="auto"/>
                <w:w w:val="99"/>
                <w:kern w:val="21"/>
                <w:sz w:val="21"/>
                <w:szCs w:val="21"/>
                <w:highlight w:val="none"/>
              </w:rPr>
              <w:t>、Mg</w:t>
            </w:r>
            <w:r>
              <w:rPr>
                <w:rFonts w:ascii="Times New Roman" w:hAnsi="Times New Roman" w:cs="Times New Roman"/>
                <w:bCs/>
                <w:color w:val="auto"/>
                <w:w w:val="99"/>
                <w:kern w:val="21"/>
                <w:sz w:val="21"/>
                <w:szCs w:val="21"/>
                <w:highlight w:val="none"/>
                <w:vertAlign w:val="superscript"/>
              </w:rPr>
              <w:t>2+</w:t>
            </w:r>
            <w:r>
              <w:rPr>
                <w:rFonts w:ascii="Times New Roman" w:hAnsi="Times New Roman" w:cs="Times New Roman"/>
                <w:bCs/>
                <w:color w:val="auto"/>
                <w:w w:val="99"/>
                <w:kern w:val="21"/>
                <w:sz w:val="21"/>
                <w:szCs w:val="21"/>
                <w:highlight w:val="none"/>
              </w:rPr>
              <w:t>、Zn</w:t>
            </w:r>
            <w:r>
              <w:rPr>
                <w:rFonts w:ascii="Times New Roman" w:hAnsi="Times New Roman" w:cs="Times New Roman"/>
                <w:bCs/>
                <w:color w:val="auto"/>
                <w:w w:val="99"/>
                <w:kern w:val="21"/>
                <w:sz w:val="21"/>
                <w:szCs w:val="21"/>
                <w:highlight w:val="none"/>
                <w:vertAlign w:val="superscript"/>
              </w:rPr>
              <w:t>2+</w:t>
            </w:r>
            <w:r>
              <w:rPr>
                <w:rFonts w:ascii="Times New Roman" w:hAnsi="Times New Roman" w:cs="Times New Roman"/>
                <w:bCs/>
                <w:color w:val="auto"/>
                <w:w w:val="99"/>
                <w:kern w:val="21"/>
                <w:sz w:val="21"/>
                <w:szCs w:val="21"/>
                <w:highlight w:val="none"/>
              </w:rPr>
              <w:t>等阳离子取代，这样使得蒙脱石的晶格显负电性，同时晶层上下皆为氧原子层，不能形成氢键，晶层间有微弱的分子力连接，连接力弱，水分子容易进入两层之间使之吸水肿胀</w:t>
            </w:r>
          </w:p>
        </w:tc>
        <w:tc>
          <w:tcPr>
            <w:tcW w:w="546"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无毒性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2</w:t>
            </w:r>
          </w:p>
        </w:tc>
        <w:tc>
          <w:tcPr>
            <w:tcW w:w="52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铵盐</w:t>
            </w:r>
          </w:p>
        </w:tc>
        <w:tc>
          <w:tcPr>
            <w:tcW w:w="699"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双聚铵盐（NH</w:t>
            </w:r>
            <w:r>
              <w:rPr>
                <w:rFonts w:ascii="Times New Roman" w:hAnsi="Times New Roman" w:cs="Times New Roman"/>
                <w:bCs/>
                <w:color w:val="auto"/>
                <w:w w:val="99"/>
                <w:kern w:val="21"/>
                <w:sz w:val="21"/>
                <w:szCs w:val="21"/>
                <w:highlight w:val="none"/>
                <w:vertAlign w:val="subscript"/>
              </w:rPr>
              <w:t>4</w:t>
            </w:r>
            <w:r>
              <w:rPr>
                <w:rFonts w:ascii="Times New Roman" w:hAnsi="Times New Roman" w:cs="Times New Roman"/>
                <w:bCs/>
                <w:color w:val="auto"/>
                <w:w w:val="99"/>
                <w:kern w:val="21"/>
                <w:sz w:val="21"/>
                <w:szCs w:val="21"/>
                <w:highlight w:val="none"/>
              </w:rPr>
              <w:t>-HPAN-2）</w:t>
            </w:r>
          </w:p>
        </w:tc>
        <w:tc>
          <w:tcPr>
            <w:tcW w:w="2891" w:type="pct"/>
            <w:vAlign w:val="center"/>
          </w:tcPr>
          <w:p>
            <w:pPr>
              <w:widowControl w:val="0"/>
              <w:tabs>
                <w:tab w:val="left" w:pos="-315"/>
              </w:tabs>
              <w:spacing w:line="320" w:lineRule="exact"/>
              <w:jc w:val="both"/>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双聚铵盐（NH</w:t>
            </w:r>
            <w:r>
              <w:rPr>
                <w:rFonts w:ascii="Times New Roman" w:hAnsi="Times New Roman" w:cs="Times New Roman"/>
                <w:bCs/>
                <w:color w:val="auto"/>
                <w:w w:val="99"/>
                <w:kern w:val="21"/>
                <w:sz w:val="21"/>
                <w:szCs w:val="21"/>
                <w:highlight w:val="none"/>
                <w:vertAlign w:val="subscript"/>
              </w:rPr>
              <w:t>4</w:t>
            </w:r>
            <w:r>
              <w:rPr>
                <w:rFonts w:ascii="Times New Roman" w:hAnsi="Times New Roman" w:cs="Times New Roman"/>
                <w:bCs/>
                <w:color w:val="auto"/>
                <w:w w:val="99"/>
                <w:kern w:val="21"/>
                <w:sz w:val="21"/>
                <w:szCs w:val="21"/>
                <w:highlight w:val="none"/>
              </w:rPr>
              <w:t>-HPAN-2），外观为自由流动的粉末及颗粒，铵含量（%）≤6.0，是水解聚丙烯腈-铵盐（NH</w:t>
            </w:r>
            <w:r>
              <w:rPr>
                <w:rFonts w:ascii="Times New Roman" w:hAnsi="Times New Roman" w:cs="Times New Roman"/>
                <w:bCs/>
                <w:color w:val="auto"/>
                <w:w w:val="99"/>
                <w:kern w:val="21"/>
                <w:sz w:val="21"/>
                <w:szCs w:val="21"/>
                <w:highlight w:val="none"/>
                <w:vertAlign w:val="subscript"/>
              </w:rPr>
              <w:t>4</w:t>
            </w:r>
            <w:r>
              <w:rPr>
                <w:rFonts w:ascii="Times New Roman" w:hAnsi="Times New Roman" w:cs="Times New Roman"/>
                <w:bCs/>
                <w:color w:val="auto"/>
                <w:w w:val="99"/>
                <w:kern w:val="21"/>
                <w:sz w:val="21"/>
                <w:szCs w:val="21"/>
                <w:highlight w:val="none"/>
              </w:rPr>
              <w:t>-HPAN）的进一步改进，克服了铵盐抗盐、抗钙力较差的缺点，是腈纶丝、丙烯酰胺、氨水在高温、高压下聚合的产物，带有-NH</w:t>
            </w:r>
            <w:r>
              <w:rPr>
                <w:rFonts w:ascii="Times New Roman" w:hAnsi="Times New Roman" w:cs="Times New Roman"/>
                <w:bCs/>
                <w:color w:val="auto"/>
                <w:w w:val="99"/>
                <w:kern w:val="21"/>
                <w:sz w:val="21"/>
                <w:szCs w:val="21"/>
                <w:highlight w:val="none"/>
                <w:vertAlign w:val="subscript"/>
              </w:rPr>
              <w:t>4</w:t>
            </w:r>
            <w:r>
              <w:rPr>
                <w:rFonts w:ascii="Times New Roman" w:hAnsi="Times New Roman" w:cs="Times New Roman"/>
                <w:bCs/>
                <w:color w:val="auto"/>
                <w:w w:val="99"/>
                <w:kern w:val="21"/>
                <w:sz w:val="21"/>
                <w:szCs w:val="21"/>
                <w:highlight w:val="none"/>
              </w:rPr>
              <w:t>、-NH</w:t>
            </w:r>
            <w:r>
              <w:rPr>
                <w:rFonts w:ascii="Times New Roman" w:hAnsi="Times New Roman" w:cs="Times New Roman"/>
                <w:bCs/>
                <w:color w:val="auto"/>
                <w:w w:val="99"/>
                <w:kern w:val="21"/>
                <w:sz w:val="21"/>
                <w:szCs w:val="21"/>
                <w:highlight w:val="none"/>
                <w:vertAlign w:val="subscript"/>
              </w:rPr>
              <w:t>2</w:t>
            </w:r>
            <w:r>
              <w:rPr>
                <w:rFonts w:ascii="Times New Roman" w:hAnsi="Times New Roman" w:cs="Times New Roman"/>
                <w:bCs/>
                <w:color w:val="auto"/>
                <w:w w:val="99"/>
                <w:kern w:val="21"/>
                <w:sz w:val="21"/>
                <w:szCs w:val="21"/>
                <w:highlight w:val="none"/>
              </w:rPr>
              <w:t>、-CN基团，具有一定的防塌、防水化膨胀和很好的抗盐能力</w:t>
            </w:r>
          </w:p>
        </w:tc>
        <w:tc>
          <w:tcPr>
            <w:tcW w:w="546"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无毒性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3</w:t>
            </w:r>
          </w:p>
        </w:tc>
        <w:tc>
          <w:tcPr>
            <w:tcW w:w="52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纯碱</w:t>
            </w:r>
          </w:p>
        </w:tc>
        <w:tc>
          <w:tcPr>
            <w:tcW w:w="699"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Na</w:t>
            </w:r>
            <w:r>
              <w:rPr>
                <w:rFonts w:ascii="Times New Roman" w:hAnsi="Times New Roman" w:cs="Times New Roman"/>
                <w:bCs/>
                <w:color w:val="auto"/>
                <w:w w:val="99"/>
                <w:kern w:val="21"/>
                <w:sz w:val="21"/>
                <w:szCs w:val="21"/>
                <w:highlight w:val="none"/>
                <w:vertAlign w:val="subscript"/>
              </w:rPr>
              <w:t>2</w:t>
            </w:r>
            <w:r>
              <w:rPr>
                <w:rFonts w:ascii="Times New Roman" w:hAnsi="Times New Roman" w:cs="Times New Roman"/>
                <w:bCs/>
                <w:color w:val="auto"/>
                <w:w w:val="99"/>
                <w:kern w:val="21"/>
                <w:sz w:val="21"/>
                <w:szCs w:val="21"/>
                <w:highlight w:val="none"/>
              </w:rPr>
              <w:t>CO</w:t>
            </w:r>
            <w:r>
              <w:rPr>
                <w:rFonts w:ascii="Times New Roman" w:hAnsi="Times New Roman" w:cs="Times New Roman"/>
                <w:bCs/>
                <w:color w:val="auto"/>
                <w:w w:val="99"/>
                <w:kern w:val="21"/>
                <w:sz w:val="21"/>
                <w:szCs w:val="21"/>
                <w:highlight w:val="none"/>
                <w:vertAlign w:val="subscript"/>
              </w:rPr>
              <w:t>3</w:t>
            </w:r>
          </w:p>
        </w:tc>
        <w:tc>
          <w:tcPr>
            <w:tcW w:w="2891" w:type="pct"/>
            <w:vAlign w:val="center"/>
          </w:tcPr>
          <w:p>
            <w:pPr>
              <w:widowControl w:val="0"/>
              <w:tabs>
                <w:tab w:val="left" w:pos="-315"/>
              </w:tabs>
              <w:spacing w:line="320" w:lineRule="exact"/>
              <w:jc w:val="both"/>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无水碳酸钠为白色粉末，易溶于水，水溶液呈碱性，pH值为11.5。在泥浆中发生电离和水解，提供Na</w:t>
            </w:r>
            <w:r>
              <w:rPr>
                <w:rFonts w:ascii="Times New Roman" w:hAnsi="Times New Roman" w:cs="Times New Roman"/>
                <w:bCs/>
                <w:color w:val="auto"/>
                <w:w w:val="99"/>
                <w:kern w:val="21"/>
                <w:sz w:val="21"/>
                <w:szCs w:val="21"/>
                <w:highlight w:val="none"/>
                <w:vertAlign w:val="superscript"/>
              </w:rPr>
              <w:t>+</w:t>
            </w:r>
            <w:r>
              <w:rPr>
                <w:rFonts w:ascii="Times New Roman" w:hAnsi="Times New Roman" w:cs="Times New Roman"/>
                <w:bCs/>
                <w:color w:val="auto"/>
                <w:w w:val="99"/>
                <w:kern w:val="21"/>
                <w:sz w:val="21"/>
                <w:szCs w:val="21"/>
                <w:highlight w:val="none"/>
              </w:rPr>
              <w:t>和CO</w:t>
            </w:r>
            <w:r>
              <w:rPr>
                <w:rFonts w:ascii="Times New Roman" w:hAnsi="Times New Roman" w:cs="Times New Roman"/>
                <w:bCs/>
                <w:color w:val="auto"/>
                <w:w w:val="99"/>
                <w:kern w:val="21"/>
                <w:sz w:val="21"/>
                <w:szCs w:val="21"/>
                <w:highlight w:val="none"/>
                <w:vertAlign w:val="subscript"/>
              </w:rPr>
              <w:t>3</w:t>
            </w:r>
            <w:r>
              <w:rPr>
                <w:rFonts w:ascii="Times New Roman" w:hAnsi="Times New Roman" w:cs="Times New Roman"/>
                <w:bCs/>
                <w:color w:val="auto"/>
                <w:w w:val="99"/>
                <w:kern w:val="21"/>
                <w:sz w:val="21"/>
                <w:szCs w:val="21"/>
                <w:highlight w:val="none"/>
                <w:vertAlign w:val="superscript"/>
              </w:rPr>
              <w:t>2-</w:t>
            </w:r>
            <w:r>
              <w:rPr>
                <w:rFonts w:ascii="Times New Roman" w:hAnsi="Times New Roman" w:cs="Times New Roman"/>
                <w:bCs/>
                <w:color w:val="auto"/>
                <w:w w:val="99"/>
                <w:kern w:val="21"/>
                <w:sz w:val="21"/>
                <w:szCs w:val="21"/>
                <w:highlight w:val="none"/>
              </w:rPr>
              <w:t>，在泥浆中通过离子交换和沉淀作用</w:t>
            </w:r>
          </w:p>
        </w:tc>
        <w:tc>
          <w:tcPr>
            <w:tcW w:w="546"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无毒性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4</w:t>
            </w:r>
          </w:p>
        </w:tc>
        <w:tc>
          <w:tcPr>
            <w:tcW w:w="52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氢氧化钾</w:t>
            </w:r>
          </w:p>
        </w:tc>
        <w:tc>
          <w:tcPr>
            <w:tcW w:w="699"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KOH</w:t>
            </w:r>
          </w:p>
        </w:tc>
        <w:tc>
          <w:tcPr>
            <w:tcW w:w="2891" w:type="pct"/>
            <w:vAlign w:val="center"/>
          </w:tcPr>
          <w:p>
            <w:pPr>
              <w:widowControl w:val="0"/>
              <w:tabs>
                <w:tab w:val="left" w:pos="-315"/>
              </w:tabs>
              <w:spacing w:line="320" w:lineRule="exact"/>
              <w:jc w:val="both"/>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氢氧化钾是一种白色透明的晶体，易溶于水，溶解时强烈放热，水溶液呈碱性，pH值为14，有较强的腐蚀性，既能用来调节泥浆的pH值，又能提供K</w:t>
            </w:r>
            <w:r>
              <w:rPr>
                <w:rFonts w:ascii="Times New Roman" w:hAnsi="Times New Roman" w:cs="Times New Roman"/>
                <w:bCs/>
                <w:color w:val="auto"/>
                <w:w w:val="99"/>
                <w:kern w:val="21"/>
                <w:sz w:val="21"/>
                <w:szCs w:val="21"/>
                <w:highlight w:val="none"/>
                <w:vertAlign w:val="superscript"/>
              </w:rPr>
              <w:t>+</w:t>
            </w:r>
            <w:r>
              <w:rPr>
                <w:rFonts w:ascii="Times New Roman" w:hAnsi="Times New Roman" w:cs="Times New Roman"/>
                <w:bCs/>
                <w:color w:val="auto"/>
                <w:w w:val="99"/>
                <w:kern w:val="21"/>
                <w:sz w:val="21"/>
                <w:szCs w:val="21"/>
                <w:highlight w:val="none"/>
              </w:rPr>
              <w:t>离子，其在泥浆中全部电离，提供的K</w:t>
            </w:r>
            <w:r>
              <w:rPr>
                <w:rFonts w:ascii="Times New Roman" w:hAnsi="Times New Roman" w:cs="Times New Roman"/>
                <w:bCs/>
                <w:color w:val="auto"/>
                <w:w w:val="99"/>
                <w:kern w:val="21"/>
                <w:sz w:val="21"/>
                <w:szCs w:val="21"/>
                <w:highlight w:val="none"/>
                <w:vertAlign w:val="superscript"/>
              </w:rPr>
              <w:t>+</w:t>
            </w:r>
            <w:r>
              <w:rPr>
                <w:rFonts w:ascii="Times New Roman" w:hAnsi="Times New Roman" w:cs="Times New Roman"/>
                <w:bCs/>
                <w:color w:val="auto"/>
                <w:w w:val="99"/>
                <w:kern w:val="21"/>
                <w:sz w:val="21"/>
                <w:szCs w:val="21"/>
                <w:highlight w:val="none"/>
              </w:rPr>
              <w:t>离子有较好的防塌作用，因此钾盐泥浆被广泛使用，KOH可用来与某些有机处理剂进行水解作用，生成钾盐</w:t>
            </w:r>
          </w:p>
        </w:tc>
        <w:tc>
          <w:tcPr>
            <w:tcW w:w="546"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中等毒性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5</w:t>
            </w:r>
          </w:p>
        </w:tc>
        <w:tc>
          <w:tcPr>
            <w:tcW w:w="52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重晶石粉</w:t>
            </w:r>
          </w:p>
        </w:tc>
        <w:tc>
          <w:tcPr>
            <w:tcW w:w="699"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BaSO</w:t>
            </w:r>
            <w:r>
              <w:rPr>
                <w:rFonts w:ascii="Times New Roman" w:hAnsi="Times New Roman" w:cs="Times New Roman"/>
                <w:bCs/>
                <w:color w:val="auto"/>
                <w:w w:val="99"/>
                <w:kern w:val="21"/>
                <w:sz w:val="21"/>
                <w:szCs w:val="21"/>
                <w:highlight w:val="none"/>
                <w:vertAlign w:val="subscript"/>
              </w:rPr>
              <w:t>4</w:t>
            </w:r>
          </w:p>
        </w:tc>
        <w:tc>
          <w:tcPr>
            <w:tcW w:w="2891" w:type="pct"/>
            <w:vAlign w:val="center"/>
          </w:tcPr>
          <w:p>
            <w:pPr>
              <w:widowControl w:val="0"/>
              <w:tabs>
                <w:tab w:val="left" w:pos="-315"/>
              </w:tabs>
              <w:spacing w:line="320" w:lineRule="exact"/>
              <w:jc w:val="both"/>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纯品为白色粉末，如含有杂质多为灰绿化。相对密度4.3-4.6，不溶于水。钻井加重剂，增加钻井泥浆的密度</w:t>
            </w:r>
          </w:p>
        </w:tc>
        <w:tc>
          <w:tcPr>
            <w:tcW w:w="546"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低毒性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6</w:t>
            </w:r>
          </w:p>
        </w:tc>
        <w:tc>
          <w:tcPr>
            <w:tcW w:w="52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WDYZ-1</w:t>
            </w:r>
          </w:p>
        </w:tc>
        <w:tc>
          <w:tcPr>
            <w:tcW w:w="699"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碳酸钾、氧化钙和至少一种反絮凝剂经过化学反应而成</w:t>
            </w:r>
          </w:p>
        </w:tc>
        <w:tc>
          <w:tcPr>
            <w:tcW w:w="2891" w:type="pct"/>
            <w:vAlign w:val="center"/>
          </w:tcPr>
          <w:p>
            <w:pPr>
              <w:widowControl w:val="0"/>
              <w:tabs>
                <w:tab w:val="left" w:pos="-315"/>
              </w:tabs>
              <w:spacing w:line="320" w:lineRule="exact"/>
              <w:jc w:val="both"/>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WDYZ－1是一类复合抑制剂，以钾离子为抑制离子，以钙离子为辅助抑制离子，不使用阴离子或阴离子团，并在此基础上混入木质素或腐殖酸，形成最终复合抑制剂。抗温160°C，可调节钻井液的流变性，提高体系动逆比、切力，具有很强的携屑能力，可防止井下发生复杂情况。其中木质素、腐殖酸可生物降解.</w:t>
            </w:r>
          </w:p>
        </w:tc>
        <w:tc>
          <w:tcPr>
            <w:tcW w:w="546"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无毒性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7</w:t>
            </w:r>
          </w:p>
        </w:tc>
        <w:tc>
          <w:tcPr>
            <w:tcW w:w="52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HX-D</w:t>
            </w:r>
          </w:p>
        </w:tc>
        <w:tc>
          <w:tcPr>
            <w:tcW w:w="699"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由高分子聚合物经过阳离子和官能团改造而成</w:t>
            </w:r>
          </w:p>
        </w:tc>
        <w:tc>
          <w:tcPr>
            <w:tcW w:w="2891" w:type="pct"/>
            <w:vAlign w:val="center"/>
          </w:tcPr>
          <w:p>
            <w:pPr>
              <w:widowControl w:val="0"/>
              <w:tabs>
                <w:tab w:val="left" w:pos="-315"/>
              </w:tabs>
              <w:spacing w:line="320" w:lineRule="exact"/>
              <w:jc w:val="both"/>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阳离子聚合物抑制剂 HX-D，乳白色或浅黄色液体，pH7～9，是由高分子聚合物经过阳离子和官能团改造，形成的具有强抑制、吸附和包被作用的一种钻井泥浆助剂，可与地层多价离子反应，有良好的抗高温流变性，同时还具有防塌、防膨等作用。</w:t>
            </w:r>
          </w:p>
        </w:tc>
        <w:tc>
          <w:tcPr>
            <w:tcW w:w="546"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无毒性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8</w:t>
            </w:r>
          </w:p>
        </w:tc>
        <w:tc>
          <w:tcPr>
            <w:tcW w:w="522" w:type="pct"/>
            <w:vAlign w:val="center"/>
          </w:tcPr>
          <w:p>
            <w:pPr>
              <w:adjustRightInd w:val="0"/>
              <w:snapToGrid w:val="0"/>
              <w:spacing w:line="320" w:lineRule="exact"/>
              <w:jc w:val="center"/>
              <w:rPr>
                <w:rFonts w:ascii="Times New Roman" w:hAnsi="Times New Roman" w:cs="Times New Roman"/>
                <w:snapToGrid w:val="0"/>
                <w:color w:val="auto"/>
                <w:w w:val="99"/>
                <w:sz w:val="21"/>
                <w:szCs w:val="21"/>
                <w:highlight w:val="none"/>
              </w:rPr>
            </w:pPr>
            <w:r>
              <w:rPr>
                <w:rFonts w:ascii="Times New Roman" w:hAnsi="Times New Roman" w:cs="Times New Roman"/>
                <w:snapToGrid w:val="0"/>
                <w:color w:val="auto"/>
                <w:w w:val="99"/>
                <w:sz w:val="21"/>
                <w:szCs w:val="21"/>
                <w:highlight w:val="none"/>
              </w:rPr>
              <w:t>JS-1</w:t>
            </w:r>
          </w:p>
        </w:tc>
        <w:tc>
          <w:tcPr>
            <w:tcW w:w="699" w:type="pct"/>
            <w:vAlign w:val="center"/>
          </w:tcPr>
          <w:p>
            <w:pPr>
              <w:adjustRightInd w:val="0"/>
              <w:snapToGrid w:val="0"/>
              <w:spacing w:line="320" w:lineRule="exact"/>
              <w:jc w:val="center"/>
              <w:rPr>
                <w:rFonts w:ascii="Times New Roman" w:hAnsi="Times New Roman" w:cs="Times New Roman"/>
                <w:snapToGrid w:val="0"/>
                <w:color w:val="auto"/>
                <w:w w:val="99"/>
                <w:sz w:val="21"/>
                <w:szCs w:val="21"/>
                <w:highlight w:val="none"/>
              </w:rPr>
            </w:pPr>
            <w:r>
              <w:rPr>
                <w:rFonts w:ascii="Times New Roman" w:hAnsi="Times New Roman" w:cs="Times New Roman"/>
                <w:snapToGrid w:val="0"/>
                <w:color w:val="auto"/>
                <w:w w:val="99"/>
                <w:sz w:val="21"/>
                <w:szCs w:val="21"/>
                <w:highlight w:val="none"/>
              </w:rPr>
              <w:t>聚合物水泥防水涂料</w:t>
            </w:r>
          </w:p>
        </w:tc>
        <w:tc>
          <w:tcPr>
            <w:tcW w:w="2891" w:type="pct"/>
            <w:vAlign w:val="center"/>
          </w:tcPr>
          <w:p>
            <w:pPr>
              <w:adjustRightInd w:val="0"/>
              <w:snapToGrid w:val="0"/>
              <w:spacing w:line="320" w:lineRule="exact"/>
              <w:jc w:val="both"/>
              <w:rPr>
                <w:rFonts w:ascii="Times New Roman" w:hAnsi="Times New Roman" w:cs="Times New Roman"/>
                <w:snapToGrid w:val="0"/>
                <w:color w:val="auto"/>
                <w:w w:val="99"/>
                <w:sz w:val="21"/>
                <w:szCs w:val="21"/>
                <w:highlight w:val="none"/>
              </w:rPr>
            </w:pPr>
            <w:r>
              <w:rPr>
                <w:rFonts w:ascii="Times New Roman" w:hAnsi="Times New Roman" w:cs="Times New Roman"/>
                <w:snapToGrid w:val="0"/>
                <w:color w:val="auto"/>
                <w:w w:val="99"/>
                <w:sz w:val="21"/>
                <w:szCs w:val="21"/>
                <w:highlight w:val="none"/>
              </w:rPr>
              <w:t>JS防水涂料是一种以聚丙烯酸酯乳液、乙烯-醋酸乙烯酯共聚乳液等聚合物乳液与各种添加剂组成的有机液料，和水泥、石英砂、轻重质碳酸钙等无机填料及各种添加剂所组成的无机粉料通过合理配比、复合制成的一种双组份、水性建筑防水涂料。“JS”防水涂料1型的强度和延伸率分别是1.2MPa /200%，是低强高延伸</w:t>
            </w:r>
          </w:p>
        </w:tc>
        <w:tc>
          <w:tcPr>
            <w:tcW w:w="546" w:type="pct"/>
            <w:vAlign w:val="center"/>
          </w:tcPr>
          <w:p>
            <w:pPr>
              <w:adjustRightInd w:val="0"/>
              <w:snapToGrid w:val="0"/>
              <w:spacing w:line="320" w:lineRule="exact"/>
              <w:jc w:val="center"/>
              <w:rPr>
                <w:rFonts w:ascii="Times New Roman" w:hAnsi="Times New Roman" w:cs="Times New Roman"/>
                <w:snapToGrid w:val="0"/>
                <w:color w:val="auto"/>
                <w:w w:val="99"/>
                <w:sz w:val="21"/>
                <w:szCs w:val="21"/>
                <w:highlight w:val="none"/>
              </w:rPr>
            </w:pPr>
            <w:r>
              <w:rPr>
                <w:rFonts w:ascii="Times New Roman" w:hAnsi="Times New Roman" w:cs="Times New Roman"/>
                <w:snapToGrid w:val="0"/>
                <w:color w:val="auto"/>
                <w:w w:val="99"/>
                <w:sz w:val="21"/>
                <w:szCs w:val="21"/>
                <w:highlight w:val="none"/>
              </w:rPr>
              <w:t>无毒性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9</w:t>
            </w:r>
          </w:p>
        </w:tc>
        <w:tc>
          <w:tcPr>
            <w:tcW w:w="522" w:type="pct"/>
            <w:vAlign w:val="center"/>
          </w:tcPr>
          <w:p>
            <w:pPr>
              <w:adjustRightInd w:val="0"/>
              <w:snapToGrid w:val="0"/>
              <w:spacing w:line="320" w:lineRule="exact"/>
              <w:jc w:val="center"/>
              <w:rPr>
                <w:rFonts w:ascii="Times New Roman" w:hAnsi="Times New Roman" w:cs="Times New Roman"/>
                <w:snapToGrid w:val="0"/>
                <w:color w:val="auto"/>
                <w:w w:val="99"/>
                <w:sz w:val="21"/>
                <w:szCs w:val="21"/>
                <w:highlight w:val="none"/>
              </w:rPr>
            </w:pPr>
            <w:r>
              <w:rPr>
                <w:rFonts w:ascii="Times New Roman" w:hAnsi="Times New Roman" w:cs="Times New Roman"/>
                <w:snapToGrid w:val="0"/>
                <w:color w:val="auto"/>
                <w:w w:val="99"/>
                <w:sz w:val="21"/>
                <w:szCs w:val="21"/>
                <w:highlight w:val="none"/>
              </w:rPr>
              <w:t>JS-2</w:t>
            </w:r>
          </w:p>
        </w:tc>
        <w:tc>
          <w:tcPr>
            <w:tcW w:w="699" w:type="pct"/>
            <w:vAlign w:val="center"/>
          </w:tcPr>
          <w:p>
            <w:pPr>
              <w:adjustRightInd w:val="0"/>
              <w:snapToGrid w:val="0"/>
              <w:spacing w:line="320" w:lineRule="exact"/>
              <w:jc w:val="center"/>
              <w:rPr>
                <w:rFonts w:ascii="Times New Roman" w:hAnsi="Times New Roman" w:cs="Times New Roman"/>
                <w:snapToGrid w:val="0"/>
                <w:color w:val="auto"/>
                <w:w w:val="99"/>
                <w:sz w:val="21"/>
                <w:szCs w:val="21"/>
                <w:highlight w:val="none"/>
              </w:rPr>
            </w:pPr>
            <w:r>
              <w:rPr>
                <w:rFonts w:ascii="Times New Roman" w:hAnsi="Times New Roman" w:cs="Times New Roman"/>
                <w:snapToGrid w:val="0"/>
                <w:color w:val="auto"/>
                <w:w w:val="99"/>
                <w:sz w:val="21"/>
                <w:szCs w:val="21"/>
                <w:highlight w:val="none"/>
              </w:rPr>
              <w:t>聚合物水泥防水涂料</w:t>
            </w:r>
          </w:p>
        </w:tc>
        <w:tc>
          <w:tcPr>
            <w:tcW w:w="2891" w:type="pct"/>
            <w:vAlign w:val="center"/>
          </w:tcPr>
          <w:p>
            <w:pPr>
              <w:adjustRightInd w:val="0"/>
              <w:snapToGrid w:val="0"/>
              <w:spacing w:line="320" w:lineRule="exact"/>
              <w:jc w:val="both"/>
              <w:rPr>
                <w:rFonts w:ascii="Times New Roman" w:hAnsi="Times New Roman" w:cs="Times New Roman"/>
                <w:snapToGrid w:val="0"/>
                <w:color w:val="auto"/>
                <w:w w:val="99"/>
                <w:sz w:val="21"/>
                <w:szCs w:val="21"/>
                <w:highlight w:val="none"/>
              </w:rPr>
            </w:pPr>
            <w:r>
              <w:rPr>
                <w:rFonts w:ascii="Times New Roman" w:hAnsi="Times New Roman" w:cs="Times New Roman"/>
                <w:snapToGrid w:val="0"/>
                <w:color w:val="auto"/>
                <w:w w:val="99"/>
                <w:sz w:val="21"/>
                <w:szCs w:val="21"/>
                <w:highlight w:val="none"/>
              </w:rPr>
              <w:t>JS防水涂料是一种以聚丙烯酸酯乳液、乙烯-醋酸乙烯酯共聚乳液等聚合物乳液与各种添加剂组成的有机液料，和水泥、石英砂、轻重质碳酸钙等无机填料及各种添加剂所组成的无机粉料通过合理配比、复合制成的一种双组份、水性建筑防水涂料。“JS”防水涂料2型的强度和延伸率分别是1.8MPa /80%，是高强低延伸</w:t>
            </w:r>
          </w:p>
        </w:tc>
        <w:tc>
          <w:tcPr>
            <w:tcW w:w="546" w:type="pct"/>
            <w:vAlign w:val="center"/>
          </w:tcPr>
          <w:p>
            <w:pPr>
              <w:adjustRightInd w:val="0"/>
              <w:snapToGrid w:val="0"/>
              <w:spacing w:line="320" w:lineRule="exact"/>
              <w:jc w:val="center"/>
              <w:rPr>
                <w:rFonts w:ascii="Times New Roman" w:hAnsi="Times New Roman" w:cs="Times New Roman"/>
                <w:snapToGrid w:val="0"/>
                <w:color w:val="auto"/>
                <w:w w:val="99"/>
                <w:sz w:val="21"/>
                <w:szCs w:val="21"/>
                <w:highlight w:val="none"/>
              </w:rPr>
            </w:pPr>
            <w:r>
              <w:rPr>
                <w:rFonts w:ascii="Times New Roman" w:hAnsi="Times New Roman" w:cs="Times New Roman"/>
                <w:snapToGrid w:val="0"/>
                <w:color w:val="auto"/>
                <w:w w:val="99"/>
                <w:sz w:val="21"/>
                <w:szCs w:val="21"/>
                <w:highlight w:val="none"/>
              </w:rPr>
              <w:t>无毒性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10</w:t>
            </w:r>
          </w:p>
        </w:tc>
        <w:tc>
          <w:tcPr>
            <w:tcW w:w="52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DYFT-1</w:t>
            </w:r>
          </w:p>
        </w:tc>
        <w:tc>
          <w:tcPr>
            <w:tcW w:w="699"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聚合物沥青树脂链接产物</w:t>
            </w:r>
          </w:p>
        </w:tc>
        <w:tc>
          <w:tcPr>
            <w:tcW w:w="2891" w:type="pct"/>
            <w:vAlign w:val="center"/>
          </w:tcPr>
          <w:p>
            <w:pPr>
              <w:widowControl w:val="0"/>
              <w:tabs>
                <w:tab w:val="left" w:pos="-315"/>
              </w:tabs>
              <w:spacing w:line="320" w:lineRule="exact"/>
              <w:jc w:val="both"/>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DYFT-1 为高效封堵降滤失剂，属于聚合物和沥青树脂链接产物。在原磺化沥青的基础上，又接枝了三交链树脂成分，在原来磺化沥青只有封堵作用的基础上，增强了材料的刚性和对地层的吸附性，特有的刚性增强了防塌和井壁稳定的作用，抗温可达到 180 度，有较强的封堵裂缝能力、稳定泥浆流变性、改善泥饼质量、降低滤失量。</w:t>
            </w:r>
          </w:p>
        </w:tc>
        <w:tc>
          <w:tcPr>
            <w:tcW w:w="546"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无毒性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11</w:t>
            </w:r>
          </w:p>
        </w:tc>
        <w:tc>
          <w:tcPr>
            <w:tcW w:w="522" w:type="pct"/>
            <w:vAlign w:val="center"/>
          </w:tcPr>
          <w:p>
            <w:pPr>
              <w:adjustRightInd w:val="0"/>
              <w:snapToGrid w:val="0"/>
              <w:spacing w:line="320" w:lineRule="exact"/>
              <w:jc w:val="center"/>
              <w:rPr>
                <w:rFonts w:ascii="Times New Roman" w:hAnsi="Times New Roman" w:cs="Times New Roman"/>
                <w:snapToGrid w:val="0"/>
                <w:color w:val="auto"/>
                <w:w w:val="99"/>
                <w:sz w:val="21"/>
                <w:szCs w:val="21"/>
                <w:highlight w:val="none"/>
              </w:rPr>
            </w:pPr>
            <w:r>
              <w:rPr>
                <w:rFonts w:ascii="Times New Roman" w:hAnsi="Times New Roman" w:cs="Times New Roman"/>
                <w:snapToGrid w:val="0"/>
                <w:color w:val="auto"/>
                <w:w w:val="99"/>
                <w:sz w:val="21"/>
                <w:szCs w:val="21"/>
                <w:highlight w:val="none"/>
              </w:rPr>
              <w:t>SPNH</w:t>
            </w:r>
          </w:p>
        </w:tc>
        <w:tc>
          <w:tcPr>
            <w:tcW w:w="699" w:type="pct"/>
            <w:vAlign w:val="center"/>
          </w:tcPr>
          <w:p>
            <w:pPr>
              <w:adjustRightInd w:val="0"/>
              <w:snapToGrid w:val="0"/>
              <w:spacing w:line="320" w:lineRule="exact"/>
              <w:jc w:val="center"/>
              <w:rPr>
                <w:rFonts w:ascii="Times New Roman" w:hAnsi="Times New Roman" w:cs="Times New Roman"/>
                <w:snapToGrid w:val="0"/>
                <w:color w:val="auto"/>
                <w:w w:val="99"/>
                <w:sz w:val="21"/>
                <w:szCs w:val="21"/>
                <w:highlight w:val="none"/>
              </w:rPr>
            </w:pPr>
            <w:r>
              <w:rPr>
                <w:rFonts w:ascii="Times New Roman" w:hAnsi="Times New Roman" w:cs="Times New Roman"/>
                <w:snapToGrid w:val="0"/>
                <w:color w:val="auto"/>
                <w:w w:val="99"/>
                <w:sz w:val="21"/>
                <w:szCs w:val="21"/>
                <w:highlight w:val="none"/>
              </w:rPr>
              <w:t>褐煤树脂</w:t>
            </w:r>
          </w:p>
        </w:tc>
        <w:tc>
          <w:tcPr>
            <w:tcW w:w="2891" w:type="pct"/>
            <w:vAlign w:val="center"/>
          </w:tcPr>
          <w:p>
            <w:pPr>
              <w:adjustRightInd w:val="0"/>
              <w:snapToGrid w:val="0"/>
              <w:spacing w:line="320" w:lineRule="exact"/>
              <w:jc w:val="both"/>
              <w:rPr>
                <w:rFonts w:ascii="Times New Roman" w:hAnsi="Times New Roman" w:cs="Times New Roman"/>
                <w:snapToGrid w:val="0"/>
                <w:color w:val="auto"/>
                <w:w w:val="99"/>
                <w:sz w:val="21"/>
                <w:szCs w:val="21"/>
                <w:highlight w:val="none"/>
              </w:rPr>
            </w:pPr>
            <w:r>
              <w:rPr>
                <w:rFonts w:ascii="Times New Roman" w:hAnsi="Times New Roman" w:cs="Times New Roman"/>
                <w:snapToGrid w:val="0"/>
                <w:color w:val="auto"/>
                <w:w w:val="99"/>
                <w:sz w:val="21"/>
                <w:szCs w:val="21"/>
                <w:highlight w:val="none"/>
              </w:rPr>
              <w:t>褐煤树脂（SPNH）是一种抗高温、抗盐降滤失剂。外观为黑褐色粉末，热稳定性好，抗温可达160~180</w:t>
            </w:r>
            <w:r>
              <w:rPr>
                <w:rFonts w:hint="eastAsia"/>
                <w:snapToGrid w:val="0"/>
                <w:color w:val="auto"/>
                <w:w w:val="99"/>
                <w:sz w:val="21"/>
                <w:szCs w:val="21"/>
                <w:highlight w:val="none"/>
              </w:rPr>
              <w:t>℃</w:t>
            </w:r>
            <w:r>
              <w:rPr>
                <w:rFonts w:ascii="Times New Roman" w:hAnsi="Times New Roman" w:cs="Times New Roman"/>
                <w:snapToGrid w:val="0"/>
                <w:color w:val="auto"/>
                <w:w w:val="99"/>
                <w:sz w:val="21"/>
                <w:szCs w:val="21"/>
                <w:highlight w:val="none"/>
              </w:rPr>
              <w:t>；抗盐性能好，抗盐可达饱和盐；降失水效果好，是目前钻井液处理剂中降失水性能较优越的产品；性能稳定，易维护；粘度效应低，不增加体系泥浆粘度。</w:t>
            </w:r>
          </w:p>
        </w:tc>
        <w:tc>
          <w:tcPr>
            <w:tcW w:w="546" w:type="pct"/>
            <w:vAlign w:val="center"/>
          </w:tcPr>
          <w:p>
            <w:pPr>
              <w:adjustRightInd w:val="0"/>
              <w:snapToGrid w:val="0"/>
              <w:spacing w:line="320" w:lineRule="exact"/>
              <w:jc w:val="center"/>
              <w:rPr>
                <w:rFonts w:ascii="Times New Roman" w:hAnsi="Times New Roman" w:cs="Times New Roman"/>
                <w:snapToGrid w:val="0"/>
                <w:color w:val="auto"/>
                <w:w w:val="99"/>
                <w:sz w:val="21"/>
                <w:szCs w:val="21"/>
                <w:highlight w:val="none"/>
              </w:rPr>
            </w:pPr>
            <w:r>
              <w:rPr>
                <w:rFonts w:ascii="Times New Roman" w:hAnsi="Times New Roman" w:cs="Times New Roman"/>
                <w:snapToGrid w:val="0"/>
                <w:color w:val="auto"/>
                <w:w w:val="99"/>
                <w:sz w:val="21"/>
                <w:szCs w:val="21"/>
                <w:highlight w:val="none"/>
              </w:rPr>
              <w:t>无毒性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12</w:t>
            </w:r>
          </w:p>
        </w:tc>
        <w:tc>
          <w:tcPr>
            <w:tcW w:w="52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超细碳酸钙</w:t>
            </w:r>
          </w:p>
        </w:tc>
        <w:tc>
          <w:tcPr>
            <w:tcW w:w="699"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CaCO</w:t>
            </w:r>
            <w:r>
              <w:rPr>
                <w:rFonts w:ascii="Times New Roman" w:hAnsi="Times New Roman" w:cs="Times New Roman"/>
                <w:bCs/>
                <w:color w:val="auto"/>
                <w:w w:val="99"/>
                <w:kern w:val="21"/>
                <w:sz w:val="21"/>
                <w:szCs w:val="21"/>
                <w:highlight w:val="none"/>
                <w:vertAlign w:val="subscript"/>
              </w:rPr>
              <w:t>3</w:t>
            </w:r>
          </w:p>
        </w:tc>
        <w:tc>
          <w:tcPr>
            <w:tcW w:w="2891" w:type="pct"/>
            <w:vAlign w:val="center"/>
          </w:tcPr>
          <w:p>
            <w:pPr>
              <w:widowControl w:val="0"/>
              <w:tabs>
                <w:tab w:val="left" w:pos="-315"/>
              </w:tabs>
              <w:spacing w:line="320" w:lineRule="exact"/>
              <w:jc w:val="both"/>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超细碳酸钙钙粒度是 400~2500 目之间的高白度精细粉末，是选用优质方解石矿石，它具有含量纯度高，白度高、粒径均匀，同时还具有无臭、无味、无腐蚀、无放射、符合环保条件等特点。由于重钙本身具有良好的分散性，其是橡胶塑料、造纸、食品、医药，高分子复合材料，日用化工等行业最佳的原料和填充材料。</w:t>
            </w:r>
          </w:p>
        </w:tc>
        <w:tc>
          <w:tcPr>
            <w:tcW w:w="546"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无毒性</w:t>
            </w:r>
          </w:p>
        </w:tc>
      </w:tr>
    </w:tbl>
    <w:p>
      <w:pPr>
        <w:pStyle w:val="7"/>
        <w:keepNext w:val="0"/>
        <w:keepLines w:val="0"/>
        <w:widowControl w:val="0"/>
        <w:rPr>
          <w:b/>
          <w:color w:val="auto"/>
          <w:w w:val="99"/>
          <w:kern w:val="2"/>
          <w:sz w:val="24"/>
          <w:szCs w:val="24"/>
          <w:highlight w:val="none"/>
        </w:rPr>
      </w:pPr>
      <w:bookmarkStart w:id="364" w:name="_Toc69690809"/>
      <w:bookmarkStart w:id="365" w:name="_Toc67523591"/>
      <w:bookmarkStart w:id="366" w:name="_Toc61597219"/>
      <w:bookmarkStart w:id="367" w:name="_Toc77667286"/>
      <w:bookmarkStart w:id="368" w:name="_Toc74812313"/>
      <w:bookmarkStart w:id="369" w:name="_Toc71371942"/>
      <w:bookmarkStart w:id="370" w:name="_Toc80105142"/>
      <w:r>
        <w:rPr>
          <w:b/>
          <w:color w:val="auto"/>
          <w:w w:val="99"/>
          <w:kern w:val="2"/>
          <w:sz w:val="24"/>
          <w:szCs w:val="24"/>
          <w:highlight w:val="none"/>
        </w:rPr>
        <w:t>3.3.2钻进</w:t>
      </w:r>
      <w:bookmarkEnd w:id="364"/>
      <w:bookmarkEnd w:id="365"/>
      <w:bookmarkEnd w:id="366"/>
      <w:bookmarkEnd w:id="367"/>
      <w:bookmarkEnd w:id="368"/>
      <w:bookmarkEnd w:id="369"/>
      <w:bookmarkEnd w:id="370"/>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钻进主要是利用钻头高效率地破碎岩石，钻进过程中通过循环的钻井泥浆将岩屑带出，施工过程中需时刻注意钻井泥浆的各项指标，以满足钻井需求。</w:t>
      </w:r>
    </w:p>
    <w:p>
      <w:pPr>
        <w:pStyle w:val="7"/>
        <w:keepNext w:val="0"/>
        <w:keepLines w:val="0"/>
        <w:widowControl w:val="0"/>
        <w:rPr>
          <w:b/>
          <w:color w:val="auto"/>
          <w:w w:val="99"/>
          <w:kern w:val="2"/>
          <w:sz w:val="24"/>
          <w:szCs w:val="24"/>
          <w:highlight w:val="none"/>
        </w:rPr>
      </w:pPr>
      <w:bookmarkStart w:id="371" w:name="_Toc74812314"/>
      <w:bookmarkStart w:id="372" w:name="_Toc69690810"/>
      <w:bookmarkStart w:id="373" w:name="_Toc67523592"/>
      <w:bookmarkStart w:id="374" w:name="_Toc80105143"/>
      <w:bookmarkStart w:id="375" w:name="_Toc71371943"/>
      <w:bookmarkStart w:id="376" w:name="_Toc61597220"/>
      <w:bookmarkStart w:id="377" w:name="_Toc77667287"/>
      <w:r>
        <w:rPr>
          <w:b/>
          <w:color w:val="auto"/>
          <w:w w:val="99"/>
          <w:kern w:val="2"/>
          <w:sz w:val="24"/>
          <w:szCs w:val="24"/>
          <w:highlight w:val="none"/>
        </w:rPr>
        <w:t>3.3.3井控</w:t>
      </w:r>
      <w:bookmarkEnd w:id="371"/>
      <w:bookmarkEnd w:id="372"/>
      <w:bookmarkEnd w:id="373"/>
      <w:bookmarkEnd w:id="374"/>
      <w:bookmarkEnd w:id="375"/>
      <w:bookmarkEnd w:id="376"/>
      <w:bookmarkEnd w:id="377"/>
    </w:p>
    <w:p>
      <w:pPr>
        <w:widowControl w:val="0"/>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为防止井喷事故发生，钻井施工单位做好HSE应急预案，采取必要的井控措施，预防或避免井喷事故造成环境污染。</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（1）一开井口装置</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井口导管深度3m~5m，导管中心与转盘中心偏差不大于20mm，倾斜度小于0.5°。一开井口装置设计见图3.3-2。</w:t>
      </w:r>
    </w:p>
    <w:p>
      <w:pPr>
        <w:adjustRightInd w:val="0"/>
        <w:snapToGrid w:val="0"/>
        <w:jc w:val="center"/>
        <w:rPr>
          <w:rFonts w:ascii="Times New Roman" w:hAnsi="Times New Roman" w:cs="Times New Roman" w:eastAsiaTheme="minorEastAsia"/>
          <w:color w:val="auto"/>
          <w:w w:val="99"/>
          <w:szCs w:val="22"/>
          <w:highlight w:val="none"/>
        </w:rPr>
      </w:pPr>
      <w:r>
        <w:rPr>
          <w:rFonts w:ascii="Times New Roman" w:hAnsi="Times New Roman"/>
          <w:color w:val="auto"/>
          <w:w w:val="99"/>
          <w:szCs w:val="20"/>
          <w:highlight w:val="none"/>
        </w:rPr>
        <w:drawing>
          <wp:inline distT="0" distB="0" distL="0" distR="0">
            <wp:extent cx="3248025" cy="2224405"/>
            <wp:effectExtent l="0" t="0" r="952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248025" cy="2224405"/>
                    </a:xfrm>
                    <a:prstGeom prst="rect">
                      <a:avLst/>
                    </a:prstGeom>
                    <a:noFill/>
                    <a:ln>
                      <a:noFill/>
                    </a:ln>
                  </pic:spPr>
                </pic:pic>
              </a:graphicData>
            </a:graphic>
          </wp:inline>
        </w:drawing>
      </w:r>
    </w:p>
    <w:p>
      <w:pPr>
        <w:adjustRightInd w:val="0"/>
        <w:snapToGrid w:val="0"/>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图3.3-2                 一开井口装置设计示意图</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（2）二开井口装置</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二开井口装置设计见图3.3-3。</w:t>
      </w:r>
    </w:p>
    <w:p>
      <w:pPr>
        <w:widowControl w:val="0"/>
        <w:jc w:val="center"/>
        <w:rPr>
          <w:rFonts w:ascii="Times New Roman" w:hAnsi="Times New Roman" w:cs="Times New Roman" w:eastAsiaTheme="minorEastAsia"/>
          <w:color w:val="auto"/>
          <w:w w:val="99"/>
          <w:kern w:val="21"/>
          <w:highlight w:val="none"/>
        </w:rPr>
      </w:pPr>
      <w:r>
        <w:rPr>
          <w:rFonts w:ascii="Times New Roman" w:hAnsi="Times New Roman"/>
          <w:b/>
          <w:color w:val="auto"/>
          <w:w w:val="99"/>
          <w:highlight w:val="none"/>
        </w:rPr>
        <w:drawing>
          <wp:inline distT="0" distB="0" distL="0" distR="0">
            <wp:extent cx="2652395" cy="24574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673995" cy="2477463"/>
                    </a:xfrm>
                    <a:prstGeom prst="rect">
                      <a:avLst/>
                    </a:prstGeom>
                    <a:noFill/>
                    <a:ln>
                      <a:noFill/>
                    </a:ln>
                  </pic:spPr>
                </pic:pic>
              </a:graphicData>
            </a:graphic>
          </wp:inline>
        </w:drawing>
      </w:r>
    </w:p>
    <w:p>
      <w:pPr>
        <w:widowControl w:val="0"/>
        <w:tabs>
          <w:tab w:val="left" w:pos="-315"/>
        </w:tabs>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图3.3-3            二开井口装置设计示意图</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（3）二开节流及压井管汇</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二开节流管汇及压井管汇设计见图3.3-4。</w:t>
      </w:r>
    </w:p>
    <w:p>
      <w:pPr>
        <w:widowControl w:val="0"/>
        <w:snapToGrid w:val="0"/>
        <w:jc w:val="center"/>
        <w:rPr>
          <w:rFonts w:ascii="Times New Roman" w:hAnsi="Times New Roman" w:cs="Times New Roman" w:eastAsiaTheme="minorEastAsia"/>
          <w:color w:val="auto"/>
          <w:w w:val="99"/>
          <w:kern w:val="21"/>
          <w:highlight w:val="none"/>
        </w:rPr>
      </w:pPr>
      <w:r>
        <w:rPr>
          <w:rFonts w:ascii="Times New Roman" w:hAnsi="Times New Roman" w:eastAsia="方正黑体简体"/>
          <w:color w:val="auto"/>
          <w:w w:val="99"/>
          <w:highlight w:val="none"/>
        </w:rPr>
        <w:drawing>
          <wp:inline distT="0" distB="0" distL="0" distR="0">
            <wp:extent cx="4915535" cy="2546985"/>
            <wp:effectExtent l="0" t="0" r="0" b="5715"/>
            <wp:docPr id="63" name="图片 63" descr="2020guanhui14mp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2020guanhui14mpa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921834" cy="2550501"/>
                    </a:xfrm>
                    <a:prstGeom prst="rect">
                      <a:avLst/>
                    </a:prstGeom>
                    <a:noFill/>
                    <a:ln>
                      <a:noFill/>
                    </a:ln>
                  </pic:spPr>
                </pic:pic>
              </a:graphicData>
            </a:graphic>
          </wp:inline>
        </w:drawing>
      </w:r>
    </w:p>
    <w:p>
      <w:pPr>
        <w:widowControl w:val="0"/>
        <w:tabs>
          <w:tab w:val="left" w:pos="-315"/>
        </w:tabs>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图3.3-4           二级井控风险井二开井口管汇示意图</w:t>
      </w:r>
    </w:p>
    <w:p>
      <w:pPr>
        <w:pStyle w:val="7"/>
        <w:keepNext w:val="0"/>
        <w:keepLines w:val="0"/>
        <w:widowControl w:val="0"/>
        <w:rPr>
          <w:b/>
          <w:color w:val="auto"/>
          <w:w w:val="99"/>
          <w:kern w:val="2"/>
          <w:sz w:val="24"/>
          <w:szCs w:val="24"/>
          <w:highlight w:val="none"/>
        </w:rPr>
      </w:pPr>
      <w:bookmarkStart w:id="378" w:name="_Toc67523593"/>
      <w:bookmarkStart w:id="379" w:name="_Toc80105144"/>
      <w:bookmarkStart w:id="380" w:name="_Toc77667288"/>
      <w:bookmarkStart w:id="381" w:name="_Toc61597221"/>
      <w:bookmarkStart w:id="382" w:name="_Toc74812315"/>
      <w:bookmarkStart w:id="383" w:name="_Toc69690811"/>
      <w:bookmarkStart w:id="384" w:name="_Toc71371944"/>
      <w:r>
        <w:rPr>
          <w:b/>
          <w:color w:val="auto"/>
          <w:w w:val="99"/>
          <w:kern w:val="2"/>
          <w:sz w:val="24"/>
          <w:szCs w:val="24"/>
          <w:highlight w:val="none"/>
        </w:rPr>
        <w:t>3.3.4录井</w:t>
      </w:r>
      <w:bookmarkEnd w:id="378"/>
      <w:bookmarkEnd w:id="379"/>
      <w:bookmarkEnd w:id="380"/>
      <w:bookmarkEnd w:id="381"/>
      <w:bookmarkEnd w:id="382"/>
      <w:bookmarkEnd w:id="383"/>
      <w:bookmarkEnd w:id="384"/>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（1）钻井参数录取</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钻井参数悬重、钻压、转数、排量、泵压等钻开油气层前1h测量1次，钻开油气层后0.5h测量1次，如有异常情况加密测量。</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（2）钻井液参数录取</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开钻至一开完钻，每间隔1h测量1次钻井液密度、粘度。</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二开钻开油层前，没间隔1h测量1次钻井液密度、粘度，每间隔8h测量1次钻井液全套性能；钻开油层后，每间隔0.5h测量1次钻井液密度、粘度，每间隔4h测量1次钻井液全套性能和钻井液电阻率；固井前测钻井液密度、粘度、切力、失水，并做好记录。循环过程中每间隔0.5h观察1次钻井液池液面高度、钻井液性能变化，以及是否含有气泡、油气侵等异常情况，如有异常加密测量钻井液密度、粘度，并进行相应处理。</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（3）钻井液参数</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录井项目要求：流量、体积、温度、密度、电导率。</w:t>
      </w:r>
    </w:p>
    <w:p>
      <w:pPr>
        <w:pStyle w:val="7"/>
        <w:keepNext w:val="0"/>
        <w:keepLines w:val="0"/>
        <w:widowControl w:val="0"/>
        <w:rPr>
          <w:b/>
          <w:color w:val="auto"/>
          <w:w w:val="99"/>
          <w:kern w:val="2"/>
          <w:sz w:val="24"/>
          <w:szCs w:val="24"/>
          <w:highlight w:val="none"/>
        </w:rPr>
      </w:pPr>
      <w:bookmarkStart w:id="385" w:name="_Toc61597222"/>
      <w:bookmarkStart w:id="386" w:name="_Toc69690812"/>
      <w:bookmarkStart w:id="387" w:name="_Toc74812316"/>
      <w:bookmarkStart w:id="388" w:name="_Toc80105145"/>
      <w:bookmarkStart w:id="389" w:name="_Toc77667289"/>
      <w:bookmarkStart w:id="390" w:name="_Toc67523594"/>
      <w:bookmarkStart w:id="391" w:name="_Toc71371945"/>
      <w:r>
        <w:rPr>
          <w:b/>
          <w:color w:val="auto"/>
          <w:w w:val="99"/>
          <w:kern w:val="2"/>
          <w:sz w:val="24"/>
          <w:szCs w:val="24"/>
          <w:highlight w:val="none"/>
        </w:rPr>
        <w:t>3.3.5测井</w:t>
      </w:r>
      <w:bookmarkEnd w:id="385"/>
      <w:bookmarkEnd w:id="386"/>
      <w:bookmarkEnd w:id="387"/>
      <w:bookmarkEnd w:id="388"/>
      <w:bookmarkEnd w:id="389"/>
      <w:bookmarkEnd w:id="390"/>
      <w:bookmarkEnd w:id="391"/>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测井配备专门的测井队，测井方式为电测井，电测井井控要求主要为：</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（1）若电测时间将要大于安全作业时间时，中途通井循环；</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（2）测井队到井后向钻井队了解井况，确认安全作业时间，电测时发生溢流立即停止电测，尽快起出井内电缆。当不具备起出电缆条件，钻井液涌出转盘面时，可在井口剪断电缆；</w:t>
      </w:r>
    </w:p>
    <w:p>
      <w:pPr>
        <w:widowControl w:val="0"/>
        <w:spacing w:line="500" w:lineRule="exact"/>
        <w:ind w:firstLine="474" w:firstLineChars="200"/>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highlight w:val="none"/>
        </w:rPr>
        <w:t>（3）由钻井队值班干部决定何时切断电缆并进行关井作业，测井队专用剪切工具放置在钻台上，测井中随时处于待命状态，测井队队长实施剪断电缆工作。</w:t>
      </w:r>
    </w:p>
    <w:p>
      <w:pPr>
        <w:pStyle w:val="7"/>
        <w:keepNext w:val="0"/>
        <w:keepLines w:val="0"/>
        <w:widowControl w:val="0"/>
        <w:rPr>
          <w:b/>
          <w:color w:val="auto"/>
          <w:w w:val="99"/>
          <w:kern w:val="2"/>
          <w:sz w:val="24"/>
          <w:szCs w:val="24"/>
          <w:highlight w:val="none"/>
        </w:rPr>
      </w:pPr>
      <w:bookmarkStart w:id="392" w:name="_Toc67523595"/>
      <w:bookmarkStart w:id="393" w:name="_Toc61597223"/>
      <w:bookmarkStart w:id="394" w:name="_Toc71371946"/>
      <w:bookmarkStart w:id="395" w:name="_Toc80105146"/>
      <w:bookmarkStart w:id="396" w:name="_Toc69690813"/>
      <w:bookmarkStart w:id="397" w:name="_Toc77667290"/>
      <w:bookmarkStart w:id="398" w:name="_Toc74812317"/>
      <w:r>
        <w:rPr>
          <w:b/>
          <w:color w:val="auto"/>
          <w:w w:val="99"/>
          <w:kern w:val="2"/>
          <w:sz w:val="24"/>
          <w:szCs w:val="24"/>
          <w:highlight w:val="none"/>
        </w:rPr>
        <w:t>3.3.6固井</w:t>
      </w:r>
      <w:bookmarkEnd w:id="392"/>
      <w:bookmarkEnd w:id="393"/>
      <w:bookmarkEnd w:id="394"/>
      <w:bookmarkEnd w:id="395"/>
      <w:bookmarkEnd w:id="396"/>
      <w:bookmarkEnd w:id="397"/>
      <w:bookmarkEnd w:id="398"/>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固井作业全过程保持井内压力平衡，防止因井漏、注水泥候凝失重造成井内压力失衡而导致井喷。注水泥浆时发生溢流，停止注水泥浆作业，替出井内水泥浆实施压井；固井顶替时发生溢流，先继续完成替量，然后关闭井口水泥头，关井。对于固井质量存在严重问题、威胁到井控安全、影响到后续钻井施工的井，采取有效措施进行处理，确保达到封固目的。拆卸井口、安装井控设备在水泥候凝后进行。具体固井注水泥用量见表3.3-6。</w:t>
      </w:r>
    </w:p>
    <w:p>
      <w:pPr>
        <w:widowControl w:val="0"/>
        <w:spacing w:line="500" w:lineRule="exact"/>
        <w:ind w:firstLine="474" w:firstLineChars="200"/>
        <w:rPr>
          <w:rFonts w:ascii="Times New Roman" w:hAnsi="Times New Roman" w:cs="Times New Roman" w:eastAsiaTheme="minorEastAsia"/>
          <w:b/>
          <w:bCs w:val="0"/>
          <w:color w:val="auto"/>
          <w:w w:val="99"/>
          <w:kern w:val="2"/>
          <w:szCs w:val="20"/>
          <w:highlight w:val="none"/>
        </w:rPr>
      </w:pPr>
      <w:r>
        <w:rPr>
          <w:rFonts w:ascii="Times New Roman" w:hAnsi="Times New Roman" w:cs="Times New Roman" w:eastAsiaTheme="minorEastAsia"/>
          <w:b/>
          <w:bCs w:val="0"/>
          <w:color w:val="auto"/>
          <w:w w:val="99"/>
          <w:kern w:val="2"/>
          <w:szCs w:val="20"/>
          <w:highlight w:val="none"/>
        </w:rPr>
        <w:t>表</w:t>
      </w:r>
      <w:r>
        <w:rPr>
          <w:rFonts w:ascii="Times New Roman" w:hAnsi="Times New Roman" w:cs="Times New Roman" w:eastAsiaTheme="minorEastAsia"/>
          <w:b/>
          <w:bCs w:val="0"/>
          <w:color w:val="auto"/>
          <w:w w:val="99"/>
          <w:kern w:val="21"/>
          <w:highlight w:val="none"/>
        </w:rPr>
        <w:t>3.3-6</w:t>
      </w:r>
      <w:r>
        <w:rPr>
          <w:rFonts w:ascii="Times New Roman" w:hAnsi="Times New Roman" w:cs="Times New Roman" w:eastAsiaTheme="minorEastAsia"/>
          <w:b/>
          <w:bCs w:val="0"/>
          <w:color w:val="auto"/>
          <w:w w:val="99"/>
          <w:kern w:val="2"/>
          <w:szCs w:val="20"/>
          <w:highlight w:val="none"/>
        </w:rPr>
        <w:t xml:space="preserve">                 固井水泥用量数据表</w:t>
      </w:r>
    </w:p>
    <w:tbl>
      <w:tblPr>
        <w:tblStyle w:val="8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851"/>
        <w:gridCol w:w="850"/>
        <w:gridCol w:w="992"/>
        <w:gridCol w:w="851"/>
        <w:gridCol w:w="1134"/>
        <w:gridCol w:w="1276"/>
        <w:gridCol w:w="850"/>
        <w:gridCol w:w="709"/>
        <w:gridCol w:w="8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套管程序</w:t>
            </w:r>
          </w:p>
        </w:tc>
        <w:tc>
          <w:tcPr>
            <w:tcW w:w="851" w:type="dxa"/>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套管尺寸/mm</w:t>
            </w:r>
          </w:p>
        </w:tc>
        <w:tc>
          <w:tcPr>
            <w:tcW w:w="850" w:type="dxa"/>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钻头尺寸/mm</w:t>
            </w:r>
          </w:p>
        </w:tc>
        <w:tc>
          <w:tcPr>
            <w:tcW w:w="992" w:type="dxa"/>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 xml:space="preserve">井径扩大率/% </w:t>
            </w:r>
          </w:p>
        </w:tc>
        <w:tc>
          <w:tcPr>
            <w:tcW w:w="851" w:type="dxa"/>
            <w:vAlign w:val="center"/>
          </w:tcPr>
          <w:p>
            <w:pPr>
              <w:widowControl w:val="0"/>
              <w:adjustRightInd w:val="0"/>
              <w:snapToGrid w:val="0"/>
              <w:spacing w:line="32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环空容 积/m</w:t>
            </w:r>
            <w:r>
              <w:rPr>
                <w:rFonts w:ascii="Times New Roman" w:hAnsi="Times New Roman" w:cs="Times New Roman"/>
                <w:color w:val="auto"/>
                <w:w w:val="99"/>
                <w:kern w:val="2"/>
                <w:sz w:val="21"/>
                <w:szCs w:val="21"/>
                <w:highlight w:val="none"/>
                <w:vertAlign w:val="superscript"/>
              </w:rPr>
              <w:t>3</w:t>
            </w:r>
          </w:p>
        </w:tc>
        <w:tc>
          <w:tcPr>
            <w:tcW w:w="1134" w:type="dxa"/>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水泥浆返深/m</w:t>
            </w:r>
          </w:p>
        </w:tc>
        <w:tc>
          <w:tcPr>
            <w:tcW w:w="1276" w:type="dxa"/>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阻流环深  度/m</w:t>
            </w:r>
          </w:p>
        </w:tc>
        <w:tc>
          <w:tcPr>
            <w:tcW w:w="850" w:type="dxa"/>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水泥级别</w:t>
            </w:r>
          </w:p>
        </w:tc>
        <w:tc>
          <w:tcPr>
            <w:tcW w:w="709" w:type="dxa"/>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附加</w:t>
            </w:r>
          </w:p>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w:t>
            </w:r>
          </w:p>
        </w:tc>
        <w:tc>
          <w:tcPr>
            <w:tcW w:w="835" w:type="dxa"/>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水泥用量/t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表层套管</w:t>
            </w:r>
          </w:p>
        </w:tc>
        <w:tc>
          <w:tcPr>
            <w:tcW w:w="851" w:type="dxa"/>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273.1</w:t>
            </w:r>
          </w:p>
        </w:tc>
        <w:tc>
          <w:tcPr>
            <w:tcW w:w="850" w:type="dxa"/>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342.9</w:t>
            </w:r>
          </w:p>
        </w:tc>
        <w:tc>
          <w:tcPr>
            <w:tcW w:w="992" w:type="dxa"/>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30</w:t>
            </w:r>
          </w:p>
        </w:tc>
        <w:tc>
          <w:tcPr>
            <w:tcW w:w="851" w:type="dxa"/>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13.83</w:t>
            </w:r>
          </w:p>
        </w:tc>
        <w:tc>
          <w:tcPr>
            <w:tcW w:w="1134" w:type="dxa"/>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地面</w:t>
            </w:r>
          </w:p>
        </w:tc>
        <w:tc>
          <w:tcPr>
            <w:tcW w:w="1276" w:type="dxa"/>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距完钻井深1m以内</w:t>
            </w:r>
          </w:p>
        </w:tc>
        <w:tc>
          <w:tcPr>
            <w:tcW w:w="850" w:type="dxa"/>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A</w:t>
            </w:r>
          </w:p>
        </w:tc>
        <w:tc>
          <w:tcPr>
            <w:tcW w:w="709" w:type="dxa"/>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40</w:t>
            </w:r>
          </w:p>
        </w:tc>
        <w:tc>
          <w:tcPr>
            <w:tcW w:w="835" w:type="dxa"/>
            <w:vAlign w:val="center"/>
          </w:tcPr>
          <w:p>
            <w:pPr>
              <w:adjustRightInd w:val="0"/>
              <w:snapToGrid w:val="0"/>
              <w:spacing w:line="320" w:lineRule="exact"/>
              <w:jc w:val="center"/>
              <w:rPr>
                <w:rFonts w:hint="default" w:ascii="Times New Roman" w:hAnsi="Times New Roman" w:eastAsia="宋体" w:cs="Times New Roman"/>
                <w:color w:val="auto"/>
                <w:w w:val="99"/>
                <w:position w:val="6"/>
                <w:sz w:val="21"/>
                <w:szCs w:val="21"/>
                <w:highlight w:val="none"/>
                <w:lang w:val="en-US" w:eastAsia="zh-CN"/>
              </w:rPr>
            </w:pPr>
            <w:r>
              <w:rPr>
                <w:rFonts w:hint="eastAsia" w:ascii="Times New Roman" w:hAnsi="Times New Roman" w:cs="Times New Roman"/>
                <w:color w:val="auto"/>
                <w:w w:val="99"/>
                <w:position w:val="6"/>
                <w:sz w:val="21"/>
                <w:szCs w:val="21"/>
                <w:highlight w:val="none"/>
                <w:lang w:val="en-US" w:eastAsia="zh-CN"/>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Merge w:val="restart"/>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生产套管</w:t>
            </w:r>
          </w:p>
        </w:tc>
        <w:tc>
          <w:tcPr>
            <w:tcW w:w="851" w:type="dxa"/>
            <w:vMerge w:val="restart"/>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139.7</w:t>
            </w:r>
          </w:p>
        </w:tc>
        <w:tc>
          <w:tcPr>
            <w:tcW w:w="850" w:type="dxa"/>
            <w:vMerge w:val="restart"/>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215.9</w:t>
            </w:r>
          </w:p>
        </w:tc>
        <w:tc>
          <w:tcPr>
            <w:tcW w:w="992" w:type="dxa"/>
            <w:vMerge w:val="restart"/>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10</w:t>
            </w:r>
          </w:p>
        </w:tc>
        <w:tc>
          <w:tcPr>
            <w:tcW w:w="851" w:type="dxa"/>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29.64</w:t>
            </w:r>
          </w:p>
        </w:tc>
        <w:tc>
          <w:tcPr>
            <w:tcW w:w="1134" w:type="dxa"/>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地面</w:t>
            </w:r>
          </w:p>
        </w:tc>
        <w:tc>
          <w:tcPr>
            <w:tcW w:w="1276" w:type="dxa"/>
            <w:vMerge w:val="restart"/>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距完钻</w:t>
            </w:r>
          </w:p>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井深15m以内</w:t>
            </w:r>
          </w:p>
        </w:tc>
        <w:tc>
          <w:tcPr>
            <w:tcW w:w="850" w:type="dxa"/>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高强</w:t>
            </w:r>
          </w:p>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低密度</w:t>
            </w:r>
          </w:p>
        </w:tc>
        <w:tc>
          <w:tcPr>
            <w:tcW w:w="709" w:type="dxa"/>
            <w:vMerge w:val="restart"/>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15</w:t>
            </w:r>
          </w:p>
        </w:tc>
        <w:tc>
          <w:tcPr>
            <w:tcW w:w="835" w:type="dxa"/>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Merge w:val="continue"/>
            <w:vAlign w:val="center"/>
          </w:tcPr>
          <w:p>
            <w:pPr>
              <w:spacing w:line="320" w:lineRule="exact"/>
              <w:jc w:val="center"/>
              <w:rPr>
                <w:rFonts w:ascii="Times New Roman" w:hAnsi="Times New Roman" w:cs="Times New Roman"/>
                <w:color w:val="auto"/>
                <w:w w:val="99"/>
                <w:kern w:val="21"/>
                <w:sz w:val="21"/>
                <w:szCs w:val="21"/>
                <w:highlight w:val="none"/>
              </w:rPr>
            </w:pPr>
          </w:p>
        </w:tc>
        <w:tc>
          <w:tcPr>
            <w:tcW w:w="851" w:type="dxa"/>
            <w:vMerge w:val="continue"/>
            <w:vAlign w:val="center"/>
          </w:tcPr>
          <w:p>
            <w:pPr>
              <w:spacing w:line="320" w:lineRule="exact"/>
              <w:jc w:val="center"/>
              <w:rPr>
                <w:rFonts w:ascii="Times New Roman" w:hAnsi="Times New Roman" w:cs="Times New Roman"/>
                <w:color w:val="auto"/>
                <w:w w:val="99"/>
                <w:kern w:val="21"/>
                <w:sz w:val="21"/>
                <w:szCs w:val="21"/>
                <w:highlight w:val="none"/>
              </w:rPr>
            </w:pPr>
          </w:p>
        </w:tc>
        <w:tc>
          <w:tcPr>
            <w:tcW w:w="850" w:type="dxa"/>
            <w:vMerge w:val="continue"/>
            <w:vAlign w:val="center"/>
          </w:tcPr>
          <w:p>
            <w:pPr>
              <w:spacing w:line="320" w:lineRule="exact"/>
              <w:jc w:val="center"/>
              <w:rPr>
                <w:rFonts w:ascii="Times New Roman" w:hAnsi="Times New Roman" w:cs="Times New Roman"/>
                <w:color w:val="auto"/>
                <w:w w:val="99"/>
                <w:kern w:val="21"/>
                <w:sz w:val="21"/>
                <w:szCs w:val="21"/>
                <w:highlight w:val="none"/>
              </w:rPr>
            </w:pPr>
          </w:p>
        </w:tc>
        <w:tc>
          <w:tcPr>
            <w:tcW w:w="992" w:type="dxa"/>
            <w:vMerge w:val="continue"/>
            <w:vAlign w:val="center"/>
          </w:tcPr>
          <w:p>
            <w:pPr>
              <w:spacing w:line="320" w:lineRule="exact"/>
              <w:jc w:val="center"/>
              <w:rPr>
                <w:rFonts w:ascii="Times New Roman" w:hAnsi="Times New Roman" w:cs="Times New Roman"/>
                <w:color w:val="auto"/>
                <w:w w:val="99"/>
                <w:kern w:val="21"/>
                <w:sz w:val="21"/>
                <w:szCs w:val="21"/>
                <w:highlight w:val="none"/>
              </w:rPr>
            </w:pPr>
          </w:p>
        </w:tc>
        <w:tc>
          <w:tcPr>
            <w:tcW w:w="851" w:type="dxa"/>
            <w:vAlign w:val="center"/>
          </w:tcPr>
          <w:p>
            <w:pPr>
              <w:spacing w:line="320" w:lineRule="exact"/>
              <w:jc w:val="center"/>
              <w:rPr>
                <w:rFonts w:ascii="Times New Roman" w:hAnsi="Times New Roman" w:cs="Times New Roman"/>
                <w:color w:val="auto"/>
                <w:w w:val="99"/>
                <w:kern w:val="21"/>
                <w:sz w:val="21"/>
                <w:szCs w:val="21"/>
                <w:highlight w:val="none"/>
              </w:rPr>
            </w:pPr>
            <w:r>
              <w:rPr>
                <w:rFonts w:ascii="Times New Roman" w:hAnsi="Times New Roman" w:cs="Times New Roman"/>
                <w:color w:val="auto"/>
                <w:w w:val="99"/>
                <w:position w:val="6"/>
                <w:sz w:val="21"/>
                <w:szCs w:val="21"/>
                <w:highlight w:val="none"/>
              </w:rPr>
              <w:t>27.75</w:t>
            </w:r>
          </w:p>
        </w:tc>
        <w:tc>
          <w:tcPr>
            <w:tcW w:w="1134" w:type="dxa"/>
            <w:vAlign w:val="center"/>
          </w:tcPr>
          <w:p>
            <w:pPr>
              <w:spacing w:line="320" w:lineRule="exact"/>
              <w:jc w:val="center"/>
              <w:rPr>
                <w:rFonts w:ascii="Times New Roman" w:hAnsi="Times New Roman" w:cs="Times New Roman"/>
                <w:color w:val="auto"/>
                <w:w w:val="99"/>
                <w:kern w:val="21"/>
                <w:sz w:val="21"/>
                <w:szCs w:val="21"/>
                <w:highlight w:val="none"/>
              </w:rPr>
            </w:pPr>
            <w:r>
              <w:rPr>
                <w:rFonts w:ascii="Times New Roman" w:hAnsi="Times New Roman" w:cs="Times New Roman"/>
                <w:color w:val="auto"/>
                <w:w w:val="99"/>
                <w:position w:val="6"/>
                <w:sz w:val="21"/>
                <w:szCs w:val="21"/>
                <w:highlight w:val="none"/>
              </w:rPr>
              <w:t>油层顶以上100m</w:t>
            </w:r>
          </w:p>
        </w:tc>
        <w:tc>
          <w:tcPr>
            <w:tcW w:w="1276" w:type="dxa"/>
            <w:vMerge w:val="continue"/>
            <w:vAlign w:val="center"/>
          </w:tcPr>
          <w:p>
            <w:pPr>
              <w:spacing w:line="320" w:lineRule="exact"/>
              <w:jc w:val="center"/>
              <w:rPr>
                <w:rFonts w:ascii="Times New Roman" w:hAnsi="Times New Roman" w:cs="Times New Roman"/>
                <w:color w:val="auto"/>
                <w:w w:val="99"/>
                <w:kern w:val="21"/>
                <w:sz w:val="21"/>
                <w:szCs w:val="21"/>
                <w:highlight w:val="none"/>
              </w:rPr>
            </w:pPr>
          </w:p>
        </w:tc>
        <w:tc>
          <w:tcPr>
            <w:tcW w:w="850" w:type="dxa"/>
            <w:vAlign w:val="center"/>
          </w:tcPr>
          <w:p>
            <w:pPr>
              <w:spacing w:line="320" w:lineRule="exact"/>
              <w:jc w:val="center"/>
              <w:rPr>
                <w:rFonts w:ascii="Times New Roman" w:hAnsi="Times New Roman" w:cs="Times New Roman"/>
                <w:color w:val="auto"/>
                <w:w w:val="99"/>
                <w:kern w:val="21"/>
                <w:sz w:val="21"/>
                <w:szCs w:val="21"/>
                <w:highlight w:val="none"/>
              </w:rPr>
            </w:pPr>
            <w:r>
              <w:rPr>
                <w:rFonts w:ascii="Times New Roman" w:hAnsi="Times New Roman" w:cs="Times New Roman"/>
                <w:color w:val="auto"/>
                <w:w w:val="99"/>
                <w:position w:val="6"/>
                <w:sz w:val="21"/>
                <w:szCs w:val="21"/>
                <w:highlight w:val="none"/>
              </w:rPr>
              <w:t xml:space="preserve">G  </w:t>
            </w:r>
          </w:p>
        </w:tc>
        <w:tc>
          <w:tcPr>
            <w:tcW w:w="709" w:type="dxa"/>
            <w:vMerge w:val="continue"/>
            <w:vAlign w:val="center"/>
          </w:tcPr>
          <w:p>
            <w:pPr>
              <w:spacing w:line="320" w:lineRule="exact"/>
              <w:jc w:val="center"/>
              <w:rPr>
                <w:rFonts w:ascii="Times New Roman" w:hAnsi="Times New Roman" w:cs="Times New Roman"/>
                <w:color w:val="auto"/>
                <w:w w:val="99"/>
                <w:kern w:val="21"/>
                <w:sz w:val="21"/>
                <w:szCs w:val="21"/>
                <w:highlight w:val="none"/>
              </w:rPr>
            </w:pPr>
          </w:p>
        </w:tc>
        <w:tc>
          <w:tcPr>
            <w:tcW w:w="835" w:type="dxa"/>
            <w:vAlign w:val="center"/>
          </w:tcPr>
          <w:p>
            <w:pPr>
              <w:spacing w:line="320" w:lineRule="exact"/>
              <w:jc w:val="center"/>
              <w:rPr>
                <w:rFonts w:ascii="Times New Roman" w:hAnsi="Times New Roman" w:cs="Times New Roman"/>
                <w:color w:val="auto"/>
                <w:w w:val="99"/>
                <w:kern w:val="21"/>
                <w:sz w:val="21"/>
                <w:szCs w:val="21"/>
                <w:highlight w:val="none"/>
              </w:rPr>
            </w:pPr>
            <w:r>
              <w:rPr>
                <w:rFonts w:ascii="Times New Roman" w:hAnsi="Times New Roman" w:cs="Times New Roman"/>
                <w:color w:val="auto"/>
                <w:w w:val="99"/>
                <w:position w:val="6"/>
                <w:sz w:val="21"/>
                <w:szCs w:val="21"/>
                <w:highlight w:val="none"/>
              </w:rPr>
              <w:t>43</w:t>
            </w:r>
          </w:p>
        </w:tc>
      </w:tr>
    </w:tbl>
    <w:p>
      <w:pPr>
        <w:pStyle w:val="7"/>
        <w:keepNext w:val="0"/>
        <w:keepLines w:val="0"/>
        <w:widowControl w:val="0"/>
        <w:rPr>
          <w:b/>
          <w:color w:val="auto"/>
          <w:w w:val="99"/>
          <w:kern w:val="2"/>
          <w:sz w:val="24"/>
          <w:szCs w:val="24"/>
          <w:highlight w:val="none"/>
        </w:rPr>
      </w:pPr>
      <w:bookmarkStart w:id="399" w:name="_Toc71371947"/>
      <w:bookmarkStart w:id="400" w:name="_Toc67523596"/>
      <w:bookmarkStart w:id="401" w:name="_Toc69690814"/>
      <w:bookmarkStart w:id="402" w:name="_Toc77667291"/>
      <w:bookmarkStart w:id="403" w:name="_Toc61597224"/>
      <w:bookmarkStart w:id="404" w:name="_Toc80105147"/>
      <w:bookmarkStart w:id="405" w:name="_Toc74812318"/>
      <w:r>
        <w:rPr>
          <w:b/>
          <w:color w:val="auto"/>
          <w:w w:val="99"/>
          <w:kern w:val="2"/>
          <w:sz w:val="24"/>
          <w:szCs w:val="24"/>
          <w:highlight w:val="none"/>
        </w:rPr>
        <w:t>3.3.7完井</w:t>
      </w:r>
      <w:bookmarkEnd w:id="399"/>
      <w:bookmarkEnd w:id="400"/>
      <w:bookmarkEnd w:id="401"/>
      <w:bookmarkEnd w:id="402"/>
      <w:bookmarkEnd w:id="403"/>
      <w:bookmarkEnd w:id="404"/>
      <w:bookmarkEnd w:id="405"/>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项目完井采用射孔完井，射孔完井法即钻穿油、气层，下入油层套管，固井后对生产层射孔。射孔是在井内下入专门的射孔器在油层部位射孔，穿透套管的水泥环进入地层，使油气层通过这些孔道与井底连通，从而为油流入井内造成通道的过程。采用射孔液主要成分为氯化钠或氯化钾类无机盐类水溶液，加适量黏土稳定剂。</w:t>
      </w:r>
      <w:r>
        <w:rPr>
          <w:rFonts w:ascii="Times New Roman" w:hAnsi="Times New Roman" w:cs="Times New Roman" w:eastAsiaTheme="minorEastAsia"/>
          <w:bCs/>
          <w:color w:val="auto"/>
          <w:w w:val="99"/>
          <w:kern w:val="21"/>
          <w:highlight w:val="none"/>
        </w:rPr>
        <w:t>射孔液主要成分理化性质见表</w:t>
      </w:r>
      <w:r>
        <w:rPr>
          <w:rFonts w:ascii="Times New Roman" w:hAnsi="Times New Roman" w:cs="Times New Roman" w:eastAsiaTheme="minorEastAsia"/>
          <w:color w:val="auto"/>
          <w:w w:val="99"/>
          <w:kern w:val="21"/>
          <w:highlight w:val="none"/>
        </w:rPr>
        <w:t>3.3-</w:t>
      </w:r>
      <w:r>
        <w:rPr>
          <w:rFonts w:ascii="Times New Roman" w:hAnsi="Times New Roman" w:cs="Times New Roman" w:eastAsiaTheme="minorEastAsia"/>
          <w:bCs/>
          <w:color w:val="auto"/>
          <w:w w:val="99"/>
          <w:kern w:val="21"/>
          <w:highlight w:val="none"/>
        </w:rPr>
        <w:t>7</w:t>
      </w:r>
      <w:r>
        <w:rPr>
          <w:rFonts w:ascii="Times New Roman" w:hAnsi="Times New Roman" w:cs="Times New Roman" w:eastAsiaTheme="minorEastAsia"/>
          <w:color w:val="auto"/>
          <w:w w:val="99"/>
          <w:kern w:val="21"/>
          <w:highlight w:val="none"/>
        </w:rPr>
        <w:t>。</w:t>
      </w:r>
    </w:p>
    <w:p>
      <w:pPr>
        <w:widowControl w:val="0"/>
        <w:spacing w:line="500" w:lineRule="exact"/>
        <w:ind w:firstLine="474" w:firstLineChars="200"/>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1"/>
          <w:highlight w:val="none"/>
        </w:rPr>
        <w:t>表3.3-7                   射孔液成分理化性质表</w:t>
      </w:r>
    </w:p>
    <w:tbl>
      <w:tblPr>
        <w:tblStyle w:val="82"/>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016"/>
        <w:gridCol w:w="75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 w:type="pct"/>
            <w:vAlign w:val="center"/>
          </w:tcPr>
          <w:p>
            <w:pPr>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序号</w:t>
            </w:r>
          </w:p>
        </w:tc>
        <w:tc>
          <w:tcPr>
            <w:tcW w:w="547" w:type="pct"/>
            <w:vAlign w:val="center"/>
          </w:tcPr>
          <w:p>
            <w:pPr>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原料名称</w:t>
            </w:r>
          </w:p>
        </w:tc>
        <w:tc>
          <w:tcPr>
            <w:tcW w:w="4064" w:type="pct"/>
            <w:vAlign w:val="center"/>
          </w:tcPr>
          <w:p>
            <w:pPr>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理化性质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 w:type="pct"/>
            <w:vAlign w:val="center"/>
          </w:tcPr>
          <w:p>
            <w:pPr>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1</w:t>
            </w:r>
          </w:p>
        </w:tc>
        <w:tc>
          <w:tcPr>
            <w:tcW w:w="547" w:type="pct"/>
            <w:vAlign w:val="center"/>
          </w:tcPr>
          <w:p>
            <w:pPr>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NaCl</w:t>
            </w:r>
          </w:p>
        </w:tc>
        <w:tc>
          <w:tcPr>
            <w:tcW w:w="4064" w:type="pct"/>
            <w:vAlign w:val="center"/>
          </w:tcPr>
          <w:p>
            <w:pPr>
              <w:snapToGrid w:val="0"/>
              <w:spacing w:line="36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白色晶状体，无化学毒性，但摄入量过多会引起细胞脱水，严重者会导致死亡。皮肤接触后用清水清洗即可。不易燃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 w:type="pct"/>
            <w:vAlign w:val="center"/>
          </w:tcPr>
          <w:p>
            <w:pPr>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2</w:t>
            </w:r>
          </w:p>
        </w:tc>
        <w:tc>
          <w:tcPr>
            <w:tcW w:w="547" w:type="pct"/>
            <w:vAlign w:val="center"/>
          </w:tcPr>
          <w:p>
            <w:pPr>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KCl</w:t>
            </w:r>
          </w:p>
        </w:tc>
        <w:tc>
          <w:tcPr>
            <w:tcW w:w="4064" w:type="pct"/>
            <w:vAlign w:val="center"/>
          </w:tcPr>
          <w:p>
            <w:pPr>
              <w:snapToGrid w:val="0"/>
              <w:spacing w:line="36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无色细长菱形或成一立方晶体，或白色结晶小颗粒粉末，外观如同食盐，无臭、味咸。皮肤接触后用清水清洗干净即可。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 w:type="pct"/>
            <w:vAlign w:val="center"/>
          </w:tcPr>
          <w:p>
            <w:pPr>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3</w:t>
            </w:r>
          </w:p>
        </w:tc>
        <w:tc>
          <w:tcPr>
            <w:tcW w:w="547" w:type="pct"/>
            <w:vAlign w:val="center"/>
          </w:tcPr>
          <w:p>
            <w:pPr>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黏土稳定剂</w:t>
            </w:r>
          </w:p>
        </w:tc>
        <w:tc>
          <w:tcPr>
            <w:tcW w:w="4064" w:type="pct"/>
            <w:vAlign w:val="center"/>
          </w:tcPr>
          <w:p>
            <w:pPr>
              <w:snapToGrid w:val="0"/>
              <w:spacing w:line="36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双聚铵盐(NH</w:t>
            </w:r>
            <w:r>
              <w:rPr>
                <w:rFonts w:ascii="Times New Roman" w:hAnsi="Times New Roman" w:cs="Times New Roman" w:eastAsiaTheme="minorEastAsia"/>
                <w:color w:val="auto"/>
                <w:w w:val="99"/>
                <w:kern w:val="21"/>
                <w:sz w:val="21"/>
                <w:szCs w:val="21"/>
                <w:highlight w:val="none"/>
                <w:vertAlign w:val="subscript"/>
              </w:rPr>
              <w:t>4</w:t>
            </w:r>
            <w:r>
              <w:rPr>
                <w:rFonts w:ascii="Times New Roman" w:hAnsi="Times New Roman" w:cs="Times New Roman" w:eastAsiaTheme="minorEastAsia"/>
                <w:color w:val="auto"/>
                <w:w w:val="99"/>
                <w:kern w:val="21"/>
                <w:sz w:val="21"/>
                <w:szCs w:val="21"/>
                <w:highlight w:val="none"/>
              </w:rPr>
              <w:t>-HPAN-2)，外观为自由流动的粉末及颗粒，铵含量（%）≤6.0，是水解聚丙烯腈-铵盐（NH</w:t>
            </w:r>
            <w:r>
              <w:rPr>
                <w:rFonts w:ascii="Times New Roman" w:hAnsi="Times New Roman" w:cs="Times New Roman" w:eastAsiaTheme="minorEastAsia"/>
                <w:color w:val="auto"/>
                <w:w w:val="99"/>
                <w:kern w:val="21"/>
                <w:sz w:val="21"/>
                <w:szCs w:val="21"/>
                <w:highlight w:val="none"/>
                <w:vertAlign w:val="subscript"/>
              </w:rPr>
              <w:t>4</w:t>
            </w:r>
            <w:r>
              <w:rPr>
                <w:rFonts w:ascii="Times New Roman" w:hAnsi="Times New Roman" w:cs="Times New Roman" w:eastAsiaTheme="minorEastAsia"/>
                <w:color w:val="auto"/>
                <w:w w:val="99"/>
                <w:kern w:val="21"/>
                <w:sz w:val="21"/>
                <w:szCs w:val="21"/>
                <w:highlight w:val="none"/>
              </w:rPr>
              <w:t>-HPAN）的进一步改进，克服了铵盐抗盐、抗钙力较差的缺点，是腈纶丝、丙烯酰胺、氨水在高温、高压下聚合的产物，因带有-NH</w:t>
            </w:r>
            <w:r>
              <w:rPr>
                <w:rFonts w:ascii="Times New Roman" w:hAnsi="Times New Roman" w:cs="Times New Roman" w:eastAsiaTheme="minorEastAsia"/>
                <w:color w:val="auto"/>
                <w:w w:val="99"/>
                <w:kern w:val="21"/>
                <w:sz w:val="21"/>
                <w:szCs w:val="21"/>
                <w:highlight w:val="none"/>
                <w:vertAlign w:val="subscript"/>
              </w:rPr>
              <w:t>4</w:t>
            </w:r>
            <w:r>
              <w:rPr>
                <w:rFonts w:ascii="Times New Roman" w:hAnsi="Times New Roman" w:cs="Times New Roman" w:eastAsiaTheme="minorEastAsia"/>
                <w:color w:val="auto"/>
                <w:w w:val="99"/>
                <w:kern w:val="21"/>
                <w:sz w:val="21"/>
                <w:szCs w:val="21"/>
                <w:highlight w:val="none"/>
              </w:rPr>
              <w:t>、-NH</w:t>
            </w:r>
            <w:r>
              <w:rPr>
                <w:rFonts w:ascii="Times New Roman" w:hAnsi="Times New Roman" w:cs="Times New Roman" w:eastAsiaTheme="minorEastAsia"/>
                <w:color w:val="auto"/>
                <w:w w:val="99"/>
                <w:kern w:val="21"/>
                <w:sz w:val="21"/>
                <w:szCs w:val="21"/>
                <w:highlight w:val="none"/>
                <w:vertAlign w:val="subscript"/>
              </w:rPr>
              <w:t>2</w:t>
            </w:r>
            <w:r>
              <w:rPr>
                <w:rFonts w:ascii="Times New Roman" w:hAnsi="Times New Roman" w:cs="Times New Roman" w:eastAsiaTheme="minorEastAsia"/>
                <w:color w:val="auto"/>
                <w:w w:val="99"/>
                <w:kern w:val="21"/>
                <w:sz w:val="21"/>
                <w:szCs w:val="21"/>
                <w:highlight w:val="none"/>
              </w:rPr>
              <w:t>、-CN基团，具有一定的防塌、防水化膨胀和很好的抗盐能力，无毒性</w:t>
            </w:r>
          </w:p>
        </w:tc>
      </w:tr>
    </w:tbl>
    <w:p>
      <w:pPr>
        <w:pStyle w:val="5"/>
        <w:keepNext w:val="0"/>
        <w:keepLines w:val="0"/>
        <w:widowControl w:val="0"/>
        <w:rPr>
          <w:rFonts w:ascii="Times New Roman" w:hAnsi="Times New Roman"/>
          <w:b/>
          <w:snapToGrid w:val="0"/>
          <w:color w:val="auto"/>
          <w:w w:val="99"/>
          <w:highlight w:val="none"/>
        </w:rPr>
      </w:pPr>
      <w:bookmarkStart w:id="406" w:name="_Toc80105148"/>
      <w:r>
        <w:rPr>
          <w:rFonts w:ascii="Times New Roman" w:hAnsi="Times New Roman"/>
          <w:b/>
          <w:snapToGrid w:val="0"/>
          <w:color w:val="auto"/>
          <w:w w:val="99"/>
          <w:highlight w:val="none"/>
        </w:rPr>
        <w:t>3.4钻井进度</w:t>
      </w:r>
      <w:bookmarkEnd w:id="406"/>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hint="eastAsia" w:ascii="Times New Roman" w:hAnsi="Times New Roman" w:cs="Times New Roman" w:eastAsiaTheme="minorEastAsia"/>
          <w:color w:val="auto"/>
          <w:w w:val="99"/>
          <w:kern w:val="21"/>
          <w:highlight w:val="none"/>
        </w:rPr>
        <w:t>本项目</w:t>
      </w:r>
      <w:r>
        <w:rPr>
          <w:rFonts w:ascii="Times New Roman" w:hAnsi="Times New Roman" w:cs="Times New Roman" w:eastAsiaTheme="minorEastAsia"/>
          <w:color w:val="auto"/>
          <w:w w:val="99"/>
          <w:kern w:val="21"/>
          <w:highlight w:val="none"/>
        </w:rPr>
        <w:t>钻井进度按照</w:t>
      </w:r>
      <w:r>
        <w:rPr>
          <w:rFonts w:hint="eastAsia" w:ascii="Times New Roman" w:hAnsi="Times New Roman" w:cs="Times New Roman" w:eastAsiaTheme="minorEastAsia"/>
          <w:color w:val="auto"/>
          <w:w w:val="99"/>
          <w:kern w:val="21"/>
          <w:highlight w:val="none"/>
        </w:rPr>
        <w:t>拟钻井</w:t>
      </w:r>
      <w:r>
        <w:rPr>
          <w:rFonts w:ascii="Times New Roman" w:hAnsi="Times New Roman" w:cs="Times New Roman" w:eastAsiaTheme="minorEastAsia"/>
          <w:color w:val="auto"/>
          <w:w w:val="99"/>
          <w:kern w:val="21"/>
          <w:highlight w:val="none"/>
        </w:rPr>
        <w:t>最大井深</w:t>
      </w:r>
      <w:r>
        <w:rPr>
          <w:rFonts w:hint="eastAsia" w:ascii="Times New Roman" w:hAnsi="Times New Roman" w:cs="Times New Roman" w:eastAsiaTheme="minorEastAsia"/>
          <w:color w:val="auto"/>
          <w:w w:val="99"/>
          <w:kern w:val="21"/>
          <w:highlight w:val="none"/>
          <w:lang w:val="en-US" w:eastAsia="zh-CN"/>
        </w:rPr>
        <w:t>1867</w:t>
      </w:r>
      <w:r>
        <w:rPr>
          <w:rFonts w:ascii="Times New Roman" w:hAnsi="Times New Roman" w:cs="Times New Roman" w:eastAsiaTheme="minorEastAsia"/>
          <w:color w:val="auto"/>
          <w:w w:val="99"/>
          <w:kern w:val="21"/>
          <w:highlight w:val="none"/>
        </w:rPr>
        <w:t>m</w:t>
      </w:r>
      <w:r>
        <w:rPr>
          <w:rFonts w:hint="eastAsia" w:ascii="Times New Roman" w:hAnsi="Times New Roman" w:cs="Times New Roman" w:eastAsiaTheme="minorEastAsia"/>
          <w:color w:val="auto"/>
          <w:w w:val="99"/>
          <w:kern w:val="21"/>
          <w:highlight w:val="none"/>
        </w:rPr>
        <w:t>进行</w:t>
      </w:r>
      <w:r>
        <w:rPr>
          <w:rFonts w:ascii="Times New Roman" w:hAnsi="Times New Roman" w:cs="Times New Roman" w:eastAsiaTheme="minorEastAsia"/>
          <w:color w:val="auto"/>
          <w:w w:val="99"/>
          <w:kern w:val="21"/>
          <w:highlight w:val="none"/>
        </w:rPr>
        <w:t>预测，本项目钻井进度计划见表3.4-1。</w:t>
      </w:r>
    </w:p>
    <w:p>
      <w:pPr>
        <w:widowControl w:val="0"/>
        <w:spacing w:line="500" w:lineRule="exact"/>
        <w:ind w:firstLine="474" w:firstLineChars="200"/>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1"/>
          <w:highlight w:val="none"/>
        </w:rPr>
        <w:t>表3.4-1                     钻井进度计划表</w:t>
      </w:r>
    </w:p>
    <w:tbl>
      <w:tblPr>
        <w:tblStyle w:val="8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973"/>
        <w:gridCol w:w="1555"/>
        <w:gridCol w:w="4326"/>
        <w:gridCol w:w="732"/>
        <w:gridCol w:w="10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restar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开钻次数</w:t>
            </w:r>
          </w:p>
        </w:tc>
        <w:tc>
          <w:tcPr>
            <w:tcW w:w="524" w:type="pct"/>
            <w:vMerge w:val="restar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钻头尺寸</w:t>
            </w:r>
          </w:p>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mm</w:t>
            </w:r>
          </w:p>
        </w:tc>
        <w:tc>
          <w:tcPr>
            <w:tcW w:w="837" w:type="pct"/>
            <w:vMerge w:val="restar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井段</w:t>
            </w:r>
          </w:p>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m~m</w:t>
            </w:r>
          </w:p>
        </w:tc>
        <w:tc>
          <w:tcPr>
            <w:tcW w:w="3267" w:type="pct"/>
            <w:gridSpan w:val="3"/>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施工项目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pPr>
              <w:adjustRightInd w:val="0"/>
              <w:snapToGrid w:val="0"/>
              <w:spacing w:line="320" w:lineRule="exact"/>
              <w:jc w:val="center"/>
              <w:rPr>
                <w:rFonts w:ascii="Times New Roman" w:hAnsi="Times New Roman" w:cs="Times New Roman"/>
                <w:color w:val="auto"/>
                <w:w w:val="99"/>
                <w:sz w:val="21"/>
                <w:szCs w:val="21"/>
                <w:highlight w:val="none"/>
              </w:rPr>
            </w:pPr>
          </w:p>
        </w:tc>
        <w:tc>
          <w:tcPr>
            <w:tcW w:w="524" w:type="pct"/>
            <w:vMerge w:val="continue"/>
            <w:vAlign w:val="center"/>
          </w:tcPr>
          <w:p>
            <w:pPr>
              <w:adjustRightInd w:val="0"/>
              <w:snapToGrid w:val="0"/>
              <w:spacing w:line="320" w:lineRule="exact"/>
              <w:jc w:val="center"/>
              <w:rPr>
                <w:rFonts w:ascii="Times New Roman" w:hAnsi="Times New Roman" w:cs="Times New Roman"/>
                <w:color w:val="auto"/>
                <w:w w:val="99"/>
                <w:sz w:val="21"/>
                <w:szCs w:val="21"/>
                <w:highlight w:val="none"/>
              </w:rPr>
            </w:pPr>
          </w:p>
        </w:tc>
        <w:tc>
          <w:tcPr>
            <w:tcW w:w="837" w:type="pct"/>
            <w:vMerge w:val="continue"/>
            <w:vAlign w:val="center"/>
          </w:tcPr>
          <w:p>
            <w:pPr>
              <w:adjustRightInd w:val="0"/>
              <w:snapToGrid w:val="0"/>
              <w:spacing w:line="320" w:lineRule="exact"/>
              <w:jc w:val="center"/>
              <w:rPr>
                <w:rFonts w:ascii="Times New Roman" w:hAnsi="Times New Roman" w:cs="Times New Roman"/>
                <w:color w:val="auto"/>
                <w:w w:val="99"/>
                <w:sz w:val="21"/>
                <w:szCs w:val="21"/>
                <w:highlight w:val="none"/>
              </w:rPr>
            </w:pPr>
          </w:p>
        </w:tc>
        <w:tc>
          <w:tcPr>
            <w:tcW w:w="2329"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主要工作内容</w:t>
            </w:r>
          </w:p>
        </w:tc>
        <w:tc>
          <w:tcPr>
            <w:tcW w:w="394"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时间d-h</w:t>
            </w:r>
          </w:p>
        </w:tc>
        <w:tc>
          <w:tcPr>
            <w:tcW w:w="544"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累积时间d-h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restar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一开</w:t>
            </w:r>
          </w:p>
        </w:tc>
        <w:tc>
          <w:tcPr>
            <w:tcW w:w="524" w:type="pct"/>
            <w:vMerge w:val="restar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342.9</w:t>
            </w:r>
          </w:p>
        </w:tc>
        <w:tc>
          <w:tcPr>
            <w:tcW w:w="837"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0.00~（134~142）</w:t>
            </w:r>
          </w:p>
        </w:tc>
        <w:tc>
          <w:tcPr>
            <w:tcW w:w="2329"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钻进、接单根、起下钻、辅助等</w:t>
            </w:r>
          </w:p>
        </w:tc>
        <w:tc>
          <w:tcPr>
            <w:tcW w:w="394"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0-12</w:t>
            </w:r>
          </w:p>
        </w:tc>
        <w:tc>
          <w:tcPr>
            <w:tcW w:w="544"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pPr>
              <w:adjustRightInd w:val="0"/>
              <w:snapToGrid w:val="0"/>
              <w:spacing w:line="320" w:lineRule="exact"/>
              <w:jc w:val="center"/>
              <w:rPr>
                <w:rFonts w:ascii="Times New Roman" w:hAnsi="Times New Roman" w:cs="Times New Roman"/>
                <w:color w:val="auto"/>
                <w:w w:val="99"/>
                <w:sz w:val="21"/>
                <w:szCs w:val="21"/>
                <w:highlight w:val="none"/>
              </w:rPr>
            </w:pPr>
          </w:p>
        </w:tc>
        <w:tc>
          <w:tcPr>
            <w:tcW w:w="524" w:type="pct"/>
            <w:vMerge w:val="continue"/>
            <w:vAlign w:val="center"/>
          </w:tcPr>
          <w:p>
            <w:pPr>
              <w:adjustRightInd w:val="0"/>
              <w:snapToGrid w:val="0"/>
              <w:spacing w:line="320" w:lineRule="exact"/>
              <w:jc w:val="center"/>
              <w:rPr>
                <w:rFonts w:ascii="Times New Roman" w:hAnsi="Times New Roman" w:cs="Times New Roman"/>
                <w:color w:val="auto"/>
                <w:w w:val="99"/>
                <w:sz w:val="21"/>
                <w:szCs w:val="21"/>
                <w:highlight w:val="none"/>
              </w:rPr>
            </w:pPr>
          </w:p>
        </w:tc>
        <w:tc>
          <w:tcPr>
            <w:tcW w:w="837"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134~142</w:t>
            </w:r>
          </w:p>
        </w:tc>
        <w:tc>
          <w:tcPr>
            <w:tcW w:w="2329"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下表层套管、固井、候凝、安装井控装置等</w:t>
            </w:r>
          </w:p>
        </w:tc>
        <w:tc>
          <w:tcPr>
            <w:tcW w:w="394"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2-0</w:t>
            </w:r>
          </w:p>
        </w:tc>
        <w:tc>
          <w:tcPr>
            <w:tcW w:w="544"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2-12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restar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二开</w:t>
            </w:r>
          </w:p>
        </w:tc>
        <w:tc>
          <w:tcPr>
            <w:tcW w:w="524" w:type="pct"/>
            <w:vMerge w:val="restar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215.9</w:t>
            </w:r>
          </w:p>
        </w:tc>
        <w:tc>
          <w:tcPr>
            <w:tcW w:w="837" w:type="pct"/>
            <w:vAlign w:val="center"/>
          </w:tcPr>
          <w:p>
            <w:pPr>
              <w:adjustRightInd w:val="0"/>
              <w:snapToGrid w:val="0"/>
              <w:spacing w:line="320" w:lineRule="exact"/>
              <w:jc w:val="center"/>
              <w:rPr>
                <w:rFonts w:hint="default" w:ascii="Times New Roman" w:hAnsi="Times New Roman" w:cs="Times New Roman"/>
                <w:color w:val="auto"/>
                <w:w w:val="99"/>
                <w:sz w:val="21"/>
                <w:szCs w:val="21"/>
                <w:highlight w:val="none"/>
                <w:lang w:val="en-US"/>
              </w:rPr>
            </w:pPr>
            <w:r>
              <w:rPr>
                <w:rFonts w:ascii="Times New Roman" w:hAnsi="Times New Roman" w:cs="Times New Roman"/>
                <w:color w:val="auto"/>
                <w:w w:val="99"/>
                <w:sz w:val="21"/>
                <w:szCs w:val="21"/>
                <w:highlight w:val="none"/>
              </w:rPr>
              <w:t>（134~142）~</w:t>
            </w:r>
            <w:r>
              <w:rPr>
                <w:rFonts w:hint="eastAsia" w:ascii="Times New Roman" w:hAnsi="Times New Roman" w:cs="Times New Roman"/>
                <w:color w:val="auto"/>
                <w:w w:val="99"/>
                <w:sz w:val="21"/>
                <w:szCs w:val="21"/>
                <w:highlight w:val="none"/>
                <w:lang w:val="en-US" w:eastAsia="zh-CN"/>
              </w:rPr>
              <w:t>1867</w:t>
            </w:r>
          </w:p>
        </w:tc>
        <w:tc>
          <w:tcPr>
            <w:tcW w:w="2329"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钻进、接单根、起下钻、辅助等</w:t>
            </w:r>
          </w:p>
        </w:tc>
        <w:tc>
          <w:tcPr>
            <w:tcW w:w="394"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6-0</w:t>
            </w:r>
          </w:p>
        </w:tc>
        <w:tc>
          <w:tcPr>
            <w:tcW w:w="544"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8-12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pPr>
              <w:adjustRightInd w:val="0"/>
              <w:snapToGrid w:val="0"/>
              <w:spacing w:line="320" w:lineRule="exact"/>
              <w:jc w:val="center"/>
              <w:rPr>
                <w:rFonts w:ascii="Times New Roman" w:hAnsi="Times New Roman" w:cs="Times New Roman"/>
                <w:color w:val="auto"/>
                <w:w w:val="99"/>
                <w:sz w:val="21"/>
                <w:szCs w:val="21"/>
                <w:highlight w:val="none"/>
              </w:rPr>
            </w:pPr>
          </w:p>
        </w:tc>
        <w:tc>
          <w:tcPr>
            <w:tcW w:w="524" w:type="pct"/>
            <w:vMerge w:val="continue"/>
          </w:tcPr>
          <w:p>
            <w:pPr>
              <w:adjustRightInd w:val="0"/>
              <w:snapToGrid w:val="0"/>
              <w:spacing w:line="320" w:lineRule="exact"/>
              <w:jc w:val="center"/>
              <w:rPr>
                <w:rFonts w:ascii="Times New Roman" w:hAnsi="Times New Roman" w:cs="Times New Roman"/>
                <w:color w:val="auto"/>
                <w:w w:val="99"/>
                <w:sz w:val="21"/>
                <w:szCs w:val="21"/>
                <w:highlight w:val="none"/>
              </w:rPr>
            </w:pPr>
          </w:p>
        </w:tc>
        <w:tc>
          <w:tcPr>
            <w:tcW w:w="837" w:type="pct"/>
            <w:vAlign w:val="center"/>
          </w:tcPr>
          <w:p>
            <w:pPr>
              <w:adjustRightInd w:val="0"/>
              <w:snapToGrid w:val="0"/>
              <w:spacing w:line="32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1867</w:t>
            </w:r>
          </w:p>
        </w:tc>
        <w:tc>
          <w:tcPr>
            <w:tcW w:w="2329"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电测、通井、下生产套管、固井等</w:t>
            </w:r>
          </w:p>
        </w:tc>
        <w:tc>
          <w:tcPr>
            <w:tcW w:w="394"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4-0</w:t>
            </w:r>
          </w:p>
        </w:tc>
        <w:tc>
          <w:tcPr>
            <w:tcW w:w="544"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12-12</w:t>
            </w:r>
          </w:p>
        </w:tc>
      </w:tr>
    </w:tbl>
    <w:p>
      <w:pPr>
        <w:widowControl w:val="0"/>
        <w:spacing w:line="500" w:lineRule="exact"/>
        <w:ind w:firstLine="474" w:firstLineChars="200"/>
        <w:rPr>
          <w:rFonts w:ascii="Times New Roman" w:hAnsi="Times New Roman" w:cs="Times New Roman" w:eastAsiaTheme="minorEastAsia"/>
          <w:bCs/>
          <w:snapToGrid w:val="0"/>
          <w:color w:val="auto"/>
          <w:w w:val="99"/>
          <w:highlight w:val="none"/>
        </w:rPr>
      </w:pPr>
      <w:r>
        <w:rPr>
          <w:rFonts w:hint="eastAsia" w:ascii="Times New Roman" w:hAnsi="Times New Roman" w:cs="Times New Roman" w:eastAsiaTheme="minorEastAsia"/>
          <w:bCs/>
          <w:snapToGrid w:val="0"/>
          <w:color w:val="auto"/>
          <w:w w:val="99"/>
          <w:highlight w:val="none"/>
        </w:rPr>
        <w:t>项目计划施工期为</w:t>
      </w:r>
      <w:r>
        <w:rPr>
          <w:rFonts w:hint="eastAsia" w:ascii="Times New Roman" w:hAnsi="Times New Roman" w:cs="Times New Roman" w:eastAsiaTheme="minorEastAsia"/>
          <w:bCs/>
          <w:snapToGrid w:val="0"/>
          <w:color w:val="auto"/>
          <w:w w:val="99"/>
          <w:highlight w:val="none"/>
          <w:lang w:eastAsia="zh-CN"/>
        </w:rPr>
        <w:t>2022年</w:t>
      </w:r>
      <w:r>
        <w:rPr>
          <w:rFonts w:hint="eastAsia" w:ascii="Times New Roman" w:hAnsi="Times New Roman" w:cs="Times New Roman" w:eastAsiaTheme="minorEastAsia"/>
          <w:bCs/>
          <w:snapToGrid w:val="0"/>
          <w:color w:val="auto"/>
          <w:w w:val="99"/>
          <w:highlight w:val="none"/>
          <w:lang w:val="en-US" w:eastAsia="zh-CN"/>
        </w:rPr>
        <w:t>5</w:t>
      </w:r>
      <w:r>
        <w:rPr>
          <w:rFonts w:hint="eastAsia" w:ascii="Times New Roman" w:hAnsi="Times New Roman" w:cs="Times New Roman" w:eastAsiaTheme="minorEastAsia"/>
          <w:bCs/>
          <w:snapToGrid w:val="0"/>
          <w:color w:val="auto"/>
          <w:w w:val="99"/>
          <w:highlight w:val="none"/>
          <w:lang w:eastAsia="zh-CN"/>
        </w:rPr>
        <w:t>月至 2023 年</w:t>
      </w:r>
      <w:r>
        <w:rPr>
          <w:rFonts w:hint="eastAsia" w:ascii="Times New Roman" w:hAnsi="Times New Roman" w:cs="Times New Roman" w:eastAsiaTheme="minorEastAsia"/>
          <w:bCs/>
          <w:snapToGrid w:val="0"/>
          <w:color w:val="auto"/>
          <w:w w:val="99"/>
          <w:highlight w:val="none"/>
          <w:lang w:val="en-US" w:eastAsia="zh-CN"/>
        </w:rPr>
        <w:t>3</w:t>
      </w:r>
      <w:r>
        <w:rPr>
          <w:rFonts w:hint="eastAsia" w:ascii="Times New Roman" w:hAnsi="Times New Roman" w:cs="Times New Roman" w:eastAsiaTheme="minorEastAsia"/>
          <w:bCs/>
          <w:snapToGrid w:val="0"/>
          <w:color w:val="auto"/>
          <w:w w:val="99"/>
          <w:highlight w:val="none"/>
          <w:lang w:eastAsia="zh-CN"/>
        </w:rPr>
        <w:t>月</w:t>
      </w:r>
      <w:r>
        <w:rPr>
          <w:rFonts w:ascii="Times New Roman" w:hAnsi="Times New Roman" w:cs="Times New Roman" w:eastAsiaTheme="minorEastAsia"/>
          <w:bCs/>
          <w:snapToGrid w:val="0"/>
          <w:color w:val="auto"/>
          <w:w w:val="99"/>
          <w:highlight w:val="none"/>
        </w:rPr>
        <w:t>，</w:t>
      </w:r>
      <w:r>
        <w:rPr>
          <w:rFonts w:hint="eastAsia" w:ascii="Times New Roman" w:hAnsi="Times New Roman" w:cs="Times New Roman" w:eastAsiaTheme="minorEastAsia"/>
          <w:bCs/>
          <w:snapToGrid w:val="0"/>
          <w:color w:val="auto"/>
          <w:w w:val="99"/>
          <w:highlight w:val="none"/>
          <w:lang w:val="en-US" w:eastAsia="zh-CN"/>
        </w:rPr>
        <w:t>2</w:t>
      </w:r>
      <w:r>
        <w:rPr>
          <w:rFonts w:ascii="Times New Roman" w:hAnsi="Times New Roman" w:cs="Times New Roman" w:eastAsiaTheme="minorEastAsia"/>
          <w:bCs/>
          <w:snapToGrid w:val="0"/>
          <w:color w:val="auto"/>
          <w:w w:val="99"/>
          <w:highlight w:val="none"/>
        </w:rPr>
        <w:t>个钻井队同时施工，每个钻井队在井人数 10 人，单井钻井施工1</w:t>
      </w:r>
      <w:r>
        <w:rPr>
          <w:rFonts w:hint="eastAsia" w:ascii="Times New Roman" w:hAnsi="Times New Roman" w:cs="Times New Roman" w:eastAsiaTheme="minorEastAsia"/>
          <w:bCs/>
          <w:snapToGrid w:val="0"/>
          <w:color w:val="auto"/>
          <w:w w:val="99"/>
          <w:highlight w:val="none"/>
        </w:rPr>
        <w:t>3</w:t>
      </w:r>
      <w:r>
        <w:rPr>
          <w:rFonts w:ascii="Times New Roman" w:hAnsi="Times New Roman" w:cs="Times New Roman" w:eastAsiaTheme="minorEastAsia"/>
          <w:bCs/>
          <w:snapToGrid w:val="0"/>
          <w:color w:val="auto"/>
          <w:w w:val="99"/>
          <w:highlight w:val="none"/>
        </w:rPr>
        <w:t>d，射孔平均时间按1d计，单井总计施工时间约为1</w:t>
      </w:r>
      <w:r>
        <w:rPr>
          <w:rFonts w:hint="eastAsia" w:ascii="Times New Roman" w:hAnsi="Times New Roman" w:cs="Times New Roman" w:eastAsiaTheme="minorEastAsia"/>
          <w:bCs/>
          <w:snapToGrid w:val="0"/>
          <w:color w:val="auto"/>
          <w:w w:val="99"/>
          <w:highlight w:val="none"/>
        </w:rPr>
        <w:t>4</w:t>
      </w:r>
      <w:r>
        <w:rPr>
          <w:rFonts w:ascii="Times New Roman" w:hAnsi="Times New Roman" w:cs="Times New Roman" w:eastAsiaTheme="minorEastAsia"/>
          <w:bCs/>
          <w:snapToGrid w:val="0"/>
          <w:color w:val="auto"/>
          <w:w w:val="99"/>
          <w:highlight w:val="none"/>
        </w:rPr>
        <w:t>d，共计施工约</w:t>
      </w:r>
      <w:r>
        <w:rPr>
          <w:rFonts w:hint="eastAsia" w:ascii="Times New Roman" w:hAnsi="Times New Roman" w:cs="Times New Roman" w:eastAsiaTheme="minorEastAsia"/>
          <w:bCs/>
          <w:snapToGrid w:val="0"/>
          <w:color w:val="auto"/>
          <w:w w:val="99"/>
          <w:highlight w:val="none"/>
          <w:lang w:val="en-US" w:eastAsia="zh-CN"/>
        </w:rPr>
        <w:t>308</w:t>
      </w:r>
      <w:r>
        <w:rPr>
          <w:rFonts w:ascii="Times New Roman" w:hAnsi="Times New Roman" w:cs="Times New Roman" w:eastAsiaTheme="minorEastAsia"/>
          <w:bCs/>
          <w:snapToGrid w:val="0"/>
          <w:color w:val="auto"/>
          <w:w w:val="99"/>
          <w:highlight w:val="none"/>
        </w:rPr>
        <w:t>d，施工井场设置营地。</w:t>
      </w:r>
    </w:p>
    <w:p>
      <w:pPr>
        <w:pStyle w:val="5"/>
        <w:keepNext w:val="0"/>
        <w:keepLines w:val="0"/>
        <w:widowControl w:val="0"/>
        <w:rPr>
          <w:rFonts w:ascii="Times New Roman" w:hAnsi="Times New Roman"/>
          <w:b/>
          <w:snapToGrid w:val="0"/>
          <w:color w:val="auto"/>
          <w:w w:val="99"/>
          <w:highlight w:val="none"/>
        </w:rPr>
      </w:pPr>
      <w:bookmarkStart w:id="407" w:name="_Toc80105149"/>
      <w:r>
        <w:rPr>
          <w:rFonts w:ascii="Times New Roman" w:hAnsi="Times New Roman"/>
          <w:b/>
          <w:snapToGrid w:val="0"/>
          <w:color w:val="auto"/>
          <w:w w:val="99"/>
          <w:highlight w:val="none"/>
        </w:rPr>
        <w:t>3.5工程占地及取弃土情况</w:t>
      </w:r>
      <w:bookmarkEnd w:id="407"/>
    </w:p>
    <w:p>
      <w:pPr>
        <w:pStyle w:val="7"/>
        <w:keepNext w:val="0"/>
        <w:keepLines w:val="0"/>
        <w:widowControl w:val="0"/>
        <w:rPr>
          <w:b/>
          <w:color w:val="auto"/>
          <w:w w:val="99"/>
          <w:kern w:val="2"/>
          <w:sz w:val="24"/>
          <w:szCs w:val="24"/>
          <w:highlight w:val="none"/>
        </w:rPr>
      </w:pPr>
      <w:bookmarkStart w:id="408" w:name="_Toc69690817"/>
      <w:bookmarkStart w:id="409" w:name="_Toc74812321"/>
      <w:bookmarkStart w:id="410" w:name="_Toc67523599"/>
      <w:bookmarkStart w:id="411" w:name="_Toc61597227"/>
      <w:bookmarkStart w:id="412" w:name="_Toc71371950"/>
      <w:bookmarkStart w:id="413" w:name="_Toc77667294"/>
      <w:bookmarkStart w:id="414" w:name="_Toc80105150"/>
      <w:r>
        <w:rPr>
          <w:b/>
          <w:color w:val="auto"/>
          <w:w w:val="99"/>
          <w:kern w:val="2"/>
          <w:sz w:val="24"/>
          <w:szCs w:val="24"/>
          <w:highlight w:val="none"/>
        </w:rPr>
        <w:t>3.5.1井场占地</w:t>
      </w:r>
      <w:bookmarkEnd w:id="408"/>
      <w:bookmarkEnd w:id="409"/>
      <w:bookmarkEnd w:id="410"/>
      <w:bookmarkEnd w:id="411"/>
      <w:bookmarkEnd w:id="412"/>
      <w:bookmarkEnd w:id="413"/>
      <w:bookmarkEnd w:id="414"/>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本项目占地主要为钻井期间井场的临时占地、施工便道</w:t>
      </w:r>
      <w:r>
        <w:rPr>
          <w:rFonts w:hint="eastAsia" w:ascii="Times New Roman" w:hAnsi="Times New Roman" w:cs="Times New Roman" w:eastAsiaTheme="minorEastAsia"/>
          <w:color w:val="auto"/>
          <w:w w:val="99"/>
          <w:kern w:val="21"/>
          <w:highlight w:val="none"/>
        </w:rPr>
        <w:t>永久</w:t>
      </w:r>
      <w:r>
        <w:rPr>
          <w:rFonts w:ascii="Times New Roman" w:hAnsi="Times New Roman" w:cs="Times New Roman" w:eastAsiaTheme="minorEastAsia"/>
          <w:color w:val="auto"/>
          <w:w w:val="99"/>
          <w:kern w:val="21"/>
          <w:highlight w:val="none"/>
        </w:rPr>
        <w:t>占地、完井后形成永久井场的永久占地。所涉及的永久占地和临时占地需要征用土地。根据《钻前工程及井场布置技术要求》（SY/T5466-2013）的相关要求以及根据大庆油田施工和建设实际情况，施工期井场占地面积按单井80m×80m=6400m</w:t>
      </w:r>
      <w:r>
        <w:rPr>
          <w:rFonts w:ascii="Times New Roman" w:hAnsi="Times New Roman" w:cs="Times New Roman" w:eastAsiaTheme="minorEastAsia"/>
          <w:color w:val="auto"/>
          <w:w w:val="99"/>
          <w:kern w:val="21"/>
          <w:highlight w:val="none"/>
          <w:vertAlign w:val="superscript"/>
        </w:rPr>
        <w:t>2</w:t>
      </w:r>
      <w:r>
        <w:rPr>
          <w:rFonts w:ascii="Times New Roman" w:hAnsi="Times New Roman" w:cs="Times New Roman" w:eastAsiaTheme="minorEastAsia"/>
          <w:color w:val="auto"/>
          <w:w w:val="99"/>
          <w:kern w:val="21"/>
          <w:highlight w:val="none"/>
        </w:rPr>
        <w:t>计算（含永久占地），永久占地按单井30m×40m=1200m</w:t>
      </w:r>
      <w:r>
        <w:rPr>
          <w:rFonts w:ascii="Times New Roman" w:hAnsi="Times New Roman" w:cs="Times New Roman" w:eastAsiaTheme="minorEastAsia"/>
          <w:color w:val="auto"/>
          <w:w w:val="99"/>
          <w:kern w:val="21"/>
          <w:highlight w:val="none"/>
          <w:vertAlign w:val="superscript"/>
        </w:rPr>
        <w:t>2</w:t>
      </w:r>
      <w:r>
        <w:rPr>
          <w:rFonts w:ascii="Times New Roman" w:hAnsi="Times New Roman" w:cs="Times New Roman" w:eastAsiaTheme="minorEastAsia"/>
          <w:color w:val="auto"/>
          <w:w w:val="99"/>
          <w:kern w:val="21"/>
          <w:highlight w:val="none"/>
        </w:rPr>
        <w:t>计算。</w:t>
      </w:r>
      <w:bookmarkStart w:id="415" w:name="_Toc11047783"/>
      <w:r>
        <w:rPr>
          <w:rFonts w:ascii="Times New Roman" w:hAnsi="Times New Roman" w:cs="Times New Roman" w:eastAsiaTheme="minorEastAsia"/>
          <w:bCs/>
          <w:color w:val="auto"/>
          <w:w w:val="99"/>
          <w:kern w:val="21"/>
          <w:highlight w:val="none"/>
        </w:rPr>
        <w:t>本项目新钻</w:t>
      </w:r>
      <w:r>
        <w:rPr>
          <w:rFonts w:hint="eastAsia" w:ascii="Times New Roman" w:hAnsi="Times New Roman" w:cs="Times New Roman" w:eastAsiaTheme="minorEastAsia"/>
          <w:bCs/>
          <w:color w:val="auto"/>
          <w:w w:val="99"/>
          <w:kern w:val="21"/>
          <w:highlight w:val="none"/>
        </w:rPr>
        <w:t>4</w:t>
      </w:r>
      <w:r>
        <w:rPr>
          <w:rFonts w:hint="eastAsia" w:ascii="Times New Roman" w:hAnsi="Times New Roman" w:cs="Times New Roman" w:eastAsiaTheme="minorEastAsia"/>
          <w:bCs/>
          <w:color w:val="auto"/>
          <w:w w:val="99"/>
          <w:kern w:val="21"/>
          <w:highlight w:val="none"/>
          <w:lang w:val="en-US" w:eastAsia="zh-CN"/>
        </w:rPr>
        <w:t>4</w:t>
      </w:r>
      <w:r>
        <w:rPr>
          <w:rFonts w:hint="eastAsia" w:ascii="Times New Roman" w:hAnsi="Times New Roman" w:cs="Times New Roman" w:eastAsiaTheme="minorEastAsia"/>
          <w:bCs/>
          <w:color w:val="auto"/>
          <w:w w:val="99"/>
          <w:kern w:val="21"/>
          <w:highlight w:val="none"/>
        </w:rPr>
        <w:t>口</w:t>
      </w:r>
      <w:r>
        <w:rPr>
          <w:rFonts w:ascii="Times New Roman" w:hAnsi="Times New Roman" w:cs="Times New Roman" w:eastAsiaTheme="minorEastAsia"/>
          <w:bCs/>
          <w:color w:val="auto"/>
          <w:w w:val="99"/>
          <w:kern w:val="21"/>
          <w:highlight w:val="none"/>
        </w:rPr>
        <w:t>油井，</w:t>
      </w:r>
      <w:bookmarkEnd w:id="415"/>
      <w:r>
        <w:rPr>
          <w:rFonts w:ascii="Times New Roman" w:hAnsi="Times New Roman" w:cs="Times New Roman" w:eastAsiaTheme="minorEastAsia"/>
          <w:bCs/>
          <w:color w:val="auto"/>
          <w:w w:val="99"/>
          <w:kern w:val="21"/>
          <w:highlight w:val="none"/>
        </w:rPr>
        <w:t>施工井场</w:t>
      </w:r>
      <w:r>
        <w:rPr>
          <w:rFonts w:ascii="Times New Roman" w:hAnsi="Times New Roman" w:cs="Times New Roman" w:eastAsiaTheme="minorEastAsia"/>
          <w:color w:val="auto"/>
          <w:w w:val="99"/>
          <w:kern w:val="21"/>
          <w:highlight w:val="none"/>
        </w:rPr>
        <w:t>临时占地约</w:t>
      </w:r>
      <w:r>
        <w:rPr>
          <w:rFonts w:hint="eastAsia" w:ascii="Times New Roman" w:hAnsi="Times New Roman" w:cs="Times New Roman" w:eastAsiaTheme="minorEastAsia"/>
          <w:color w:val="auto"/>
          <w:w w:val="99"/>
          <w:kern w:val="21"/>
          <w:highlight w:val="none"/>
          <w:lang w:val="en-US" w:eastAsia="zh-CN"/>
        </w:rPr>
        <w:t>22.88</w:t>
      </w:r>
      <w:r>
        <w:rPr>
          <w:rFonts w:hint="eastAsia" w:ascii="Times New Roman" w:hAnsi="Times New Roman" w:cs="Times New Roman" w:eastAsiaTheme="minorEastAsia"/>
          <w:color w:val="auto"/>
          <w:w w:val="99"/>
          <w:kern w:val="21"/>
          <w:highlight w:val="none"/>
        </w:rPr>
        <w:t>hm</w:t>
      </w:r>
      <w:r>
        <w:rPr>
          <w:rFonts w:hint="eastAsia" w:ascii="Times New Roman" w:hAnsi="Times New Roman" w:cs="Times New Roman" w:eastAsiaTheme="minorEastAsia"/>
          <w:color w:val="auto"/>
          <w:w w:val="99"/>
          <w:kern w:val="21"/>
          <w:highlight w:val="none"/>
          <w:vertAlign w:val="superscript"/>
        </w:rPr>
        <w:t>2</w:t>
      </w:r>
      <w:r>
        <w:rPr>
          <w:rFonts w:ascii="Times New Roman" w:hAnsi="Times New Roman" w:cs="Times New Roman" w:eastAsiaTheme="minorEastAsia"/>
          <w:color w:val="auto"/>
          <w:w w:val="99"/>
          <w:kern w:val="21"/>
          <w:highlight w:val="none"/>
        </w:rPr>
        <w:t>；井场永久占地</w:t>
      </w:r>
      <w:r>
        <w:rPr>
          <w:rFonts w:hint="eastAsia" w:ascii="Times New Roman" w:hAnsi="Times New Roman" w:cs="Times New Roman" w:eastAsiaTheme="minorEastAsia"/>
          <w:color w:val="auto"/>
          <w:w w:val="99"/>
          <w:kern w:val="21"/>
          <w:highlight w:val="none"/>
          <w:lang w:val="en-US" w:eastAsia="zh-CN"/>
        </w:rPr>
        <w:t>5.28</w:t>
      </w:r>
      <w:r>
        <w:rPr>
          <w:rFonts w:hint="eastAsia" w:ascii="Times New Roman" w:hAnsi="Times New Roman" w:cs="Times New Roman" w:eastAsiaTheme="minorEastAsia"/>
          <w:color w:val="auto"/>
          <w:w w:val="99"/>
          <w:kern w:val="21"/>
          <w:highlight w:val="none"/>
        </w:rPr>
        <w:t>hm</w:t>
      </w:r>
      <w:r>
        <w:rPr>
          <w:rFonts w:hint="eastAsia" w:ascii="Times New Roman" w:hAnsi="Times New Roman" w:cs="Times New Roman" w:eastAsiaTheme="minorEastAsia"/>
          <w:color w:val="auto"/>
          <w:w w:val="99"/>
          <w:kern w:val="21"/>
          <w:highlight w:val="none"/>
          <w:vertAlign w:val="superscript"/>
        </w:rPr>
        <w:t>2</w:t>
      </w:r>
      <w:r>
        <w:rPr>
          <w:rFonts w:ascii="Times New Roman" w:hAnsi="Times New Roman" w:cs="Times New Roman" w:eastAsiaTheme="minorEastAsia"/>
          <w:color w:val="auto"/>
          <w:w w:val="99"/>
          <w:kern w:val="21"/>
          <w:highlight w:val="none"/>
        </w:rPr>
        <w:t>。本项目施工便道长度约</w:t>
      </w:r>
      <w:r>
        <w:rPr>
          <w:rFonts w:hint="eastAsia" w:ascii="Times New Roman" w:hAnsi="Times New Roman" w:cs="Times New Roman" w:eastAsiaTheme="minorEastAsia"/>
          <w:color w:val="auto"/>
          <w:w w:val="99"/>
          <w:kern w:val="21"/>
          <w:highlight w:val="none"/>
        </w:rPr>
        <w:t>2</w:t>
      </w:r>
      <w:r>
        <w:rPr>
          <w:rFonts w:hint="eastAsia" w:ascii="Times New Roman" w:hAnsi="Times New Roman" w:cs="Times New Roman" w:eastAsiaTheme="minorEastAsia"/>
          <w:color w:val="auto"/>
          <w:w w:val="99"/>
          <w:kern w:val="21"/>
          <w:highlight w:val="none"/>
          <w:lang w:val="en-US" w:eastAsia="zh-CN"/>
        </w:rPr>
        <w:t>200</w:t>
      </w:r>
      <w:r>
        <w:rPr>
          <w:rFonts w:ascii="Times New Roman" w:hAnsi="Times New Roman" w:cs="Times New Roman" w:eastAsiaTheme="minorEastAsia"/>
          <w:color w:val="auto"/>
          <w:w w:val="99"/>
          <w:kern w:val="21"/>
          <w:highlight w:val="none"/>
        </w:rPr>
        <w:t>m，宽度约4m，施工便道</w:t>
      </w:r>
      <w:r>
        <w:rPr>
          <w:rFonts w:hint="eastAsia" w:ascii="Times New Roman" w:hAnsi="Times New Roman" w:cs="Times New Roman" w:eastAsiaTheme="minorEastAsia"/>
          <w:color w:val="auto"/>
          <w:w w:val="99"/>
          <w:kern w:val="21"/>
          <w:highlight w:val="none"/>
        </w:rPr>
        <w:t>永久</w:t>
      </w:r>
      <w:r>
        <w:rPr>
          <w:rFonts w:ascii="Times New Roman" w:hAnsi="Times New Roman" w:cs="Times New Roman" w:eastAsiaTheme="minorEastAsia"/>
          <w:color w:val="auto"/>
          <w:w w:val="99"/>
          <w:kern w:val="21"/>
          <w:highlight w:val="none"/>
        </w:rPr>
        <w:t>占地约</w:t>
      </w:r>
      <w:r>
        <w:rPr>
          <w:rFonts w:hint="eastAsia" w:ascii="Times New Roman" w:hAnsi="Times New Roman" w:cs="Times New Roman" w:eastAsiaTheme="minorEastAsia"/>
          <w:color w:val="auto"/>
          <w:w w:val="99"/>
          <w:kern w:val="21"/>
          <w:highlight w:val="none"/>
          <w:lang w:val="en-US" w:eastAsia="zh-CN"/>
        </w:rPr>
        <w:t>0.88</w:t>
      </w:r>
      <w:r>
        <w:rPr>
          <w:rFonts w:hint="eastAsia" w:ascii="Times New Roman" w:hAnsi="Times New Roman" w:cs="Times New Roman" w:eastAsiaTheme="minorEastAsia"/>
          <w:color w:val="auto"/>
          <w:w w:val="99"/>
          <w:kern w:val="21"/>
          <w:highlight w:val="none"/>
        </w:rPr>
        <w:t>hm</w:t>
      </w:r>
      <w:r>
        <w:rPr>
          <w:rFonts w:hint="eastAsia" w:ascii="Times New Roman" w:hAnsi="Times New Roman" w:cs="Times New Roman" w:eastAsiaTheme="minorEastAsia"/>
          <w:color w:val="auto"/>
          <w:w w:val="99"/>
          <w:kern w:val="21"/>
          <w:highlight w:val="none"/>
          <w:vertAlign w:val="superscript"/>
        </w:rPr>
        <w:t>2</w:t>
      </w:r>
      <w:r>
        <w:rPr>
          <w:rFonts w:ascii="Times New Roman" w:hAnsi="Times New Roman" w:cs="Times New Roman" w:eastAsiaTheme="minorEastAsia"/>
          <w:color w:val="auto"/>
          <w:w w:val="99"/>
          <w:kern w:val="21"/>
          <w:highlight w:val="none"/>
        </w:rPr>
        <w:t>，施工结束后施工便道保留用于后续产能地面建设。根据建设单位与相关土地部门落实同时结合该地区土地利用现状图可确定本项目占地类型为耕地（</w:t>
      </w:r>
      <w:r>
        <w:rPr>
          <w:rFonts w:hint="eastAsia" w:ascii="Times New Roman" w:hAnsi="Times New Roman" w:cs="Times New Roman" w:eastAsiaTheme="minorEastAsia"/>
          <w:color w:val="auto"/>
          <w:w w:val="99"/>
          <w:kern w:val="21"/>
          <w:highlight w:val="none"/>
          <w:lang w:eastAsia="zh-CN"/>
        </w:rPr>
        <w:t>非</w:t>
      </w:r>
      <w:r>
        <w:rPr>
          <w:rFonts w:ascii="Times New Roman" w:hAnsi="Times New Roman" w:cs="Times New Roman" w:eastAsiaTheme="minorEastAsia"/>
          <w:color w:val="auto"/>
          <w:w w:val="99"/>
          <w:kern w:val="21"/>
          <w:highlight w:val="none"/>
        </w:rPr>
        <w:t>基本农田</w:t>
      </w:r>
      <w:r>
        <w:rPr>
          <w:rFonts w:hint="eastAsia" w:ascii="Times New Roman" w:hAnsi="Times New Roman" w:cs="Times New Roman" w:eastAsiaTheme="minorEastAsia"/>
          <w:color w:val="auto"/>
          <w:w w:val="99"/>
          <w:kern w:val="21"/>
          <w:highlight w:val="none"/>
          <w:lang w:eastAsia="zh-CN"/>
        </w:rPr>
        <w:t>、少量永久基本农田</w:t>
      </w:r>
      <w:r>
        <w:rPr>
          <w:rFonts w:ascii="Times New Roman" w:hAnsi="Times New Roman" w:cs="Times New Roman" w:eastAsiaTheme="minorEastAsia"/>
          <w:color w:val="auto"/>
          <w:w w:val="99"/>
          <w:kern w:val="21"/>
          <w:highlight w:val="none"/>
        </w:rPr>
        <w:t>）。本项目占地情况统计见表3.5-1。</w:t>
      </w:r>
    </w:p>
    <w:p>
      <w:pPr>
        <w:widowControl w:val="0"/>
        <w:tabs>
          <w:tab w:val="left" w:pos="1101"/>
        </w:tabs>
        <w:spacing w:line="500" w:lineRule="exact"/>
        <w:ind w:firstLine="474" w:firstLineChars="200"/>
        <w:rPr>
          <w:rFonts w:ascii="Times New Roman" w:hAnsi="Times New Roman" w:cs="Times New Roman" w:eastAsiaTheme="minorEastAsia"/>
          <w:b/>
          <w:bCs/>
          <w:color w:val="auto"/>
          <w:w w:val="99"/>
          <w:kern w:val="21"/>
          <w:szCs w:val="22"/>
          <w:highlight w:val="none"/>
          <w:lang w:val="zh-CN" w:bidi="zh-CN"/>
        </w:rPr>
      </w:pPr>
      <w:r>
        <w:rPr>
          <w:rFonts w:ascii="Times New Roman" w:hAnsi="Times New Roman" w:cs="Times New Roman" w:eastAsiaTheme="minorEastAsia"/>
          <w:b/>
          <w:bCs/>
          <w:color w:val="auto"/>
          <w:w w:val="99"/>
          <w:kern w:val="21"/>
          <w:szCs w:val="22"/>
          <w:highlight w:val="none"/>
          <w:lang w:val="zh-CN" w:bidi="zh-CN"/>
        </w:rPr>
        <w:t>表</w:t>
      </w:r>
      <w:r>
        <w:rPr>
          <w:rFonts w:ascii="Times New Roman" w:hAnsi="Times New Roman" w:cs="Times New Roman" w:eastAsiaTheme="minorEastAsia"/>
          <w:b/>
          <w:bCs/>
          <w:color w:val="auto"/>
          <w:w w:val="99"/>
          <w:kern w:val="21"/>
          <w:highlight w:val="none"/>
        </w:rPr>
        <w:t>3.5-1</w:t>
      </w:r>
      <w:r>
        <w:rPr>
          <w:rFonts w:ascii="Times New Roman" w:hAnsi="Times New Roman" w:cs="Times New Roman" w:eastAsiaTheme="minorEastAsia"/>
          <w:b/>
          <w:bCs/>
          <w:color w:val="auto"/>
          <w:w w:val="99"/>
          <w:kern w:val="21"/>
          <w:szCs w:val="22"/>
          <w:highlight w:val="none"/>
          <w:lang w:bidi="zh-CN"/>
        </w:rPr>
        <w:t xml:space="preserve">               钻井井场占地情况统计表                单位：hm</w:t>
      </w:r>
      <w:r>
        <w:rPr>
          <w:rFonts w:ascii="Times New Roman" w:hAnsi="Times New Roman" w:cs="Times New Roman" w:eastAsiaTheme="minorEastAsia"/>
          <w:b/>
          <w:bCs/>
          <w:color w:val="auto"/>
          <w:w w:val="99"/>
          <w:kern w:val="21"/>
          <w:szCs w:val="22"/>
          <w:highlight w:val="none"/>
          <w:vertAlign w:val="superscript"/>
          <w:lang w:bidi="zh-CN"/>
        </w:rPr>
        <w:t>2</w:t>
      </w:r>
    </w:p>
    <w:tbl>
      <w:tblPr>
        <w:tblStyle w:val="82"/>
        <w:tblW w:w="485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55"/>
        <w:gridCol w:w="1942"/>
        <w:gridCol w:w="829"/>
        <w:gridCol w:w="1932"/>
        <w:gridCol w:w="1931"/>
        <w:gridCol w:w="16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 w:type="pct"/>
            <w:vMerge w:val="restart"/>
            <w:noWrap/>
            <w:tcMar>
              <w:top w:w="15" w:type="dxa"/>
              <w:left w:w="15" w:type="dxa"/>
              <w:right w:w="15" w:type="dxa"/>
            </w:tcMar>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lang w:bidi="ar"/>
              </w:rPr>
            </w:pPr>
            <w:bookmarkStart w:id="416" w:name="_Toc77667295"/>
            <w:bookmarkStart w:id="417" w:name="_Toc80105151"/>
            <w:bookmarkStart w:id="418" w:name="_Toc74812322"/>
            <w:bookmarkStart w:id="419" w:name="_Toc71371951"/>
            <w:bookmarkStart w:id="420" w:name="_Toc61597228"/>
            <w:bookmarkStart w:id="421" w:name="_Toc67523600"/>
            <w:bookmarkStart w:id="422" w:name="_Toc69690818"/>
            <w:r>
              <w:rPr>
                <w:rFonts w:ascii="Times New Roman" w:hAnsi="Times New Roman" w:cs="Times New Roman" w:eastAsiaTheme="minorEastAsia"/>
                <w:color w:val="auto"/>
                <w:w w:val="99"/>
                <w:sz w:val="21"/>
                <w:szCs w:val="21"/>
                <w:highlight w:val="none"/>
                <w:lang w:bidi="ar"/>
              </w:rPr>
              <w:t>序号</w:t>
            </w:r>
          </w:p>
        </w:tc>
        <w:tc>
          <w:tcPr>
            <w:tcW w:w="1099" w:type="pct"/>
            <w:vMerge w:val="restart"/>
            <w:noWrap/>
            <w:tcMar>
              <w:top w:w="15" w:type="dxa"/>
              <w:left w:w="15" w:type="dxa"/>
              <w:right w:w="15" w:type="dxa"/>
            </w:tcMar>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lang w:bidi="ar"/>
              </w:rPr>
            </w:pPr>
            <w:r>
              <w:rPr>
                <w:rFonts w:hint="eastAsia" w:ascii="Times New Roman" w:hAnsi="Times New Roman" w:cs="Times New Roman" w:eastAsiaTheme="minorEastAsia"/>
                <w:color w:val="auto"/>
                <w:w w:val="99"/>
                <w:sz w:val="21"/>
                <w:szCs w:val="21"/>
                <w:highlight w:val="none"/>
                <w:lang w:bidi="ar"/>
              </w:rPr>
              <w:t>项目</w:t>
            </w:r>
          </w:p>
        </w:tc>
        <w:tc>
          <w:tcPr>
            <w:tcW w:w="469" w:type="pct"/>
            <w:vMerge w:val="restart"/>
            <w:noWrap/>
            <w:tcMar>
              <w:top w:w="15" w:type="dxa"/>
              <w:left w:w="15" w:type="dxa"/>
              <w:right w:w="15" w:type="dxa"/>
            </w:tcMar>
            <w:vAlign w:val="center"/>
          </w:tcPr>
          <w:p>
            <w:pPr>
              <w:widowControl w:val="0"/>
              <w:tabs>
                <w:tab w:val="left" w:pos="-315"/>
              </w:tabs>
              <w:spacing w:line="320" w:lineRule="exact"/>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井数</w:t>
            </w:r>
          </w:p>
          <w:p>
            <w:pPr>
              <w:widowControl w:val="0"/>
              <w:tabs>
                <w:tab w:val="left" w:pos="-315"/>
              </w:tabs>
              <w:spacing w:line="320" w:lineRule="exact"/>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（口）</w:t>
            </w:r>
          </w:p>
        </w:tc>
        <w:tc>
          <w:tcPr>
            <w:tcW w:w="1093" w:type="pct"/>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color w:val="auto"/>
                <w:w w:val="99"/>
                <w:sz w:val="21"/>
                <w:szCs w:val="21"/>
                <w:highlight w:val="none"/>
                <w:lang w:bidi="ar"/>
              </w:rPr>
              <w:t>临时占地</w:t>
            </w:r>
            <w:r>
              <w:rPr>
                <w:rFonts w:hint="eastAsia" w:ascii="Times New Roman" w:hAnsi="Times New Roman" w:cs="Times New Roman" w:eastAsiaTheme="minorEastAsia"/>
                <w:color w:val="auto"/>
                <w:w w:val="99"/>
                <w:sz w:val="21"/>
                <w:szCs w:val="21"/>
                <w:highlight w:val="none"/>
                <w:lang w:bidi="ar"/>
              </w:rPr>
              <w:t>（</w:t>
            </w:r>
            <w:r>
              <w:rPr>
                <w:rFonts w:ascii="Times New Roman" w:hAnsi="Times New Roman" w:cs="Times New Roman" w:eastAsiaTheme="minorEastAsia"/>
                <w:color w:val="auto"/>
                <w:w w:val="99"/>
                <w:sz w:val="21"/>
                <w:szCs w:val="21"/>
                <w:highlight w:val="none"/>
                <w:lang w:bidi="ar"/>
              </w:rPr>
              <w:t>hm</w:t>
            </w:r>
            <w:r>
              <w:rPr>
                <w:rFonts w:ascii="Times New Roman" w:hAnsi="Times New Roman" w:cs="Times New Roman" w:eastAsiaTheme="minorEastAsia"/>
                <w:color w:val="auto"/>
                <w:w w:val="99"/>
                <w:sz w:val="21"/>
                <w:szCs w:val="21"/>
                <w:highlight w:val="none"/>
                <w:vertAlign w:val="superscript"/>
                <w:lang w:bidi="ar"/>
              </w:rPr>
              <w:t>2</w:t>
            </w:r>
            <w:r>
              <w:rPr>
                <w:rFonts w:hint="eastAsia" w:ascii="Times New Roman" w:hAnsi="Times New Roman" w:cs="Times New Roman" w:eastAsiaTheme="minorEastAsia"/>
                <w:color w:val="auto"/>
                <w:w w:val="99"/>
                <w:sz w:val="21"/>
                <w:szCs w:val="21"/>
                <w:highlight w:val="none"/>
                <w:lang w:bidi="ar"/>
              </w:rPr>
              <w:t>）</w:t>
            </w:r>
          </w:p>
        </w:tc>
        <w:tc>
          <w:tcPr>
            <w:tcW w:w="2023" w:type="pct"/>
            <w:gridSpan w:val="2"/>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color w:val="auto"/>
                <w:w w:val="99"/>
                <w:sz w:val="21"/>
                <w:szCs w:val="21"/>
                <w:highlight w:val="none"/>
                <w:lang w:bidi="ar"/>
              </w:rPr>
              <w:t>永久占地</w:t>
            </w:r>
            <w:r>
              <w:rPr>
                <w:rFonts w:hint="eastAsia" w:ascii="Times New Roman" w:hAnsi="Times New Roman" w:cs="Times New Roman" w:eastAsiaTheme="minorEastAsia"/>
                <w:color w:val="auto"/>
                <w:w w:val="99"/>
                <w:sz w:val="21"/>
                <w:szCs w:val="21"/>
                <w:highlight w:val="none"/>
                <w:lang w:bidi="ar"/>
              </w:rPr>
              <w:t>（</w:t>
            </w:r>
            <w:r>
              <w:rPr>
                <w:rFonts w:ascii="Times New Roman" w:hAnsi="Times New Roman" w:cs="Times New Roman" w:eastAsiaTheme="minorEastAsia"/>
                <w:color w:val="auto"/>
                <w:w w:val="99"/>
                <w:sz w:val="21"/>
                <w:szCs w:val="21"/>
                <w:highlight w:val="none"/>
                <w:lang w:bidi="ar"/>
              </w:rPr>
              <w:t>hm</w:t>
            </w:r>
            <w:r>
              <w:rPr>
                <w:rFonts w:ascii="Times New Roman" w:hAnsi="Times New Roman" w:cs="Times New Roman" w:eastAsiaTheme="minorEastAsia"/>
                <w:color w:val="auto"/>
                <w:w w:val="99"/>
                <w:sz w:val="21"/>
                <w:szCs w:val="21"/>
                <w:highlight w:val="none"/>
                <w:vertAlign w:val="superscript"/>
                <w:lang w:bidi="ar"/>
              </w:rPr>
              <w:t>2</w:t>
            </w:r>
            <w:r>
              <w:rPr>
                <w:rFonts w:hint="eastAsia" w:ascii="Times New Roman" w:hAnsi="Times New Roman" w:cs="Times New Roman" w:eastAsiaTheme="minorEastAsia"/>
                <w:color w:val="auto"/>
                <w:w w:val="99"/>
                <w:sz w:val="21"/>
                <w:szCs w:val="21"/>
                <w:highlight w:val="none"/>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 w:type="pct"/>
            <w:vMerge w:val="continue"/>
            <w:noWrap/>
            <w:tcMar>
              <w:top w:w="15" w:type="dxa"/>
              <w:left w:w="15" w:type="dxa"/>
              <w:right w:w="15" w:type="dxa"/>
            </w:tcMar>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rPr>
            </w:pPr>
          </w:p>
        </w:tc>
        <w:tc>
          <w:tcPr>
            <w:tcW w:w="1099" w:type="pct"/>
            <w:vMerge w:val="continue"/>
            <w:noWrap/>
            <w:tcMar>
              <w:top w:w="15" w:type="dxa"/>
              <w:left w:w="15" w:type="dxa"/>
              <w:right w:w="15" w:type="dxa"/>
            </w:tcMar>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rPr>
            </w:pPr>
          </w:p>
        </w:tc>
        <w:tc>
          <w:tcPr>
            <w:tcW w:w="469" w:type="pct"/>
            <w:vMerge w:val="continue"/>
            <w:noWrap/>
            <w:tcMar>
              <w:top w:w="15" w:type="dxa"/>
              <w:left w:w="15" w:type="dxa"/>
              <w:right w:w="15" w:type="dxa"/>
            </w:tcMar>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rPr>
            </w:pPr>
          </w:p>
        </w:tc>
        <w:tc>
          <w:tcPr>
            <w:tcW w:w="1093" w:type="pct"/>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color w:val="auto"/>
                <w:w w:val="99"/>
                <w:sz w:val="21"/>
                <w:szCs w:val="21"/>
                <w:highlight w:val="none"/>
                <w:lang w:bidi="ar"/>
              </w:rPr>
              <w:t>施工井场</w:t>
            </w:r>
          </w:p>
        </w:tc>
        <w:tc>
          <w:tcPr>
            <w:tcW w:w="1093" w:type="pct"/>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color w:val="auto"/>
                <w:w w:val="99"/>
                <w:sz w:val="21"/>
                <w:szCs w:val="21"/>
                <w:highlight w:val="none"/>
                <w:lang w:bidi="ar"/>
              </w:rPr>
              <w:t>井场</w:t>
            </w:r>
          </w:p>
        </w:tc>
        <w:tc>
          <w:tcPr>
            <w:tcW w:w="929" w:type="pct"/>
            <w:noWrap/>
            <w:tcMar>
              <w:top w:w="15" w:type="dxa"/>
              <w:left w:w="15" w:type="dxa"/>
              <w:right w:w="15" w:type="dxa"/>
            </w:tcMar>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施工便道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 w:type="pct"/>
            <w:vMerge w:val="continue"/>
            <w:noWrap/>
            <w:tcMar>
              <w:top w:w="15" w:type="dxa"/>
              <w:left w:w="15" w:type="dxa"/>
              <w:right w:w="15" w:type="dxa"/>
            </w:tcMar>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rPr>
            </w:pPr>
          </w:p>
        </w:tc>
        <w:tc>
          <w:tcPr>
            <w:tcW w:w="1099" w:type="pct"/>
            <w:vMerge w:val="continue"/>
            <w:noWrap/>
            <w:tcMar>
              <w:top w:w="15" w:type="dxa"/>
              <w:left w:w="15" w:type="dxa"/>
              <w:right w:w="15" w:type="dxa"/>
            </w:tcMar>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rPr>
            </w:pPr>
          </w:p>
        </w:tc>
        <w:tc>
          <w:tcPr>
            <w:tcW w:w="469" w:type="pct"/>
            <w:vMerge w:val="continue"/>
            <w:noWrap/>
            <w:tcMar>
              <w:top w:w="15" w:type="dxa"/>
              <w:left w:w="15" w:type="dxa"/>
              <w:right w:w="15" w:type="dxa"/>
            </w:tcMar>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rPr>
            </w:pPr>
          </w:p>
        </w:tc>
        <w:tc>
          <w:tcPr>
            <w:tcW w:w="1093" w:type="pct"/>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bidi="ar"/>
              </w:rPr>
              <w:t>耕地</w:t>
            </w:r>
          </w:p>
        </w:tc>
        <w:tc>
          <w:tcPr>
            <w:tcW w:w="1093" w:type="pct"/>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bidi="ar"/>
              </w:rPr>
              <w:t>耕地</w:t>
            </w:r>
          </w:p>
        </w:tc>
        <w:tc>
          <w:tcPr>
            <w:tcW w:w="929" w:type="pct"/>
            <w:noWrap/>
            <w:tcMar>
              <w:top w:w="15" w:type="dxa"/>
              <w:left w:w="15" w:type="dxa"/>
              <w:right w:w="15" w:type="dxa"/>
            </w:tcMar>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bidi="ar"/>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 w:type="pct"/>
            <w:noWrap/>
            <w:tcMar>
              <w:top w:w="15" w:type="dxa"/>
              <w:left w:w="15" w:type="dxa"/>
              <w:right w:w="15" w:type="dxa"/>
            </w:tcMar>
            <w:vAlign w:val="center"/>
          </w:tcPr>
          <w:p>
            <w:pPr>
              <w:widowControl w:val="0"/>
              <w:tabs>
                <w:tab w:val="left" w:pos="-315"/>
              </w:tabs>
              <w:spacing w:line="320" w:lineRule="exact"/>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1</w:t>
            </w:r>
          </w:p>
        </w:tc>
        <w:tc>
          <w:tcPr>
            <w:tcW w:w="1099" w:type="pct"/>
            <w:noWrap/>
            <w:tcMar>
              <w:top w:w="15" w:type="dxa"/>
              <w:left w:w="15" w:type="dxa"/>
              <w:right w:w="15" w:type="dxa"/>
            </w:tcMar>
            <w:vAlign w:val="center"/>
          </w:tcPr>
          <w:p>
            <w:pPr>
              <w:widowControl w:val="0"/>
              <w:tabs>
                <w:tab w:val="left" w:pos="-315"/>
              </w:tabs>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拟钻井</w:t>
            </w:r>
          </w:p>
        </w:tc>
        <w:tc>
          <w:tcPr>
            <w:tcW w:w="469" w:type="pct"/>
            <w:noWrap/>
            <w:tcMar>
              <w:top w:w="15" w:type="dxa"/>
              <w:left w:w="15" w:type="dxa"/>
              <w:right w:w="15" w:type="dxa"/>
            </w:tcMar>
            <w:vAlign w:val="center"/>
          </w:tcPr>
          <w:p>
            <w:pPr>
              <w:adjustRightInd w:val="0"/>
              <w:snapToGrid w:val="0"/>
              <w:spacing w:line="320" w:lineRule="exact"/>
              <w:jc w:val="center"/>
              <w:textAlignment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bidi="ar"/>
              </w:rPr>
              <w:t>4</w:t>
            </w:r>
            <w:r>
              <w:rPr>
                <w:rFonts w:hint="eastAsia" w:ascii="Times New Roman" w:hAnsi="Times New Roman" w:cs="Times New Roman" w:eastAsiaTheme="minorEastAsia"/>
                <w:color w:val="auto"/>
                <w:w w:val="99"/>
                <w:sz w:val="21"/>
                <w:szCs w:val="21"/>
                <w:highlight w:val="none"/>
                <w:lang w:val="en-US" w:eastAsia="zh-CN" w:bidi="ar"/>
              </w:rPr>
              <w:t>4</w:t>
            </w:r>
          </w:p>
        </w:tc>
        <w:tc>
          <w:tcPr>
            <w:tcW w:w="1093" w:type="pct"/>
            <w:vAlign w:val="center"/>
          </w:tcPr>
          <w:p>
            <w:pPr>
              <w:adjustRightInd w:val="0"/>
              <w:snapToGrid w:val="0"/>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22.88</w:t>
            </w:r>
          </w:p>
        </w:tc>
        <w:tc>
          <w:tcPr>
            <w:tcW w:w="1093" w:type="pct"/>
            <w:vAlign w:val="center"/>
          </w:tcPr>
          <w:p>
            <w:pPr>
              <w:adjustRightInd w:val="0"/>
              <w:snapToGrid w:val="0"/>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5.28</w:t>
            </w:r>
          </w:p>
        </w:tc>
        <w:tc>
          <w:tcPr>
            <w:tcW w:w="929" w:type="pct"/>
            <w:noWrap/>
            <w:tcMar>
              <w:top w:w="15" w:type="dxa"/>
              <w:left w:w="15" w:type="dxa"/>
              <w:right w:w="15" w:type="dxa"/>
            </w:tcMar>
            <w:vAlign w:val="center"/>
          </w:tcPr>
          <w:p>
            <w:pPr>
              <w:adjustRightInd w:val="0"/>
              <w:snapToGrid w:val="0"/>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rPr>
              <w:t>0.88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13" w:type="pct"/>
            <w:gridSpan w:val="2"/>
            <w:noWrap/>
            <w:tcMar>
              <w:top w:w="15" w:type="dxa"/>
              <w:left w:w="15" w:type="dxa"/>
              <w:right w:w="15" w:type="dxa"/>
            </w:tcMar>
            <w:vAlign w:val="center"/>
          </w:tcPr>
          <w:p>
            <w:pPr>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合计</w:t>
            </w:r>
          </w:p>
        </w:tc>
        <w:tc>
          <w:tcPr>
            <w:tcW w:w="469" w:type="pct"/>
            <w:noWrap/>
            <w:tcMar>
              <w:top w:w="15" w:type="dxa"/>
              <w:left w:w="15" w:type="dxa"/>
              <w:right w:w="15" w:type="dxa"/>
            </w:tcMar>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bidi="ar"/>
              </w:rPr>
              <w:t>4</w:t>
            </w:r>
            <w:r>
              <w:rPr>
                <w:rFonts w:hint="eastAsia" w:ascii="Times New Roman" w:hAnsi="Times New Roman" w:cs="Times New Roman" w:eastAsiaTheme="minorEastAsia"/>
                <w:color w:val="auto"/>
                <w:w w:val="99"/>
                <w:sz w:val="21"/>
                <w:szCs w:val="21"/>
                <w:highlight w:val="none"/>
                <w:lang w:val="en-US" w:eastAsia="zh-CN" w:bidi="ar"/>
              </w:rPr>
              <w:t>4</w:t>
            </w:r>
          </w:p>
        </w:tc>
        <w:tc>
          <w:tcPr>
            <w:tcW w:w="1093" w:type="pct"/>
            <w:vAlign w:val="center"/>
          </w:tcPr>
          <w:p>
            <w:pPr>
              <w:adjustRightInd w:val="0"/>
              <w:snapToGrid w:val="0"/>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22.88</w:t>
            </w:r>
          </w:p>
        </w:tc>
        <w:tc>
          <w:tcPr>
            <w:tcW w:w="2023" w:type="pct"/>
            <w:gridSpan w:val="2"/>
            <w:vAlign w:val="center"/>
          </w:tcPr>
          <w:p>
            <w:pPr>
              <w:adjustRightInd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6.16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13" w:type="pct"/>
            <w:gridSpan w:val="2"/>
            <w:noWrap/>
            <w:tcMar>
              <w:top w:w="15" w:type="dxa"/>
              <w:left w:w="15" w:type="dxa"/>
              <w:right w:w="15" w:type="dxa"/>
            </w:tcMar>
            <w:vAlign w:val="center"/>
          </w:tcPr>
          <w:p>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bidi="ar"/>
              </w:rPr>
              <w:t>总计</w:t>
            </w:r>
          </w:p>
        </w:tc>
        <w:tc>
          <w:tcPr>
            <w:tcW w:w="469" w:type="pct"/>
            <w:noWrap/>
            <w:tcMar>
              <w:top w:w="15" w:type="dxa"/>
              <w:left w:w="15" w:type="dxa"/>
              <w:right w:w="15" w:type="dxa"/>
            </w:tcMar>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bidi="ar"/>
              </w:rPr>
              <w:t>4</w:t>
            </w:r>
            <w:r>
              <w:rPr>
                <w:rFonts w:hint="eastAsia" w:ascii="Times New Roman" w:hAnsi="Times New Roman" w:cs="Times New Roman" w:eastAsiaTheme="minorEastAsia"/>
                <w:color w:val="auto"/>
                <w:w w:val="99"/>
                <w:sz w:val="21"/>
                <w:szCs w:val="21"/>
                <w:highlight w:val="none"/>
                <w:lang w:val="en-US" w:eastAsia="zh-CN" w:bidi="ar"/>
              </w:rPr>
              <w:t>4</w:t>
            </w:r>
          </w:p>
        </w:tc>
        <w:tc>
          <w:tcPr>
            <w:tcW w:w="3117" w:type="pct"/>
            <w:gridSpan w:val="3"/>
            <w:vAlign w:val="center"/>
          </w:tcPr>
          <w:p>
            <w:pPr>
              <w:adjustRightInd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29.04</w:t>
            </w:r>
          </w:p>
        </w:tc>
      </w:tr>
    </w:tbl>
    <w:p>
      <w:pPr>
        <w:pStyle w:val="7"/>
        <w:keepNext w:val="0"/>
        <w:keepLines w:val="0"/>
        <w:widowControl w:val="0"/>
        <w:rPr>
          <w:b/>
          <w:color w:val="auto"/>
          <w:w w:val="99"/>
          <w:kern w:val="2"/>
          <w:sz w:val="24"/>
          <w:szCs w:val="24"/>
          <w:highlight w:val="none"/>
        </w:rPr>
      </w:pPr>
      <w:r>
        <w:rPr>
          <w:b/>
          <w:color w:val="auto"/>
          <w:w w:val="99"/>
          <w:kern w:val="2"/>
          <w:sz w:val="24"/>
          <w:szCs w:val="24"/>
          <w:highlight w:val="none"/>
        </w:rPr>
        <w:t>3.5.2土石方平衡</w:t>
      </w:r>
      <w:bookmarkEnd w:id="416"/>
      <w:bookmarkEnd w:id="417"/>
      <w:bookmarkEnd w:id="418"/>
      <w:bookmarkEnd w:id="419"/>
      <w:bookmarkEnd w:id="420"/>
      <w:bookmarkEnd w:id="421"/>
      <w:bookmarkEnd w:id="422"/>
    </w:p>
    <w:p>
      <w:pPr>
        <w:widowControl w:val="0"/>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本项目涉及土方工程主要包括部分井场垫高0.3m、井场截水沟（</w:t>
      </w:r>
      <w:r>
        <w:rPr>
          <w:rFonts w:hint="eastAsia" w:ascii="Times New Roman" w:hAnsi="Times New Roman" w:cs="Times New Roman" w:eastAsiaTheme="minorEastAsia"/>
          <w:color w:val="auto"/>
          <w:w w:val="99"/>
          <w:kern w:val="21"/>
          <w:highlight w:val="none"/>
        </w:rPr>
        <w:t>单井</w:t>
      </w:r>
      <w:r>
        <w:rPr>
          <w:rFonts w:ascii="Times New Roman" w:hAnsi="Times New Roman" w:cs="Times New Roman" w:eastAsiaTheme="minorEastAsia"/>
          <w:color w:val="auto"/>
          <w:w w:val="99"/>
          <w:kern w:val="21"/>
          <w:highlight w:val="none"/>
        </w:rPr>
        <w:t>长140m×宽0.5m×深0.5m）的开挖及回填、</w:t>
      </w:r>
      <w:r>
        <w:rPr>
          <w:rFonts w:hint="eastAsia" w:ascii="Times New Roman" w:hAnsi="Times New Roman" w:cs="Times New Roman" w:eastAsiaTheme="minorEastAsia"/>
          <w:color w:val="auto"/>
          <w:w w:val="99"/>
          <w:kern w:val="21"/>
          <w:highlight w:val="none"/>
        </w:rPr>
        <w:t>临时</w:t>
      </w:r>
      <w:r>
        <w:rPr>
          <w:rFonts w:ascii="Times New Roman" w:hAnsi="Times New Roman" w:cs="Times New Roman" w:eastAsiaTheme="minorEastAsia"/>
          <w:color w:val="auto"/>
          <w:w w:val="99"/>
          <w:kern w:val="21"/>
          <w:highlight w:val="none"/>
        </w:rPr>
        <w:t>旱厕的开挖及回填（</w:t>
      </w:r>
      <w:r>
        <w:rPr>
          <w:rFonts w:hint="eastAsia" w:ascii="Times New Roman" w:hAnsi="Times New Roman" w:cs="Times New Roman" w:eastAsiaTheme="minorEastAsia"/>
          <w:color w:val="auto"/>
          <w:w w:val="99"/>
          <w:kern w:val="21"/>
          <w:highlight w:val="none"/>
        </w:rPr>
        <w:t>每座井场设1座</w:t>
      </w:r>
      <w:r>
        <w:rPr>
          <w:rFonts w:ascii="Times New Roman" w:hAnsi="Times New Roman" w:cs="Times New Roman" w:eastAsiaTheme="minorEastAsia"/>
          <w:color w:val="auto"/>
          <w:w w:val="99"/>
          <w:kern w:val="21"/>
          <w:highlight w:val="none"/>
        </w:rPr>
        <w:t>临时旱厕，</w:t>
      </w:r>
      <w:r>
        <w:rPr>
          <w:rFonts w:hint="eastAsia" w:ascii="Times New Roman" w:hAnsi="Times New Roman" w:cs="Times New Roman" w:eastAsiaTheme="minorEastAsia"/>
          <w:color w:val="auto"/>
          <w:w w:val="99"/>
          <w:kern w:val="21"/>
          <w:highlight w:val="none"/>
        </w:rPr>
        <w:t>临时</w:t>
      </w:r>
      <w:r>
        <w:rPr>
          <w:rFonts w:ascii="Times New Roman" w:hAnsi="Times New Roman" w:cs="Times New Roman" w:eastAsiaTheme="minorEastAsia"/>
          <w:color w:val="auto"/>
          <w:w w:val="99"/>
          <w:kern w:val="21"/>
          <w:highlight w:val="none"/>
        </w:rPr>
        <w:t>旱厕</w:t>
      </w:r>
      <w:r>
        <w:rPr>
          <w:rFonts w:hint="eastAsia" w:ascii="Times New Roman" w:hAnsi="Times New Roman" w:cs="Times New Roman" w:eastAsiaTheme="minorEastAsia"/>
          <w:color w:val="auto"/>
          <w:w w:val="99"/>
          <w:kern w:val="21"/>
          <w:highlight w:val="none"/>
        </w:rPr>
        <w:t>容积为4</w:t>
      </w:r>
      <w:r>
        <w:rPr>
          <w:rFonts w:ascii="Times New Roman" w:hAnsi="Times New Roman" w:cs="Times New Roman" w:eastAsiaTheme="minorEastAsia"/>
          <w:color w:val="auto"/>
          <w:w w:val="99"/>
          <w:kern w:val="21"/>
          <w:highlight w:val="none"/>
        </w:rPr>
        <w:t>m</w:t>
      </w:r>
      <w:r>
        <w:rPr>
          <w:rFonts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），应分层开挖，分层堆放，施工结束后分层回填，开挖土方均原地回填，因此不产生弃土量。本项目所需土方由施工单位外购，履行相关手续。本项目土石方平衡见表3.5-2。</w:t>
      </w:r>
      <w:r>
        <w:rPr>
          <w:rFonts w:hint="eastAsia" w:ascii="Times New Roman" w:hAnsi="Times New Roman" w:cs="Times New Roman" w:eastAsiaTheme="minorEastAsia"/>
          <w:color w:val="auto"/>
          <w:w w:val="99"/>
          <w:kern w:val="21"/>
          <w:highlight w:val="none"/>
        </w:rPr>
        <w:t>土石方平衡图</w:t>
      </w:r>
      <w:r>
        <w:rPr>
          <w:rFonts w:ascii="Times New Roman" w:hAnsi="Times New Roman" w:cs="Times New Roman" w:eastAsiaTheme="minorEastAsia"/>
          <w:color w:val="auto"/>
          <w:w w:val="99"/>
          <w:kern w:val="21"/>
          <w:highlight w:val="none"/>
        </w:rPr>
        <w:t>见图</w:t>
      </w:r>
      <w:r>
        <w:rPr>
          <w:rFonts w:hint="eastAsia" w:ascii="Times New Roman" w:hAnsi="Times New Roman" w:cs="Times New Roman" w:eastAsiaTheme="minorEastAsia"/>
          <w:color w:val="auto"/>
          <w:w w:val="99"/>
          <w:kern w:val="21"/>
          <w:highlight w:val="none"/>
        </w:rPr>
        <w:t>3.5-1。</w:t>
      </w:r>
    </w:p>
    <w:p>
      <w:pPr>
        <w:widowControl w:val="0"/>
        <w:spacing w:line="500" w:lineRule="exact"/>
        <w:ind w:firstLine="474" w:firstLineChars="200"/>
        <w:rPr>
          <w:rFonts w:ascii="Times New Roman" w:hAnsi="Times New Roman" w:cs="Times New Roman" w:eastAsiaTheme="minorEastAsia"/>
          <w:color w:val="auto"/>
          <w:w w:val="99"/>
          <w:kern w:val="21"/>
          <w:szCs w:val="22"/>
          <w:highlight w:val="none"/>
          <w:lang w:val="zh-CN" w:bidi="zh-CN"/>
        </w:rPr>
      </w:pPr>
    </w:p>
    <w:p>
      <w:pPr>
        <w:widowControl w:val="0"/>
        <w:spacing w:line="500" w:lineRule="exact"/>
        <w:ind w:firstLine="474" w:firstLineChars="200"/>
        <w:rPr>
          <w:rFonts w:ascii="Times New Roman" w:hAnsi="Times New Roman" w:cs="Times New Roman" w:eastAsiaTheme="minorEastAsia"/>
          <w:b/>
          <w:bCs/>
          <w:color w:val="auto"/>
          <w:w w:val="99"/>
          <w:kern w:val="21"/>
          <w:szCs w:val="22"/>
          <w:highlight w:val="none"/>
          <w:lang w:bidi="zh-CN"/>
        </w:rPr>
      </w:pPr>
      <w:r>
        <w:rPr>
          <w:rFonts w:ascii="Times New Roman" w:hAnsi="Times New Roman" w:cs="Times New Roman" w:eastAsiaTheme="minorEastAsia"/>
          <w:b/>
          <w:bCs/>
          <w:color w:val="auto"/>
          <w:w w:val="99"/>
          <w:kern w:val="21"/>
          <w:szCs w:val="22"/>
          <w:highlight w:val="none"/>
          <w:lang w:val="zh-CN" w:bidi="zh-CN"/>
        </w:rPr>
        <w:t>表</w:t>
      </w:r>
      <w:r>
        <w:rPr>
          <w:rFonts w:ascii="Times New Roman" w:hAnsi="Times New Roman" w:cs="Times New Roman" w:eastAsiaTheme="minorEastAsia"/>
          <w:b/>
          <w:bCs/>
          <w:color w:val="auto"/>
          <w:w w:val="99"/>
          <w:kern w:val="21"/>
          <w:highlight w:val="none"/>
        </w:rPr>
        <w:t>3.5-2</w:t>
      </w:r>
      <w:r>
        <w:rPr>
          <w:rFonts w:ascii="Times New Roman" w:hAnsi="Times New Roman" w:cs="Times New Roman" w:eastAsiaTheme="minorEastAsia"/>
          <w:b/>
          <w:bCs/>
          <w:color w:val="auto"/>
          <w:w w:val="99"/>
          <w:kern w:val="21"/>
          <w:szCs w:val="22"/>
          <w:highlight w:val="none"/>
          <w:lang w:bidi="zh-CN"/>
        </w:rPr>
        <w:t xml:space="preserve">                     土石方平衡表                       单位：m</w:t>
      </w:r>
      <w:r>
        <w:rPr>
          <w:rFonts w:ascii="Times New Roman" w:hAnsi="Times New Roman" w:cs="Times New Roman" w:eastAsiaTheme="minorEastAsia"/>
          <w:b/>
          <w:bCs/>
          <w:color w:val="auto"/>
          <w:w w:val="99"/>
          <w:kern w:val="21"/>
          <w:szCs w:val="22"/>
          <w:highlight w:val="none"/>
          <w:vertAlign w:val="superscript"/>
          <w:lang w:bidi="zh-CN"/>
        </w:rPr>
        <w:t>3</w:t>
      </w:r>
    </w:p>
    <w:tbl>
      <w:tblPr>
        <w:tblStyle w:val="82"/>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52"/>
        <w:gridCol w:w="1048"/>
        <w:gridCol w:w="914"/>
        <w:gridCol w:w="914"/>
        <w:gridCol w:w="914"/>
        <w:gridCol w:w="786"/>
        <w:gridCol w:w="23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项目</w:t>
            </w:r>
          </w:p>
        </w:tc>
        <w:tc>
          <w:tcPr>
            <w:tcW w:w="564"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挖方量</w:t>
            </w:r>
          </w:p>
        </w:tc>
        <w:tc>
          <w:tcPr>
            <w:tcW w:w="49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填方量</w:t>
            </w:r>
          </w:p>
        </w:tc>
        <w:tc>
          <w:tcPr>
            <w:tcW w:w="49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利用方</w:t>
            </w:r>
          </w:p>
        </w:tc>
        <w:tc>
          <w:tcPr>
            <w:tcW w:w="49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弃方量</w:t>
            </w:r>
          </w:p>
        </w:tc>
        <w:tc>
          <w:tcPr>
            <w:tcW w:w="423"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借方量</w:t>
            </w:r>
          </w:p>
        </w:tc>
        <w:tc>
          <w:tcPr>
            <w:tcW w:w="126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井场垫土</w:t>
            </w:r>
          </w:p>
        </w:tc>
        <w:tc>
          <w:tcPr>
            <w:tcW w:w="564"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492" w:type="pct"/>
            <w:vAlign w:val="center"/>
          </w:tcPr>
          <w:p>
            <w:pPr>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15840</w:t>
            </w:r>
          </w:p>
        </w:tc>
        <w:tc>
          <w:tcPr>
            <w:tcW w:w="49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p>
        </w:tc>
        <w:tc>
          <w:tcPr>
            <w:tcW w:w="49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423" w:type="pct"/>
            <w:vAlign w:val="center"/>
          </w:tcPr>
          <w:p>
            <w:pPr>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15840</w:t>
            </w:r>
          </w:p>
        </w:tc>
        <w:tc>
          <w:tcPr>
            <w:tcW w:w="1266" w:type="pct"/>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施工场地范围内的表土堆场集中堆存，施工结束后覆土回填，井场垫高需要土方由施工方外购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井场截水沟的开挖及回填</w:t>
            </w:r>
          </w:p>
        </w:tc>
        <w:tc>
          <w:tcPr>
            <w:tcW w:w="564" w:type="pct"/>
            <w:vAlign w:val="center"/>
          </w:tcPr>
          <w:p>
            <w:pPr>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1540</w:t>
            </w:r>
          </w:p>
        </w:tc>
        <w:tc>
          <w:tcPr>
            <w:tcW w:w="49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1540</w:t>
            </w:r>
          </w:p>
        </w:tc>
        <w:tc>
          <w:tcPr>
            <w:tcW w:w="49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1540</w:t>
            </w:r>
          </w:p>
        </w:tc>
        <w:tc>
          <w:tcPr>
            <w:tcW w:w="49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423"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1266" w:type="pct"/>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临时旱厕的开挖及回填</w:t>
            </w:r>
          </w:p>
        </w:tc>
        <w:tc>
          <w:tcPr>
            <w:tcW w:w="564" w:type="pct"/>
            <w:vAlign w:val="center"/>
          </w:tcPr>
          <w:p>
            <w:pPr>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176</w:t>
            </w:r>
          </w:p>
        </w:tc>
        <w:tc>
          <w:tcPr>
            <w:tcW w:w="49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176</w:t>
            </w:r>
          </w:p>
        </w:tc>
        <w:tc>
          <w:tcPr>
            <w:tcW w:w="49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176</w:t>
            </w:r>
          </w:p>
        </w:tc>
        <w:tc>
          <w:tcPr>
            <w:tcW w:w="49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423"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1266" w:type="pct"/>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合计</w:t>
            </w:r>
          </w:p>
        </w:tc>
        <w:tc>
          <w:tcPr>
            <w:tcW w:w="564"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w:t>
            </w:r>
            <w:r>
              <w:rPr>
                <w:rFonts w:hint="eastAsia" w:ascii="Times New Roman" w:hAnsi="Times New Roman" w:cs="Times New Roman" w:eastAsiaTheme="minorEastAsia"/>
                <w:color w:val="auto"/>
                <w:w w:val="99"/>
                <w:sz w:val="21"/>
                <w:szCs w:val="21"/>
                <w:highlight w:val="none"/>
                <w:lang w:val="en-US" w:eastAsia="zh-CN"/>
              </w:rPr>
              <w:t>716</w:t>
            </w:r>
          </w:p>
        </w:tc>
        <w:tc>
          <w:tcPr>
            <w:tcW w:w="492" w:type="pct"/>
            <w:vAlign w:val="center"/>
          </w:tcPr>
          <w:p>
            <w:pPr>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rPr>
              <w:t>1</w:t>
            </w:r>
            <w:r>
              <w:rPr>
                <w:rFonts w:hint="eastAsia" w:ascii="Times New Roman" w:hAnsi="Times New Roman" w:cs="Times New Roman" w:eastAsiaTheme="minorEastAsia"/>
                <w:color w:val="auto"/>
                <w:w w:val="99"/>
                <w:sz w:val="21"/>
                <w:szCs w:val="21"/>
                <w:highlight w:val="none"/>
                <w:lang w:val="en-US" w:eastAsia="zh-CN"/>
              </w:rPr>
              <w:t>7556</w:t>
            </w:r>
          </w:p>
        </w:tc>
        <w:tc>
          <w:tcPr>
            <w:tcW w:w="492" w:type="pct"/>
            <w:vAlign w:val="center"/>
          </w:tcPr>
          <w:p>
            <w:pPr>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rPr>
              <w:t>1</w:t>
            </w:r>
            <w:r>
              <w:rPr>
                <w:rFonts w:hint="eastAsia" w:ascii="Times New Roman" w:hAnsi="Times New Roman" w:cs="Times New Roman" w:eastAsiaTheme="minorEastAsia"/>
                <w:color w:val="auto"/>
                <w:w w:val="99"/>
                <w:sz w:val="21"/>
                <w:szCs w:val="21"/>
                <w:highlight w:val="none"/>
                <w:lang w:val="en-US" w:eastAsia="zh-CN"/>
              </w:rPr>
              <w:t>716</w:t>
            </w:r>
          </w:p>
        </w:tc>
        <w:tc>
          <w:tcPr>
            <w:tcW w:w="49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423"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1584</w:t>
            </w:r>
            <w:r>
              <w:rPr>
                <w:rFonts w:hint="eastAsia" w:ascii="Times New Roman" w:hAnsi="Times New Roman" w:cs="Times New Roman" w:eastAsiaTheme="minorEastAsia"/>
                <w:color w:val="auto"/>
                <w:w w:val="99"/>
                <w:sz w:val="21"/>
                <w:szCs w:val="21"/>
                <w:highlight w:val="none"/>
              </w:rPr>
              <w:t>0</w:t>
            </w:r>
          </w:p>
        </w:tc>
        <w:tc>
          <w:tcPr>
            <w:tcW w:w="1266" w:type="pct"/>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r>
    </w:tbl>
    <w:p>
      <w:pPr>
        <w:widowControl w:val="0"/>
        <w:jc w:val="center"/>
        <w:rPr>
          <w:rFonts w:ascii="Times New Roman" w:hAnsi="Times New Roman" w:cs="Times New Roman" w:eastAsiaTheme="minorEastAsia"/>
          <w:color w:val="auto"/>
          <w:w w:val="99"/>
          <w:kern w:val="21"/>
          <w:szCs w:val="22"/>
          <w:highlight w:val="none"/>
          <w:lang w:val="zh-CN" w:bidi="zh-CN"/>
        </w:rPr>
      </w:pPr>
      <w:r>
        <w:rPr>
          <w:color w:val="auto"/>
          <w:highlight w:val="none"/>
        </w:rPr>
        <w:drawing>
          <wp:inline distT="0" distB="0" distL="114300" distR="114300">
            <wp:extent cx="4914900" cy="2886075"/>
            <wp:effectExtent l="0" t="0" r="0"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8"/>
                    <a:stretch>
                      <a:fillRect/>
                    </a:stretch>
                  </pic:blipFill>
                  <pic:spPr>
                    <a:xfrm>
                      <a:off x="0" y="0"/>
                      <a:ext cx="4914900" cy="2886075"/>
                    </a:xfrm>
                    <a:prstGeom prst="rect">
                      <a:avLst/>
                    </a:prstGeom>
                    <a:noFill/>
                    <a:ln>
                      <a:noFill/>
                    </a:ln>
                  </pic:spPr>
                </pic:pic>
              </a:graphicData>
            </a:graphic>
          </wp:inline>
        </w:drawing>
      </w:r>
      <w:r>
        <w:rPr>
          <w:color w:val="auto"/>
          <w:sz w:val="24"/>
          <w:highlight w:val="none"/>
        </w:rPr>
        <mc:AlternateContent>
          <mc:Choice Requires="wps">
            <w:drawing>
              <wp:anchor distT="0" distB="0" distL="114300" distR="114300" simplePos="0" relativeHeight="251684864" behindDoc="0" locked="0" layoutInCell="1" allowOverlap="1">
                <wp:simplePos x="0" y="0"/>
                <wp:positionH relativeFrom="column">
                  <wp:posOffset>1671955</wp:posOffset>
                </wp:positionH>
                <wp:positionV relativeFrom="paragraph">
                  <wp:posOffset>482600</wp:posOffset>
                </wp:positionV>
                <wp:extent cx="502285" cy="242570"/>
                <wp:effectExtent l="0" t="0" r="12065" b="5080"/>
                <wp:wrapNone/>
                <wp:docPr id="18" name="文本框 18"/>
                <wp:cNvGraphicFramePr/>
                <a:graphic xmlns:a="http://schemas.openxmlformats.org/drawingml/2006/main">
                  <a:graphicData uri="http://schemas.microsoft.com/office/word/2010/wordprocessingShape">
                    <wps:wsp>
                      <wps:cNvSpPr txBox="1"/>
                      <wps:spPr>
                        <a:xfrm>
                          <a:off x="2572385" y="2082165"/>
                          <a:ext cx="502285" cy="2425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8"/>
                                <w:szCs w:val="18"/>
                                <w:lang w:val="en-US" w:eastAsia="zh-CN"/>
                              </w:rPr>
                            </w:pPr>
                            <w:r>
                              <w:rPr>
                                <w:rFonts w:hint="eastAsia"/>
                                <w:sz w:val="18"/>
                                <w:szCs w:val="18"/>
                                <w:lang w:val="en-US" w:eastAsia="zh-CN"/>
                              </w:rPr>
                              <w:t>1716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65pt;margin-top:38pt;height:19.1pt;width:39.55pt;z-index:251684864;mso-width-relative:page;mso-height-relative:page;" fillcolor="#FFFFFF [3201]" filled="t" stroked="f" coordsize="21600,21600" o:gfxdata="UEsDBAoAAAAAAIdO4kAAAAAAAAAAAAAAAAAEAAAAZHJzL1BLAwQUAAAACACHTuJAOWx4D9UAAAAK&#10;AQAADwAAAGRycy9kb3ducmV2LnhtbE2Py07DMBBF90j8gzVI7KjzUorSOF0gsUWiLV278RBHtcdR&#10;7D6/nmEFy9Ec3Xtuu756J844xzGQgnyRgUDqgxlpULDbvr+8gohJk9EuECq4YYR19/jQ6saEC33i&#10;eZMGwSEUG63ApjQ1UsbeotdxESYk/n2H2evE5zxIM+sLh3sniyyrpdcjcYPVE75Z7I+bk1ewH/x9&#10;/5VPszXeVfRxv213YVTq+SnPViASXtMfDL/6rA4dOx3CiUwUTkFRlyWjCpY1b2KgrIoKxIHJvCpA&#10;dq38P6H7AVBLAwQUAAAACACHTuJASbyrL1kCAACcBAAADgAAAGRycy9lMm9Eb2MueG1srVTBbtQw&#10;EL0j8Q+W7zTZdLeUVbPV0moRUkUrFcTZ6zi7kRyPsb2blA+AP+iJC3e+q9/Bs7PblsKhB3Jwxp6X&#10;Gb83Mzk57VvNtsr5hkzJRwc5Z8pIqhqzKvmnj4tXx5z5IEwlNBlV8hvl+ens5YuTzk5VQWvSlXIM&#10;QYyfdrbk6xDsNMu8XKtW+AOyysBZk2tFwNatssqJDtFbnRV5fpR15CrrSCrvcXo+OPkuontOQKrr&#10;RqpzkptWmTBEdUqLAEp+3VjPZ+m2da1kuKxrrwLTJQfTkFYkgb2MazY7EdOVE3bdyN0VxHOu8IRT&#10;KxqDpPehzkUQbOOav0K1jXTkqQ4HktpsIJIUAYtR/kSb67WwKnGB1N7ei+7/X1j5YXvlWFOhE1B3&#10;I1pU/O72+92PX3c/vzGcQaDO+ilw1xbI0L+lHuD9ucdh5N3Xro1vMGLwF5PXxeHxhLMb2PlxMTqa&#10;DFKrPjAJwCQviuiXETAGPJUiewhknQ/vFLUsGiV3qGQSWGwvfMClAN1DYl5PuqkWjdZp41bLM+3Y&#10;VqDqi/TE7PjkD5g2rCv50eEkT5ENxe8HnDaAR94Dv2iFftnvxFhSdQMtHA3t5K1cNLjlhfDhSjj0&#10;D7oLExYusdSakIR2Fmdrcl//dR7xKCu8nHXox5L7LxvhFGf6vUHB34zG49jAaTOGvNi4x57lY4/Z&#10;tGcE8iPMspXJjPig92btqP2MQZzHrHAJI5G75GFvnoVhSjDIUs3nCYSWtSJcmGsrY+gotaH5JlDd&#10;pJJEmQZtduqhaZPsuwGLU/F4n1APP5XZ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lseA/VAAAA&#10;CgEAAA8AAAAAAAAAAQAgAAAAIgAAAGRycy9kb3ducmV2LnhtbFBLAQIUABQAAAAIAIdO4kBJvKsv&#10;WQIAAJwEAAAOAAAAAAAAAAEAIAAAACQBAABkcnMvZTJvRG9jLnhtbFBLBQYAAAAABgAGAFkBAADv&#10;BQAAAAA=&#10;">
                <v:fill on="t" focussize="0,0"/>
                <v:stroke on="f" weight="0.5pt"/>
                <v:imagedata o:title=""/>
                <o:lock v:ext="edit" aspectratio="f"/>
                <v:textbox>
                  <w:txbxContent>
                    <w:p>
                      <w:pPr>
                        <w:rPr>
                          <w:rFonts w:hint="default" w:eastAsia="宋体"/>
                          <w:sz w:val="18"/>
                          <w:szCs w:val="18"/>
                          <w:lang w:val="en-US" w:eastAsia="zh-CN"/>
                        </w:rPr>
                      </w:pPr>
                      <w:r>
                        <w:rPr>
                          <w:rFonts w:hint="eastAsia"/>
                          <w:sz w:val="18"/>
                          <w:szCs w:val="18"/>
                          <w:lang w:val="en-US" w:eastAsia="zh-CN"/>
                        </w:rPr>
                        <w:t>1716</w:t>
                      </w:r>
                    </w:p>
                  </w:txbxContent>
                </v:textbox>
              </v:shape>
            </w:pict>
          </mc:Fallback>
        </mc:AlternateContent>
      </w:r>
      <w:r>
        <w:rPr>
          <w:color w:val="auto"/>
          <w:sz w:val="24"/>
          <w:highlight w:val="none"/>
        </w:rPr>
        <mc:AlternateContent>
          <mc:Choice Requires="wps">
            <w:drawing>
              <wp:anchor distT="0" distB="0" distL="114300" distR="114300" simplePos="0" relativeHeight="251685888" behindDoc="0" locked="0" layoutInCell="1" allowOverlap="1">
                <wp:simplePos x="0" y="0"/>
                <wp:positionH relativeFrom="column">
                  <wp:posOffset>2418080</wp:posOffset>
                </wp:positionH>
                <wp:positionV relativeFrom="paragraph">
                  <wp:posOffset>1122680</wp:posOffset>
                </wp:positionV>
                <wp:extent cx="502285" cy="251460"/>
                <wp:effectExtent l="0" t="0" r="12065" b="15240"/>
                <wp:wrapNone/>
                <wp:docPr id="20" name="文本框 20"/>
                <wp:cNvGraphicFramePr/>
                <a:graphic xmlns:a="http://schemas.openxmlformats.org/drawingml/2006/main">
                  <a:graphicData uri="http://schemas.microsoft.com/office/word/2010/wordprocessingShape">
                    <wps:wsp>
                      <wps:cNvSpPr txBox="1"/>
                      <wps:spPr>
                        <a:xfrm>
                          <a:off x="0" y="0"/>
                          <a:ext cx="502285" cy="2514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8"/>
                                <w:szCs w:val="18"/>
                                <w:lang w:val="en-US" w:eastAsia="zh-CN"/>
                              </w:rPr>
                            </w:pPr>
                            <w:r>
                              <w:rPr>
                                <w:rFonts w:hint="eastAsia"/>
                                <w:sz w:val="18"/>
                                <w:szCs w:val="18"/>
                                <w:lang w:val="en-US" w:eastAsia="zh-CN"/>
                              </w:rPr>
                              <w:t>1716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4pt;margin-top:88.4pt;height:19.8pt;width:39.55pt;z-index:251685888;mso-width-relative:page;mso-height-relative:page;" fillcolor="#FFFFFF [3201]" filled="t" stroked="f" coordsize="21600,21600" o:gfxdata="UEsDBAoAAAAAAIdO4kAAAAAAAAAAAAAAAAAEAAAAZHJzL1BLAwQUAAAACACHTuJAqEKfe9cAAAAL&#10;AQAADwAAAGRycy9kb3ducmV2LnhtbE2PzU7DMBCE70i8g7VI3KidEkIb4vSAxBWJtvTsxkscEa8j&#10;2/19epYT3GY1o5lvm9XZj+KIMQ2BNBQzBQKpC3agXsN28/awAJGyIWvGQKjhgglW7e1NY2obTvSB&#10;x3XuBZdQqo0Gl/NUS5k6h96kWZiQ2PsK0ZvMZ+yljebE5X6Uc6Uq6c1AvODMhK8Ou+/1wWvY9f66&#10;+yym6KwfS3q/XjbbMGh9f1eoFxAZz/kvDL/4jA4tM+3DgWwSo4bHhWL0zMZzxYIT5dNyCWKvYV5U&#10;Jci2kf9/aH8AUEsDBBQAAAAIAIdO4kAA9ZJVUQIAAJAEAAAOAAAAZHJzL2Uyb0RvYy54bWytVMFu&#10;EzEQvSPxD5bvdJOQlBJlU4VWQUgVrVQQZ8frza7k9RjbyW75APgDTly48135Dp69SRsKhx7IwRl7&#10;xm/83szs7LxrNNsq52syOR+eDDhTRlJRm3XOP35YvjjjzAdhCqHJqJzfKc/P58+fzVo7VSOqSBfK&#10;MYAYP21tzqsQ7DTLvKxUI/wJWWXgLMk1ImDr1lnhRAv0RmejweA0a8kV1pFU3uP0snfyPaJ7CiCV&#10;ZS3VJclNo0zoUZ3SIoCSr2rr+Ty9tiyVDNdl6VVgOudgGtKKJLBXcc3mMzFdO2GrWu6fIJ7yhEec&#10;GlEbJL2HuhRBsI2r/4JqaunIUxlOJDVZTyQpAhbDwSNtbithVeICqb29F93/P1j5fnvjWF3kfARJ&#10;jGhQ8d33b7sfv3Y/vzKcQaDW+inibi0iQ/eGOrTN4dzjMPLuStfEfzBi8APr7l5e1QUmcTgZjEZn&#10;E84kXKPJcHya0LOHy9b58FZRw6KRc4fqJVHF9soHPAShh5CYy5Oui2Wtddq49epCO7YVqPQy/eIb&#10;ceWPMG1Ym/PTl5NBQjYU7/dx2iA8cu05RSt0q24vwIqKO/B31LeQt3JZ45VXwocb4dAzoIypCtdY&#10;Sk1IQnuLs4rcl3+dx3iUEl7OWvRgzv3njXCKM/3OoMivh+MxYEPajCevYoncsWd17DGb5oJAfoj5&#10;tTKZMT7og1k6aj5h+BYxK1zCSOTOeTiYF6GfDAyvVItFCkKbWhGuzK2VETpKbWixCVTWqSRRpl6b&#10;vXpo1CT7fqjiJBzvU9TDh2T+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hCn3vXAAAACwEAAA8A&#10;AAAAAAAAAQAgAAAAIgAAAGRycy9kb3ducmV2LnhtbFBLAQIUABQAAAAIAIdO4kAA9ZJVUQIAAJAE&#10;AAAOAAAAAAAAAAEAIAAAACYBAABkcnMvZTJvRG9jLnhtbFBLBQYAAAAABgAGAFkBAADpBQAAAAA=&#10;">
                <v:fill on="t" focussize="0,0"/>
                <v:stroke on="f" weight="0.5pt"/>
                <v:imagedata o:title=""/>
                <o:lock v:ext="edit" aspectratio="f"/>
                <v:textbox>
                  <w:txbxContent>
                    <w:p>
                      <w:pPr>
                        <w:rPr>
                          <w:rFonts w:hint="default" w:eastAsia="宋体"/>
                          <w:sz w:val="18"/>
                          <w:szCs w:val="18"/>
                          <w:lang w:val="en-US" w:eastAsia="zh-CN"/>
                        </w:rPr>
                      </w:pPr>
                      <w:r>
                        <w:rPr>
                          <w:rFonts w:hint="eastAsia"/>
                          <w:sz w:val="18"/>
                          <w:szCs w:val="18"/>
                          <w:lang w:val="en-US" w:eastAsia="zh-CN"/>
                        </w:rPr>
                        <w:t>1716</w:t>
                      </w:r>
                    </w:p>
                  </w:txbxContent>
                </v:textbox>
              </v:shape>
            </w:pict>
          </mc:Fallback>
        </mc:AlternateContent>
      </w:r>
      <w:r>
        <w:rPr>
          <w:color w:val="auto"/>
          <w:sz w:val="24"/>
          <w:highlight w:val="none"/>
        </w:rPr>
        <mc:AlternateContent>
          <mc:Choice Requires="wps">
            <w:drawing>
              <wp:anchor distT="0" distB="0" distL="114300" distR="114300" simplePos="0" relativeHeight="251688960" behindDoc="0" locked="0" layoutInCell="1" allowOverlap="1">
                <wp:simplePos x="0" y="0"/>
                <wp:positionH relativeFrom="column">
                  <wp:posOffset>4306570</wp:posOffset>
                </wp:positionH>
                <wp:positionV relativeFrom="paragraph">
                  <wp:posOffset>2256155</wp:posOffset>
                </wp:positionV>
                <wp:extent cx="502285" cy="251460"/>
                <wp:effectExtent l="0" t="0" r="12065" b="15240"/>
                <wp:wrapNone/>
                <wp:docPr id="33" name="文本框 33"/>
                <wp:cNvGraphicFramePr/>
                <a:graphic xmlns:a="http://schemas.openxmlformats.org/drawingml/2006/main">
                  <a:graphicData uri="http://schemas.microsoft.com/office/word/2010/wordprocessingShape">
                    <wps:wsp>
                      <wps:cNvSpPr txBox="1"/>
                      <wps:spPr>
                        <a:xfrm>
                          <a:off x="0" y="0"/>
                          <a:ext cx="502285" cy="2514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8"/>
                                <w:szCs w:val="18"/>
                                <w:lang w:val="en-US" w:eastAsia="zh-CN"/>
                              </w:rPr>
                            </w:pPr>
                            <w:r>
                              <w:rPr>
                                <w:rFonts w:hint="eastAsia"/>
                                <w:sz w:val="18"/>
                                <w:szCs w:val="18"/>
                                <w:lang w:val="en-US" w:eastAsia="zh-CN"/>
                              </w:rPr>
                              <w:t>15840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9.1pt;margin-top:177.65pt;height:19.8pt;width:39.55pt;z-index:251688960;mso-width-relative:page;mso-height-relative:page;" fillcolor="#FFFFFF [3201]" filled="t" stroked="f" coordsize="21600,21600" o:gfxdata="UEsDBAoAAAAAAIdO4kAAAAAAAAAAAAAAAAAEAAAAZHJzL1BLAwQUAAAACACHTuJAbJ9jVtcAAAAL&#10;AQAADwAAAGRycy9kb3ducmV2LnhtbE2Py07DMBBF90j8gzVI7KiTtmnaEKcLJLZI9LV24yGOsMdR&#10;7D6/nmEFu3kc3TlTr6/eiTOOsQ+kIJ9kIJDaYHrqFOy27y9LEDFpMtoFQgU3jLBuHh9qXZlwoU88&#10;b1InOIRipRXYlIZKytha9DpOwoDEu68wep24HTtpRn3hcO/kNMsW0uue+ILVA75ZbL83J6/g0Pn7&#10;YZ8PozXezenjftvuQq/U81OevYJIeE1/MPzqszo07HQMJzJROAWLcjllVMGsKGYgmCiLkosjT1bz&#10;Fcimlv9/aH4AUEsDBBQAAAAIAIdO4kB0Fo9aUwIAAJAEAAAOAAAAZHJzL2Uyb0RvYy54bWytVMFu&#10;2zAMvQ/YPwi6r3acpOuCOkXWIsOAYC3QDTsrshwLkERNUmJnH7D9QU+77L7v6neMkp0263boYTko&#10;FEmRfI+kzy86rchOOC/BlHR0klMiDIdKmk1JP31cvjqjxAdmKqbAiJLuhacX85cvzls7EwU0oCrh&#10;CAYxftbakjYh2FmWed4IzfwJWGHQWIPTLODVbbLKsRaja5UVeX6ateAq64AL71F71RvpENE9JyDU&#10;teTiCvhWCxP6qE4oFhCSb6T1dJ6qrWvBw3VdexGIKikiDenEJCiv45nNz9ls45htJB9KYM8p4Qkm&#10;zaTBpA+hrlhgZOvkX6G05A481OGEg856IIkRRDHKn3Bz2zArEhak2tsH0v3/C8s/7G4ckVVJx2NK&#10;DNPY8fu77/c/ft3//EZQhwS11s/Q79aiZ+jeQodjc9B7VEbcXe10/EdEBO1I7/6BXtEFwlE5zYvi&#10;bEoJR1MxHU1OE/3Z42PrfHgnQJMolNRh9xKpbLfyAQtB14NLzOVByWoplUoXt1lfKkd2DDu9TL9Y&#10;Iz75w00Z0pb0dDzNU2QD8X3vpwy6R6w9piiFbt0NBKyh2iN+B/0IecuXEqtcMR9umMOZQci4VeEa&#10;j1oBJoFBoqQB9/Vf+uiPrUQrJS3OYEn9ly1zghL13mCT34wmkzi06TKZvi7w4o4t62OL2epLQPAj&#10;3F/Lkxj9gzqItQP9GZdvEbOiiRmOuUsaDuJl6DcDl5eLxSI54ZhaFlbm1vIYOlJtYLENUMvUkkhT&#10;z83AHg5qon1YqrgJx/fk9fghmf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bJ9jVtcAAAALAQAA&#10;DwAAAAAAAAABACAAAAAiAAAAZHJzL2Rvd25yZXYueG1sUEsBAhQAFAAAAAgAh07iQHQWj1pTAgAA&#10;kAQAAA4AAAAAAAAAAQAgAAAAJgEAAGRycy9lMm9Eb2MueG1sUEsFBgAAAAAGAAYAWQEAAOsFAAAA&#10;AA==&#10;">
                <v:fill on="t" focussize="0,0"/>
                <v:stroke on="f" weight="0.5pt"/>
                <v:imagedata o:title=""/>
                <o:lock v:ext="edit" aspectratio="f"/>
                <v:textbox>
                  <w:txbxContent>
                    <w:p>
                      <w:pPr>
                        <w:rPr>
                          <w:rFonts w:hint="default" w:eastAsia="宋体"/>
                          <w:sz w:val="18"/>
                          <w:szCs w:val="18"/>
                          <w:lang w:val="en-US" w:eastAsia="zh-CN"/>
                        </w:rPr>
                      </w:pPr>
                      <w:r>
                        <w:rPr>
                          <w:rFonts w:hint="eastAsia"/>
                          <w:sz w:val="18"/>
                          <w:szCs w:val="18"/>
                          <w:lang w:val="en-US" w:eastAsia="zh-CN"/>
                        </w:rPr>
                        <w:t>15840</w:t>
                      </w:r>
                    </w:p>
                  </w:txbxContent>
                </v:textbox>
              </v:shape>
            </w:pict>
          </mc:Fallback>
        </mc:AlternateContent>
      </w:r>
      <w:r>
        <w:rPr>
          <w:color w:val="auto"/>
          <w:sz w:val="24"/>
          <w:highlight w:val="none"/>
        </w:rPr>
        <mc:AlternateContent>
          <mc:Choice Requires="wps">
            <w:drawing>
              <wp:anchor distT="0" distB="0" distL="114300" distR="114300" simplePos="0" relativeHeight="251687936" behindDoc="0" locked="0" layoutInCell="1" allowOverlap="1">
                <wp:simplePos x="0" y="0"/>
                <wp:positionH relativeFrom="column">
                  <wp:posOffset>2413635</wp:posOffset>
                </wp:positionH>
                <wp:positionV relativeFrom="paragraph">
                  <wp:posOffset>2187575</wp:posOffset>
                </wp:positionV>
                <wp:extent cx="502285" cy="251460"/>
                <wp:effectExtent l="0" t="0" r="12065" b="15240"/>
                <wp:wrapNone/>
                <wp:docPr id="31" name="文本框 31"/>
                <wp:cNvGraphicFramePr/>
                <a:graphic xmlns:a="http://schemas.openxmlformats.org/drawingml/2006/main">
                  <a:graphicData uri="http://schemas.microsoft.com/office/word/2010/wordprocessingShape">
                    <wps:wsp>
                      <wps:cNvSpPr txBox="1"/>
                      <wps:spPr>
                        <a:xfrm>
                          <a:off x="0" y="0"/>
                          <a:ext cx="502285" cy="2514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1"/>
                                <w:szCs w:val="21"/>
                                <w:lang w:val="en-US" w:eastAsia="zh-CN"/>
                              </w:rPr>
                            </w:pPr>
                            <w:r>
                              <w:rPr>
                                <w:rFonts w:hint="eastAsia"/>
                                <w:sz w:val="18"/>
                                <w:szCs w:val="18"/>
                                <w:lang w:val="en-US" w:eastAsia="zh-CN"/>
                              </w:rPr>
                              <w:t>15840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05pt;margin-top:172.25pt;height:19.8pt;width:39.55pt;z-index:251687936;mso-width-relative:page;mso-height-relative:page;" fillcolor="#FFFFFF [3201]" filled="t" stroked="f" coordsize="21600,21600" o:gfxdata="UEsDBAoAAAAAAIdO4kAAAAAAAAAAAAAAAAAEAAAAZHJzL1BLAwQUAAAACACHTuJAn9zLvtUAAAAL&#10;AQAADwAAAGRycy9kb3ducmV2LnhtbE2Py07DMBBF90j8gzVI7Kjj4qKSxukCiS0Sfa3d2I0j7HFk&#10;u8+vZ7qC3Yzu0Z0zzfISPDvZlIeICsSkAmaxi2bAXsFm/fkyB5aLRqN9RKvgajMs28eHRtcmnvHb&#10;nlalZ1SCudYKXCljzXnunA06T+JokbJDTEEXWlPPTdJnKg+eT6vqjQc9IF1werQfznY/q2NQsOvD&#10;bbcVY3ImeIlft+t6Ewelnp9EtQBW7KX8wXDXJ3VoyWkfj2gy8wpe55UglAYpZ8CIkLP3KbD9PZIC&#10;eNvw/z+0v1BLAwQUAAAACACHTuJAdSo7y1ICAACQBAAADgAAAGRycy9lMm9Eb2MueG1srVTBbhMx&#10;EL0j8Q+W73STNCkl6qYKqYKQKlqpIM6O15tdyesxtpPd8gHwBz1x4c539Tt49iZtKBx6IAdnPDOe&#10;mfdmZs/Ou0azrXK+JpPz4dGAM2UkFbVZ5/zTx+WrU858EKYQmozK+a3y/Hz28sVZa6dqRBXpQjmG&#10;IMZPW5vzKgQ7zTIvK9UIf0RWGRhLco0IuLp1VjjRInqjs9FgcJK15ArrSCrvob3ojXwX0T0nIJVl&#10;LdUFyU2jTOijOqVFACRf1dbzWaq2LJUMV2XpVWA650Aa0okkkFfxzGZnYrp2wla13JUgnlPCE0yN&#10;qA2SPoS6EEGwjav/CtXU0pGnMhxJarIeSGIEKIaDJ9zcVMKqhAVUe/tAuv9/YeWH7bVjdZHz4yFn&#10;RjTo+P3d9/sfv+5/fmPQgaDW+in8biw8Q/eWOozNXu+hjLi70jXxH4gY7KD39oFe1QUmoZwMRqPT&#10;CWcSptFkOD5J9GePj63z4Z2ihkUh5w7dS6SK7aUPKASue5eYy5Oui2Wtdbq49WqhHdsKdHqZfrFG&#10;PPnDTRvW5vzkeDJIkQ3F972fNnCPWHtMUQrdqtsRsKLiFvgd9SPkrVzWqPJS+HAtHGYGkLFV4QpH&#10;qQlJaCdxVpH7+i999EcrYeWsxQzm3H/ZCKc40+8NmvxmOB7HoU2X8eT1CBd3aFkdWsymWRDAo4+o&#10;LonRP+i9WDpqPmP55jErTMJI5M552IuL0G8Glleq+Tw5YUytCJfmxsoYOlJtaL4JVNapJZGmnpsd&#10;exjURPtuqeImHN6T1+OHZP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9zLvtUAAAALAQAADwAA&#10;AAAAAAABACAAAAAiAAAAZHJzL2Rvd25yZXYueG1sUEsBAhQAFAAAAAgAh07iQHUqO8tSAgAAkAQA&#10;AA4AAAAAAAAAAQAgAAAAJAEAAGRycy9lMm9Eb2MueG1sUEsFBgAAAAAGAAYAWQEAAOgFAAAAAA==&#10;">
                <v:fill on="t" focussize="0,0"/>
                <v:stroke on="f" weight="0.5pt"/>
                <v:imagedata o:title=""/>
                <o:lock v:ext="edit" aspectratio="f"/>
                <v:textbox>
                  <w:txbxContent>
                    <w:p>
                      <w:pPr>
                        <w:rPr>
                          <w:rFonts w:hint="default" w:eastAsia="宋体"/>
                          <w:sz w:val="21"/>
                          <w:szCs w:val="21"/>
                          <w:lang w:val="en-US" w:eastAsia="zh-CN"/>
                        </w:rPr>
                      </w:pPr>
                      <w:r>
                        <w:rPr>
                          <w:rFonts w:hint="eastAsia"/>
                          <w:sz w:val="18"/>
                          <w:szCs w:val="18"/>
                          <w:lang w:val="en-US" w:eastAsia="zh-CN"/>
                        </w:rPr>
                        <w:t>15840</w:t>
                      </w:r>
                    </w:p>
                  </w:txbxContent>
                </v:textbox>
              </v:shape>
            </w:pict>
          </mc:Fallback>
        </mc:AlternateContent>
      </w:r>
      <w:r>
        <w:rPr>
          <w:color w:val="auto"/>
          <w:sz w:val="24"/>
          <w:highlight w:val="none"/>
        </w:rPr>
        <mc:AlternateContent>
          <mc:Choice Requires="wps">
            <w:drawing>
              <wp:anchor distT="0" distB="0" distL="114300" distR="114300" simplePos="0" relativeHeight="251686912" behindDoc="0" locked="0" layoutInCell="1" allowOverlap="1">
                <wp:simplePos x="0" y="0"/>
                <wp:positionH relativeFrom="column">
                  <wp:posOffset>2408555</wp:posOffset>
                </wp:positionH>
                <wp:positionV relativeFrom="paragraph">
                  <wp:posOffset>1561465</wp:posOffset>
                </wp:positionV>
                <wp:extent cx="502285" cy="251460"/>
                <wp:effectExtent l="0" t="0" r="12065" b="15240"/>
                <wp:wrapNone/>
                <wp:docPr id="30" name="文本框 30"/>
                <wp:cNvGraphicFramePr/>
                <a:graphic xmlns:a="http://schemas.openxmlformats.org/drawingml/2006/main">
                  <a:graphicData uri="http://schemas.microsoft.com/office/word/2010/wordprocessingShape">
                    <wps:wsp>
                      <wps:cNvSpPr txBox="1"/>
                      <wps:spPr>
                        <a:xfrm>
                          <a:off x="0" y="0"/>
                          <a:ext cx="502285" cy="2514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8"/>
                                <w:szCs w:val="18"/>
                                <w:lang w:val="en-US" w:eastAsia="zh-CN"/>
                              </w:rPr>
                            </w:pPr>
                            <w:r>
                              <w:rPr>
                                <w:rFonts w:hint="eastAsia"/>
                                <w:sz w:val="18"/>
                                <w:szCs w:val="18"/>
                                <w:lang w:val="en-US" w:eastAsia="zh-CN"/>
                              </w:rPr>
                              <w:t>1716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65pt;margin-top:122.95pt;height:19.8pt;width:39.55pt;z-index:251686912;mso-width-relative:page;mso-height-relative:page;" fillcolor="#FFFFFF [3201]" filled="t" stroked="f" coordsize="21600,21600" o:gfxdata="UEsDBAoAAAAAAIdO4kAAAAAAAAAAAAAAAAAEAAAAZHJzL1BLAwQUAAAACACHTuJAqUBFPtcAAAAL&#10;AQAADwAAAGRycy9kb3ducmV2LnhtbE2Py07EMAxF90j8Q2QkdkzamRY6pekskNgiMa91pjFNReNU&#10;Seb59ZgVLG0fXZ/brC5uFCcMcfCkIJ9lIJA6bwbqFWw3708ViJg0GT16QgVXjLBq7+8aXRt/pk88&#10;rVMvOIRirRXYlKZaythZdDrO/ITEty8fnE48hl6aoM8c7kY5z7Jn6fRA/MHqCd8sdt/ro1Ow791t&#10;v8unYI0bC/q4XTdbPyj1+JBnryASXtIfDL/6rA4tOx38kUwUo4LFy3LBqIJ5US5BMFGUVQHiwJuq&#10;LEG2jfzfof0BUEsDBBQAAAAIAIdO4kBVt1luUgIAAJAEAAAOAAAAZHJzL2Uyb0RvYy54bWytVMFu&#10;EzEQvSPxD5bvdJM0KSXqpgqpgpAqWqkgzo7Xm13J6zG2k93yAfAHPXHhznf1O3j2Jm0oHHogB2fs&#10;Gb+Z9zyzZ+ddo9lWOV+TyfnwaMCZMpKK2qxz/unj8tUpZz4IUwhNRuX8Vnl+Pnv54qy1UzWiinSh&#10;HAOI8dPW5rwKwU6zzMtKNcIfkVUGzpJcIwK2bp0VTrRAb3Q2GgxOspZcYR1J5T1OL3on3yG65wBS&#10;WdZSXZDcNMqEHtUpLQIo+aq2ns9StWWpZLgqS68C0zkH05BWJIG9ims2OxPTtRO2quWuBPGcEp5w&#10;akRtkPQB6kIEwTau/guqqaUjT2U4ktRkPZGkCFgMB0+0uamEVYkLpPb2QXT//2Dlh+21Y3WR82NI&#10;YkSDF7+/+37/49f9z28MZxCotX6KuBuLyNC9pQ5tsz/3OIy8u9I18R+MGPzAun2QV3WBSRxOBqPR&#10;6YQzCddoMhyfJPTs8bJ1PrxT1LBo5Nzh9ZKoYnvpAwpB6D4k5vKk62JZa502br1aaMe2Ai+9TL9Y&#10;I678EaYNa3N+cjwZJGRD8X4fpw3CI9eeU7RCt+p2AqyouAV/R30LeSuXNaq8FD5cC4eeAWVMVbjC&#10;UmpCEtpZnFXkvv7rPMbjKeHlrEUP5tx/2QinONPvDR75zXA8BmxIm/Hk9Qgbd+hZHXrMplkQyA8x&#10;v1YmM8YHvTdLR81nDN88ZoVLGIncOQ97cxH6ycDwSjWfpyC0qRXh0txYGaGj1Ibmm0BlnZ4kytRr&#10;s1MPjZpk3w1VnITDfYp6/JDM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pQEU+1wAAAAsBAAAP&#10;AAAAAAAAAAEAIAAAACIAAABkcnMvZG93bnJldi54bWxQSwECFAAUAAAACACHTuJAVbdZblICAACQ&#10;BAAADgAAAAAAAAABACAAAAAmAQAAZHJzL2Uyb0RvYy54bWxQSwUGAAAAAAYABgBZAQAA6gUAAAAA&#10;">
                <v:fill on="t" focussize="0,0"/>
                <v:stroke on="f" weight="0.5pt"/>
                <v:imagedata o:title=""/>
                <o:lock v:ext="edit" aspectratio="f"/>
                <v:textbox>
                  <w:txbxContent>
                    <w:p>
                      <w:pPr>
                        <w:rPr>
                          <w:rFonts w:hint="default" w:eastAsia="宋体"/>
                          <w:sz w:val="18"/>
                          <w:szCs w:val="18"/>
                          <w:lang w:val="en-US" w:eastAsia="zh-CN"/>
                        </w:rPr>
                      </w:pPr>
                      <w:r>
                        <w:rPr>
                          <w:rFonts w:hint="eastAsia"/>
                          <w:sz w:val="18"/>
                          <w:szCs w:val="18"/>
                          <w:lang w:val="en-US" w:eastAsia="zh-CN"/>
                        </w:rPr>
                        <w:t>1716</w:t>
                      </w:r>
                    </w:p>
                  </w:txbxContent>
                </v:textbox>
              </v:shape>
            </w:pict>
          </mc:Fallback>
        </mc:AlternateContent>
      </w:r>
      <w:r>
        <w:rPr>
          <w:color w:val="auto"/>
          <w:sz w:val="24"/>
          <w:highlight w:val="none"/>
        </w:rPr>
        <mc:AlternateContent>
          <mc:Choice Requires="wps">
            <w:drawing>
              <wp:anchor distT="0" distB="0" distL="114300" distR="114300" simplePos="0" relativeHeight="251682816" behindDoc="0" locked="0" layoutInCell="1" allowOverlap="1">
                <wp:simplePos x="0" y="0"/>
                <wp:positionH relativeFrom="column">
                  <wp:posOffset>1668780</wp:posOffset>
                </wp:positionH>
                <wp:positionV relativeFrom="paragraph">
                  <wp:posOffset>1990090</wp:posOffset>
                </wp:positionV>
                <wp:extent cx="523875" cy="262255"/>
                <wp:effectExtent l="0" t="0" r="9525" b="4445"/>
                <wp:wrapNone/>
                <wp:docPr id="66" name="文本框 66"/>
                <wp:cNvGraphicFramePr/>
                <a:graphic xmlns:a="http://schemas.openxmlformats.org/drawingml/2006/main">
                  <a:graphicData uri="http://schemas.microsoft.com/office/word/2010/wordprocessingShape">
                    <wps:wsp>
                      <wps:cNvSpPr txBox="1"/>
                      <wps:spPr>
                        <a:xfrm>
                          <a:off x="2558415" y="2856230"/>
                          <a:ext cx="523875" cy="2622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6"/>
                                <w:szCs w:val="16"/>
                                <w:lang w:val="en-US" w:eastAsia="zh-CN"/>
                              </w:rPr>
                            </w:pPr>
                            <w:r>
                              <w:rPr>
                                <w:rFonts w:hint="eastAsia"/>
                                <w:sz w:val="16"/>
                                <w:szCs w:val="16"/>
                                <w:lang w:val="en-US" w:eastAsia="zh-CN"/>
                              </w:rPr>
                              <w:t>17556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4pt;margin-top:156.7pt;height:20.65pt;width:41.25pt;z-index:251682816;mso-width-relative:page;mso-height-relative:page;" fillcolor="#FFFFFF [3201]" filled="t" stroked="f" coordsize="21600,21600" o:gfxdata="UEsDBAoAAAAAAIdO4kAAAAAAAAAAAAAAAAAEAAAAZHJzL1BLAwQUAAAACACHTuJAyMv1j9YAAAAL&#10;AQAADwAAAGRycy9kb3ducmV2LnhtbE2PS0/DMBCE70j8B2uRuFHn1YLSOD0gcUWir7Mbb5MIex3Z&#10;7vPXs5zgtqMdzXzTrK7OijOGOHpSkM8yEEidNyP1Crabj5c3EDFpMtp6QgU3jLBqHx8aXRt/oS88&#10;r1MvOIRirRUMKU21lLEb0Ok48xMS/44+OJ1Yhl6aoC8c7qwssmwhnR6JGwY94fuA3ff65BTse3ff&#10;7/IpDMbZij7vt83Wj0o9P+XZEkTCa/ozwy8+o0PLTAd/IhOFVVAsCkZPCsq8rECwo6zmJYgDH/Pq&#10;FWTbyP8b2h9QSwMEFAAAAAgAh07iQNxLHJpYAgAAnAQAAA4AAABkcnMvZTJvRG9jLnhtbK1UwW4T&#10;MRC9I/EPlu90k002DVE3VUgVhFTRSgVxdrzerCXbY2wnu+UD4A84ceHOd/U7GHs3bSkceiAHZ+x5&#10;efZ7M5Oz804rchDOSzAlHZ+MKBGGQyXNrqQfP2xezSnxgZmKKTCipLfC0/PlyxdnrV2IHBpQlXAE&#10;SYxftLakTQh2kWWeN0IzfwJWGEzW4DQLuHW7rHKsRXatsnw0mmUtuMo64MJ7PL3ok3RgdM8hhLqW&#10;XFwA32thQs/qhGIBJflGWk+X6bV1LXi4qmsvAlElRaUhrXgJxtu4Zsszttg5ZhvJhyew5zzhiSbN&#10;pMFL76kuWGBk7+RfVFpyBx7qcMJBZ72Q5AiqGI+eeHPTMCuSFrTa23vT/f+j5e8P147IqqSzGSWG&#10;aaz43fdvdz9+3f38SvAMDWqtXyDuxiIydG+gw7Y5nns8jLq72un4jYoI5vOimE/HBSW3GM+LWT4Z&#10;rBZdIBwBRT6Zn2KeR8AsR3xkzB6IrPPhrQBNYlBSh5VMBrPDpQ899AiJ93pQstpIpdLG7bZr5ciB&#10;YdU36TOw/wFThrSoe1KMErOB+PueWhl8TNTd64tR6LbdYMYWqlv0wkHfTt7yjcRXXjIfrpnD/sHu&#10;wgkLV7jUCvASGCJKGnBf/nUe8VhWzFLSYj+W1H/eMycoUe8MFvz1eDqNDZw20+I0x417nNk+zpi9&#10;XgOKH+MsW57CiA/qGNYO9CccxFW8FVPMcLy7pOEYrkM/JTjIXKxWCYQta1m4NDeWR+potYHVPkAt&#10;U0miTb03g3vYtKmow4DFqXi8T6iHP5X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jL9Y/WAAAA&#10;CwEAAA8AAAAAAAAAAQAgAAAAIgAAAGRycy9kb3ducmV2LnhtbFBLAQIUABQAAAAIAIdO4kDcSxya&#10;WAIAAJwEAAAOAAAAAAAAAAEAIAAAACUBAABkcnMvZTJvRG9jLnhtbFBLBQYAAAAABgAGAFkBAADv&#10;BQAAAAA=&#10;">
                <v:fill on="t" focussize="0,0"/>
                <v:stroke on="f" weight="0.5pt"/>
                <v:imagedata o:title=""/>
                <o:lock v:ext="edit" aspectratio="f"/>
                <v:textbox>
                  <w:txbxContent>
                    <w:p>
                      <w:pPr>
                        <w:rPr>
                          <w:rFonts w:hint="default" w:eastAsia="宋体"/>
                          <w:sz w:val="16"/>
                          <w:szCs w:val="16"/>
                          <w:lang w:val="en-US" w:eastAsia="zh-CN"/>
                        </w:rPr>
                      </w:pPr>
                      <w:r>
                        <w:rPr>
                          <w:rFonts w:hint="eastAsia"/>
                          <w:sz w:val="16"/>
                          <w:szCs w:val="16"/>
                          <w:lang w:val="en-US" w:eastAsia="zh-CN"/>
                        </w:rPr>
                        <w:t>17556</w:t>
                      </w:r>
                    </w:p>
                  </w:txbxContent>
                </v:textbox>
              </v:shape>
            </w:pict>
          </mc:Fallback>
        </mc:AlternateContent>
      </w:r>
    </w:p>
    <w:p>
      <w:pPr>
        <w:widowControl w:val="0"/>
        <w:spacing w:line="500" w:lineRule="exact"/>
        <w:ind w:firstLine="474" w:firstLineChars="200"/>
        <w:rPr>
          <w:rFonts w:ascii="Times New Roman" w:hAnsi="Times New Roman" w:cs="Times New Roman" w:eastAsiaTheme="minorEastAsia"/>
          <w:color w:val="auto"/>
          <w:w w:val="99"/>
          <w:kern w:val="21"/>
          <w:szCs w:val="22"/>
          <w:highlight w:val="none"/>
          <w:lang w:val="zh-CN" w:bidi="zh-CN"/>
        </w:rPr>
      </w:pPr>
      <w:r>
        <w:rPr>
          <w:rFonts w:ascii="Times New Roman" w:hAnsi="Times New Roman" w:cs="Times New Roman" w:eastAsiaTheme="minorEastAsia"/>
          <w:color w:val="auto"/>
          <w:w w:val="99"/>
          <w:kern w:val="21"/>
          <w:highlight w:val="none"/>
        </w:rPr>
        <w:t>图</w:t>
      </w:r>
      <w:r>
        <w:rPr>
          <w:rFonts w:hint="eastAsia" w:ascii="Times New Roman" w:hAnsi="Times New Roman" w:cs="Times New Roman" w:eastAsiaTheme="minorEastAsia"/>
          <w:color w:val="auto"/>
          <w:w w:val="99"/>
          <w:kern w:val="21"/>
          <w:highlight w:val="none"/>
        </w:rPr>
        <w:t>3.5-1</w:t>
      </w:r>
      <w:r>
        <w:rPr>
          <w:rFonts w:ascii="Times New Roman" w:hAnsi="Times New Roman" w:cs="Times New Roman" w:eastAsiaTheme="minorEastAsia"/>
          <w:color w:val="auto"/>
          <w:w w:val="99"/>
          <w:kern w:val="21"/>
          <w:highlight w:val="none"/>
        </w:rPr>
        <w:t xml:space="preserve">                        </w:t>
      </w:r>
      <w:r>
        <w:rPr>
          <w:rFonts w:hint="eastAsia" w:ascii="Times New Roman" w:hAnsi="Times New Roman" w:cs="Times New Roman" w:eastAsiaTheme="minorEastAsia"/>
          <w:color w:val="auto"/>
          <w:w w:val="99"/>
          <w:kern w:val="21"/>
          <w:highlight w:val="none"/>
        </w:rPr>
        <w:t>土石方平衡图</w:t>
      </w:r>
    </w:p>
    <w:p>
      <w:pPr>
        <w:pStyle w:val="5"/>
        <w:keepNext w:val="0"/>
        <w:keepLines w:val="0"/>
        <w:widowControl w:val="0"/>
        <w:rPr>
          <w:rFonts w:ascii="Times New Roman" w:hAnsi="Times New Roman"/>
          <w:b/>
          <w:snapToGrid w:val="0"/>
          <w:color w:val="auto"/>
          <w:w w:val="99"/>
          <w:highlight w:val="none"/>
        </w:rPr>
      </w:pPr>
      <w:bookmarkStart w:id="423" w:name="_Toc80105152"/>
      <w:r>
        <w:rPr>
          <w:rFonts w:ascii="Times New Roman" w:hAnsi="Times New Roman"/>
          <w:b/>
          <w:snapToGrid w:val="0"/>
          <w:color w:val="auto"/>
          <w:w w:val="99"/>
          <w:highlight w:val="none"/>
        </w:rPr>
        <w:t>3.6总图布置及周边环境状况</w:t>
      </w:r>
      <w:bookmarkEnd w:id="423"/>
    </w:p>
    <w:p>
      <w:pPr>
        <w:pStyle w:val="7"/>
        <w:keepNext w:val="0"/>
        <w:keepLines w:val="0"/>
        <w:widowControl w:val="0"/>
        <w:rPr>
          <w:b/>
          <w:color w:val="auto"/>
          <w:w w:val="99"/>
          <w:kern w:val="2"/>
          <w:sz w:val="24"/>
          <w:szCs w:val="24"/>
          <w:highlight w:val="none"/>
        </w:rPr>
      </w:pPr>
      <w:bookmarkStart w:id="424" w:name="_Toc69690820"/>
      <w:bookmarkStart w:id="425" w:name="_Toc67523602"/>
      <w:bookmarkStart w:id="426" w:name="_Toc80105153"/>
      <w:bookmarkStart w:id="427" w:name="_Toc74812324"/>
      <w:bookmarkStart w:id="428" w:name="_Toc71371953"/>
      <w:bookmarkStart w:id="429" w:name="_Toc77667297"/>
      <w:bookmarkStart w:id="430" w:name="_Toc61597230"/>
      <w:r>
        <w:rPr>
          <w:b/>
          <w:color w:val="auto"/>
          <w:w w:val="99"/>
          <w:kern w:val="2"/>
          <w:sz w:val="24"/>
          <w:szCs w:val="24"/>
          <w:highlight w:val="none"/>
        </w:rPr>
        <w:t>3.6.1钻井施工井场平面布置</w:t>
      </w:r>
      <w:bookmarkEnd w:id="424"/>
      <w:bookmarkEnd w:id="425"/>
      <w:bookmarkEnd w:id="426"/>
      <w:bookmarkEnd w:id="427"/>
      <w:bookmarkEnd w:id="428"/>
      <w:bookmarkEnd w:id="429"/>
      <w:bookmarkEnd w:id="430"/>
    </w:p>
    <w:p>
      <w:pPr>
        <w:widowControl w:val="0"/>
        <w:spacing w:line="500" w:lineRule="exact"/>
        <w:ind w:firstLine="474" w:firstLineChars="200"/>
        <w:rPr>
          <w:rFonts w:ascii="Times New Roman" w:hAnsi="Times New Roman" w:cs="Times New Roman" w:eastAsiaTheme="minorEastAsia"/>
          <w:color w:val="auto"/>
          <w:w w:val="99"/>
          <w:szCs w:val="22"/>
          <w:highlight w:val="none"/>
        </w:rPr>
      </w:pPr>
      <w:r>
        <w:rPr>
          <w:rFonts w:ascii="Times New Roman" w:hAnsi="Times New Roman" w:cs="Times New Roman" w:eastAsiaTheme="minorEastAsia"/>
          <w:color w:val="auto"/>
          <w:w w:val="99"/>
          <w:szCs w:val="22"/>
          <w:highlight w:val="none"/>
        </w:rPr>
        <w:t>本项目井场设备包括钻机、钻台、柴油机。井场布置主要包括材料房、</w:t>
      </w:r>
      <w:r>
        <w:rPr>
          <w:rFonts w:ascii="Times New Roman" w:hAnsi="Times New Roman" w:cs="Times New Roman" w:eastAsiaTheme="minorEastAsia"/>
          <w:bCs/>
          <w:color w:val="auto"/>
          <w:w w:val="99"/>
          <w:szCs w:val="22"/>
          <w:highlight w:val="none"/>
        </w:rPr>
        <w:t>钢制泥浆槽、</w:t>
      </w:r>
      <w:r>
        <w:rPr>
          <w:rFonts w:ascii="Times New Roman" w:hAnsi="Times New Roman" w:cs="Times New Roman" w:eastAsiaTheme="minorEastAsia"/>
          <w:color w:val="auto"/>
          <w:w w:val="99"/>
          <w:szCs w:val="22"/>
          <w:highlight w:val="none"/>
        </w:rPr>
        <w:t>罐区、施工辅助用房</w:t>
      </w:r>
      <w:r>
        <w:rPr>
          <w:rFonts w:ascii="Times New Roman" w:hAnsi="Times New Roman" w:cs="Times New Roman" w:eastAsiaTheme="minorEastAsia"/>
          <w:bCs/>
          <w:color w:val="auto"/>
          <w:w w:val="99"/>
          <w:szCs w:val="22"/>
          <w:highlight w:val="none"/>
        </w:rPr>
        <w:t>、</w:t>
      </w:r>
      <w:r>
        <w:rPr>
          <w:rFonts w:ascii="Times New Roman" w:hAnsi="Times New Roman" w:cs="Times New Roman" w:eastAsiaTheme="minorEastAsia"/>
          <w:color w:val="auto"/>
          <w:w w:val="99"/>
          <w:szCs w:val="22"/>
          <w:highlight w:val="none"/>
        </w:rPr>
        <w:t>生活区等。</w:t>
      </w:r>
    </w:p>
    <w:p>
      <w:pPr>
        <w:widowControl w:val="0"/>
        <w:spacing w:line="500" w:lineRule="exact"/>
        <w:ind w:firstLine="474" w:firstLineChars="200"/>
        <w:rPr>
          <w:rFonts w:ascii="Times New Roman" w:hAnsi="Times New Roman" w:cs="Times New Roman" w:eastAsiaTheme="minorEastAsia"/>
          <w:color w:val="auto"/>
          <w:w w:val="99"/>
          <w:szCs w:val="22"/>
          <w:highlight w:val="none"/>
        </w:rPr>
      </w:pPr>
      <w:r>
        <w:rPr>
          <w:rFonts w:ascii="Times New Roman" w:hAnsi="Times New Roman" w:cs="Times New Roman" w:eastAsiaTheme="minorEastAsia"/>
          <w:color w:val="auto"/>
          <w:w w:val="99"/>
          <w:szCs w:val="22"/>
          <w:highlight w:val="none"/>
        </w:rPr>
        <w:t>（1）材料房</w:t>
      </w:r>
    </w:p>
    <w:p>
      <w:pPr>
        <w:widowControl w:val="0"/>
        <w:spacing w:line="500" w:lineRule="exact"/>
        <w:ind w:firstLine="474" w:firstLineChars="200"/>
        <w:rPr>
          <w:rFonts w:ascii="Times New Roman" w:hAnsi="Times New Roman" w:cs="Times New Roman" w:eastAsiaTheme="minorEastAsia"/>
          <w:color w:val="auto"/>
          <w:w w:val="99"/>
          <w:szCs w:val="22"/>
          <w:highlight w:val="none"/>
        </w:rPr>
      </w:pPr>
      <w:r>
        <w:rPr>
          <w:rFonts w:ascii="Times New Roman" w:hAnsi="Times New Roman" w:cs="Times New Roman" w:eastAsiaTheme="minorEastAsia"/>
          <w:color w:val="auto"/>
          <w:w w:val="99"/>
          <w:szCs w:val="22"/>
          <w:highlight w:val="none"/>
        </w:rPr>
        <w:t>每座井场设置3座材料房，50m</w:t>
      </w:r>
      <w:r>
        <w:rPr>
          <w:rFonts w:ascii="Times New Roman" w:hAnsi="Times New Roman" w:cs="Times New Roman" w:eastAsiaTheme="minorEastAsia"/>
          <w:color w:val="auto"/>
          <w:w w:val="99"/>
          <w:szCs w:val="22"/>
          <w:highlight w:val="none"/>
          <w:vertAlign w:val="superscript"/>
        </w:rPr>
        <w:t>2</w:t>
      </w:r>
      <w:r>
        <w:rPr>
          <w:rFonts w:ascii="Times New Roman" w:hAnsi="Times New Roman" w:cs="Times New Roman" w:eastAsiaTheme="minorEastAsia"/>
          <w:color w:val="auto"/>
          <w:w w:val="99"/>
          <w:szCs w:val="22"/>
          <w:highlight w:val="none"/>
        </w:rPr>
        <w:t>/座，分为钻井材料房、</w:t>
      </w:r>
      <w:r>
        <w:rPr>
          <w:rFonts w:ascii="Times New Roman" w:hAnsi="Times New Roman" w:cs="Times New Roman" w:eastAsiaTheme="minorEastAsia"/>
          <w:bCs/>
          <w:color w:val="auto"/>
          <w:w w:val="99"/>
          <w:szCs w:val="22"/>
          <w:highlight w:val="none"/>
        </w:rPr>
        <w:t>KOH材料房、其他材料房</w:t>
      </w:r>
      <w:r>
        <w:rPr>
          <w:rFonts w:ascii="Times New Roman" w:hAnsi="Times New Roman" w:cs="Times New Roman" w:eastAsiaTheme="minorEastAsia"/>
          <w:color w:val="auto"/>
          <w:w w:val="99"/>
          <w:szCs w:val="22"/>
          <w:highlight w:val="none"/>
        </w:rPr>
        <w:t>，钻井液材料房用于存放钻井液材料，</w:t>
      </w:r>
      <w:r>
        <w:rPr>
          <w:rFonts w:ascii="Times New Roman" w:hAnsi="Times New Roman" w:cs="Times New Roman" w:eastAsiaTheme="minorEastAsia"/>
          <w:bCs/>
          <w:color w:val="auto"/>
          <w:w w:val="99"/>
          <w:szCs w:val="22"/>
          <w:highlight w:val="none"/>
        </w:rPr>
        <w:t>包括膨润土、纯碱、重晶石粉等</w:t>
      </w:r>
      <w:r>
        <w:rPr>
          <w:rFonts w:ascii="Times New Roman" w:hAnsi="Times New Roman" w:cs="Times New Roman" w:eastAsiaTheme="minorEastAsia"/>
          <w:color w:val="auto"/>
          <w:w w:val="99"/>
          <w:szCs w:val="22"/>
          <w:highlight w:val="none"/>
        </w:rPr>
        <w:t>；</w:t>
      </w:r>
      <w:r>
        <w:rPr>
          <w:rFonts w:ascii="Times New Roman" w:hAnsi="Times New Roman" w:cs="Times New Roman" w:eastAsiaTheme="minorEastAsia"/>
          <w:bCs/>
          <w:color w:val="auto"/>
          <w:w w:val="99"/>
          <w:szCs w:val="22"/>
          <w:highlight w:val="none"/>
        </w:rPr>
        <w:t>KOH材料房用于存放钻井液材料KOH，</w:t>
      </w:r>
      <w:r>
        <w:rPr>
          <w:rFonts w:ascii="Times New Roman" w:hAnsi="Times New Roman" w:cs="Times New Roman" w:eastAsiaTheme="minorEastAsia"/>
          <w:color w:val="auto"/>
          <w:w w:val="99"/>
          <w:szCs w:val="22"/>
          <w:highlight w:val="none"/>
        </w:rPr>
        <w:t>一般材料房用于存放其他钻井材料。</w:t>
      </w:r>
    </w:p>
    <w:p>
      <w:pPr>
        <w:widowControl w:val="0"/>
        <w:spacing w:line="500" w:lineRule="exact"/>
        <w:ind w:firstLine="474" w:firstLineChars="200"/>
        <w:rPr>
          <w:rFonts w:ascii="Times New Roman" w:hAnsi="Times New Roman" w:cs="Times New Roman" w:eastAsiaTheme="minorEastAsia"/>
          <w:color w:val="auto"/>
          <w:w w:val="99"/>
          <w:szCs w:val="22"/>
          <w:highlight w:val="none"/>
        </w:rPr>
      </w:pPr>
      <w:r>
        <w:rPr>
          <w:rFonts w:ascii="Times New Roman" w:hAnsi="Times New Roman" w:cs="Times New Roman" w:eastAsiaTheme="minorEastAsia"/>
          <w:color w:val="auto"/>
          <w:w w:val="99"/>
          <w:szCs w:val="22"/>
          <w:highlight w:val="none"/>
        </w:rPr>
        <w:t>（2）</w:t>
      </w:r>
      <w:r>
        <w:rPr>
          <w:rFonts w:ascii="Times New Roman" w:hAnsi="Times New Roman" w:cs="Times New Roman" w:eastAsiaTheme="minorEastAsia"/>
          <w:bCs/>
          <w:color w:val="auto"/>
          <w:w w:val="99"/>
          <w:szCs w:val="22"/>
          <w:highlight w:val="none"/>
        </w:rPr>
        <w:t>钢制泥浆槽、</w:t>
      </w:r>
      <w:r>
        <w:rPr>
          <w:rFonts w:ascii="Times New Roman" w:hAnsi="Times New Roman" w:cs="Times New Roman" w:eastAsiaTheme="minorEastAsia"/>
          <w:color w:val="auto"/>
          <w:w w:val="99"/>
          <w:szCs w:val="22"/>
          <w:highlight w:val="none"/>
        </w:rPr>
        <w:t>罐区</w:t>
      </w:r>
    </w:p>
    <w:p>
      <w:pPr>
        <w:widowControl w:val="0"/>
        <w:spacing w:line="500" w:lineRule="exact"/>
        <w:ind w:firstLine="474" w:firstLineChars="200"/>
        <w:rPr>
          <w:rFonts w:ascii="Times New Roman" w:hAnsi="Times New Roman" w:cs="Times New Roman" w:eastAsiaTheme="minorEastAsia"/>
          <w:color w:val="auto"/>
          <w:w w:val="99"/>
          <w:szCs w:val="22"/>
          <w:highlight w:val="none"/>
        </w:rPr>
      </w:pPr>
      <w:r>
        <w:rPr>
          <w:rFonts w:ascii="Times New Roman" w:hAnsi="Times New Roman" w:cs="Times New Roman" w:eastAsiaTheme="minorEastAsia"/>
          <w:bCs/>
          <w:color w:val="auto"/>
          <w:w w:val="99"/>
          <w:szCs w:val="22"/>
          <w:highlight w:val="none"/>
        </w:rPr>
        <w:t>每座井场设置容积100m</w:t>
      </w:r>
      <w:r>
        <w:rPr>
          <w:rFonts w:ascii="Times New Roman" w:hAnsi="Times New Roman" w:cs="Times New Roman" w:eastAsiaTheme="minorEastAsia"/>
          <w:bCs/>
          <w:color w:val="auto"/>
          <w:w w:val="99"/>
          <w:szCs w:val="22"/>
          <w:highlight w:val="none"/>
          <w:vertAlign w:val="superscript"/>
        </w:rPr>
        <w:t>3</w:t>
      </w:r>
      <w:r>
        <w:rPr>
          <w:rFonts w:ascii="Times New Roman" w:hAnsi="Times New Roman" w:cs="Times New Roman" w:eastAsiaTheme="minorEastAsia"/>
          <w:bCs/>
          <w:color w:val="auto"/>
          <w:w w:val="99"/>
          <w:szCs w:val="22"/>
          <w:highlight w:val="none"/>
        </w:rPr>
        <w:t>的钢制泥浆槽（10×5×2m），用于暂存钻井岩屑、废弃钻井液、钻井废水，边产生边收集，由罐车及时拉运</w:t>
      </w:r>
      <w:r>
        <w:rPr>
          <w:rFonts w:hint="eastAsia" w:ascii="Times New Roman" w:hAnsi="Times New Roman" w:cs="Times New Roman" w:eastAsiaTheme="minorEastAsia"/>
          <w:bCs/>
          <w:color w:val="auto"/>
          <w:w w:val="99"/>
          <w:szCs w:val="22"/>
          <w:highlight w:val="none"/>
        </w:rPr>
        <w:t>黑龙江龙之润环保工程有限公司废射孔液处理装置</w:t>
      </w:r>
      <w:r>
        <w:rPr>
          <w:rFonts w:ascii="Times New Roman" w:hAnsi="Times New Roman" w:cs="Times New Roman" w:eastAsiaTheme="minorEastAsia"/>
          <w:bCs/>
          <w:color w:val="auto"/>
          <w:w w:val="99"/>
          <w:szCs w:val="22"/>
          <w:highlight w:val="none"/>
        </w:rPr>
        <w:t>处理，确保本工程产生的废弃钻井液不落地。</w:t>
      </w:r>
      <w:r>
        <w:rPr>
          <w:rFonts w:ascii="Times New Roman" w:hAnsi="Times New Roman" w:cs="Times New Roman" w:eastAsiaTheme="minorEastAsia"/>
          <w:color w:val="auto"/>
          <w:w w:val="99"/>
          <w:szCs w:val="22"/>
          <w:highlight w:val="none"/>
        </w:rPr>
        <w:t>井场设置水罐区、柴油储罐区、钻井液罐区，水罐区设有</w:t>
      </w:r>
      <w:r>
        <w:rPr>
          <w:rFonts w:ascii="Times New Roman" w:hAnsi="Times New Roman" w:cs="Times New Roman" w:eastAsiaTheme="minorEastAsia"/>
          <w:bCs/>
          <w:color w:val="auto"/>
          <w:w w:val="99"/>
          <w:szCs w:val="22"/>
          <w:highlight w:val="none"/>
        </w:rPr>
        <w:t>钢制水罐2个/井场，存储新鲜水，有效容积100m</w:t>
      </w:r>
      <w:r>
        <w:rPr>
          <w:rFonts w:ascii="Times New Roman" w:hAnsi="Times New Roman" w:cs="Times New Roman" w:eastAsiaTheme="minorEastAsia"/>
          <w:bCs/>
          <w:color w:val="auto"/>
          <w:w w:val="99"/>
          <w:szCs w:val="22"/>
          <w:highlight w:val="none"/>
          <w:vertAlign w:val="superscript"/>
        </w:rPr>
        <w:t>3</w:t>
      </w:r>
      <w:r>
        <w:rPr>
          <w:rFonts w:ascii="Times New Roman" w:hAnsi="Times New Roman" w:cs="Times New Roman" w:eastAsiaTheme="minorEastAsia"/>
          <w:bCs/>
          <w:color w:val="auto"/>
          <w:w w:val="99"/>
          <w:szCs w:val="22"/>
          <w:highlight w:val="none"/>
        </w:rPr>
        <w:t>，用于施工期的生产用水</w:t>
      </w:r>
      <w:r>
        <w:rPr>
          <w:rFonts w:ascii="Times New Roman" w:hAnsi="Times New Roman" w:cs="Times New Roman" w:eastAsiaTheme="minorEastAsia"/>
          <w:color w:val="auto"/>
          <w:w w:val="99"/>
          <w:szCs w:val="22"/>
          <w:highlight w:val="none"/>
        </w:rPr>
        <w:t>。柴油储罐区设</w:t>
      </w:r>
      <w:r>
        <w:rPr>
          <w:rFonts w:ascii="Times New Roman" w:hAnsi="Times New Roman" w:cs="Times New Roman" w:eastAsiaTheme="minorEastAsia"/>
          <w:bCs/>
          <w:color w:val="auto"/>
          <w:w w:val="99"/>
          <w:szCs w:val="22"/>
          <w:highlight w:val="none"/>
        </w:rPr>
        <w:t>钢制柴油罐1个/井场，占地面积30m</w:t>
      </w:r>
      <w:r>
        <w:rPr>
          <w:rFonts w:ascii="Times New Roman" w:hAnsi="Times New Roman" w:cs="Times New Roman" w:eastAsiaTheme="minorEastAsia"/>
          <w:bCs/>
          <w:color w:val="auto"/>
          <w:w w:val="99"/>
          <w:szCs w:val="22"/>
          <w:highlight w:val="none"/>
          <w:vertAlign w:val="superscript"/>
        </w:rPr>
        <w:t>2</w:t>
      </w:r>
      <w:r>
        <w:rPr>
          <w:rFonts w:ascii="Times New Roman" w:hAnsi="Times New Roman" w:cs="Times New Roman" w:eastAsiaTheme="minorEastAsia"/>
          <w:bCs/>
          <w:color w:val="auto"/>
          <w:w w:val="99"/>
          <w:szCs w:val="22"/>
          <w:highlight w:val="none"/>
        </w:rPr>
        <w:t>，单罐容积50m</w:t>
      </w:r>
      <w:r>
        <w:rPr>
          <w:rFonts w:ascii="Times New Roman" w:hAnsi="Times New Roman" w:cs="Times New Roman" w:eastAsiaTheme="minorEastAsia"/>
          <w:bCs/>
          <w:color w:val="auto"/>
          <w:w w:val="99"/>
          <w:szCs w:val="22"/>
          <w:highlight w:val="none"/>
          <w:vertAlign w:val="superscript"/>
        </w:rPr>
        <w:t>3</w:t>
      </w:r>
      <w:r>
        <w:rPr>
          <w:rFonts w:ascii="Times New Roman" w:hAnsi="Times New Roman" w:cs="Times New Roman" w:eastAsiaTheme="minorEastAsia"/>
          <w:bCs/>
          <w:color w:val="auto"/>
          <w:w w:val="99"/>
          <w:szCs w:val="22"/>
          <w:highlight w:val="none"/>
        </w:rPr>
        <w:t>，储量合计约40t柴油。柴油罐区做重点防渗处理，并在罐区配备泡沫灭火器</w:t>
      </w:r>
      <w:r>
        <w:rPr>
          <w:rFonts w:ascii="Times New Roman" w:hAnsi="Times New Roman" w:cs="Times New Roman" w:eastAsiaTheme="minorEastAsia"/>
          <w:color w:val="auto"/>
          <w:w w:val="99"/>
          <w:szCs w:val="22"/>
          <w:highlight w:val="none"/>
        </w:rPr>
        <w:t>。</w:t>
      </w:r>
      <w:r>
        <w:rPr>
          <w:rFonts w:ascii="Times New Roman" w:hAnsi="Times New Roman" w:cs="Times New Roman" w:eastAsiaTheme="minorEastAsia"/>
          <w:bCs/>
          <w:color w:val="auto"/>
          <w:w w:val="99"/>
          <w:szCs w:val="22"/>
          <w:highlight w:val="none"/>
        </w:rPr>
        <w:t>每座钻井井场设4座</w:t>
      </w:r>
      <w:r>
        <w:rPr>
          <w:rFonts w:ascii="Times New Roman" w:hAnsi="Times New Roman" w:cs="Times New Roman" w:eastAsiaTheme="minorEastAsia"/>
          <w:color w:val="auto"/>
          <w:w w:val="99"/>
          <w:szCs w:val="22"/>
          <w:highlight w:val="none"/>
        </w:rPr>
        <w:t>钻井液罐，40m</w:t>
      </w:r>
      <w:r>
        <w:rPr>
          <w:rFonts w:ascii="Times New Roman" w:hAnsi="Times New Roman" w:cs="Times New Roman" w:eastAsiaTheme="minorEastAsia"/>
          <w:color w:val="auto"/>
          <w:w w:val="99"/>
          <w:szCs w:val="22"/>
          <w:highlight w:val="none"/>
          <w:vertAlign w:val="superscript"/>
        </w:rPr>
        <w:t>3</w:t>
      </w:r>
      <w:r>
        <w:rPr>
          <w:rFonts w:ascii="Times New Roman" w:hAnsi="Times New Roman" w:cs="Times New Roman" w:eastAsiaTheme="minorEastAsia"/>
          <w:color w:val="auto"/>
          <w:w w:val="99"/>
          <w:szCs w:val="22"/>
          <w:highlight w:val="none"/>
        </w:rPr>
        <w:t>/座，用于钻井液的配置及暂存。</w:t>
      </w:r>
    </w:p>
    <w:p>
      <w:pPr>
        <w:widowControl w:val="0"/>
        <w:spacing w:line="500" w:lineRule="exact"/>
        <w:ind w:firstLine="474" w:firstLineChars="200"/>
        <w:rPr>
          <w:rFonts w:ascii="Times New Roman" w:hAnsi="Times New Roman" w:cs="Times New Roman" w:eastAsiaTheme="minorEastAsia"/>
          <w:color w:val="auto"/>
          <w:w w:val="99"/>
          <w:szCs w:val="22"/>
          <w:highlight w:val="none"/>
        </w:rPr>
      </w:pPr>
      <w:r>
        <w:rPr>
          <w:rFonts w:ascii="Times New Roman" w:hAnsi="Times New Roman" w:cs="Times New Roman" w:eastAsiaTheme="minorEastAsia"/>
          <w:color w:val="auto"/>
          <w:w w:val="99"/>
          <w:szCs w:val="22"/>
          <w:highlight w:val="none"/>
        </w:rPr>
        <w:t>（3）施工辅助用房</w:t>
      </w:r>
    </w:p>
    <w:p>
      <w:pPr>
        <w:widowControl w:val="0"/>
        <w:spacing w:line="500" w:lineRule="exact"/>
        <w:ind w:firstLine="474" w:firstLineChars="200"/>
        <w:rPr>
          <w:rFonts w:ascii="Times New Roman" w:hAnsi="Times New Roman" w:cs="Times New Roman" w:eastAsiaTheme="minorEastAsia"/>
          <w:color w:val="auto"/>
          <w:w w:val="99"/>
          <w:szCs w:val="22"/>
          <w:highlight w:val="none"/>
        </w:rPr>
      </w:pPr>
      <w:r>
        <w:rPr>
          <w:rFonts w:ascii="Times New Roman" w:hAnsi="Times New Roman" w:cs="Times New Roman" w:eastAsiaTheme="minorEastAsia"/>
          <w:bCs/>
          <w:color w:val="auto"/>
          <w:w w:val="99"/>
          <w:szCs w:val="22"/>
          <w:highlight w:val="none"/>
        </w:rPr>
        <w:t>每个井场设1座井控房，占地面积50m</w:t>
      </w:r>
      <w:r>
        <w:rPr>
          <w:rFonts w:ascii="Times New Roman" w:hAnsi="Times New Roman" w:cs="Times New Roman" w:eastAsiaTheme="minorEastAsia"/>
          <w:bCs/>
          <w:color w:val="auto"/>
          <w:w w:val="99"/>
          <w:szCs w:val="22"/>
          <w:highlight w:val="none"/>
          <w:vertAlign w:val="superscript"/>
        </w:rPr>
        <w:t>2</w:t>
      </w:r>
      <w:r>
        <w:rPr>
          <w:rFonts w:ascii="Times New Roman" w:hAnsi="Times New Roman" w:cs="Times New Roman" w:eastAsiaTheme="minorEastAsia"/>
          <w:bCs/>
          <w:color w:val="auto"/>
          <w:w w:val="99"/>
          <w:szCs w:val="22"/>
          <w:highlight w:val="none"/>
        </w:rPr>
        <w:t>，房内安放钻井控制系统、监测及报警装置，用于井控人员监测钻井情况。每个井场设1座气源房，占地面积30m</w:t>
      </w:r>
      <w:r>
        <w:rPr>
          <w:rFonts w:ascii="Times New Roman" w:hAnsi="Times New Roman" w:cs="Times New Roman" w:eastAsiaTheme="minorEastAsia"/>
          <w:bCs/>
          <w:color w:val="auto"/>
          <w:w w:val="99"/>
          <w:szCs w:val="22"/>
          <w:highlight w:val="none"/>
          <w:vertAlign w:val="superscript"/>
        </w:rPr>
        <w:t>2</w:t>
      </w:r>
      <w:r>
        <w:rPr>
          <w:rFonts w:ascii="Times New Roman" w:hAnsi="Times New Roman" w:cs="Times New Roman" w:eastAsiaTheme="minorEastAsia"/>
          <w:bCs/>
          <w:color w:val="auto"/>
          <w:w w:val="99"/>
          <w:szCs w:val="22"/>
          <w:highlight w:val="none"/>
        </w:rPr>
        <w:t>，供应压缩空气，给钻机刹车提供动力。每个井场设1座机械修理房占地面积50m</w:t>
      </w:r>
      <w:r>
        <w:rPr>
          <w:rFonts w:ascii="Times New Roman" w:hAnsi="Times New Roman" w:cs="Times New Roman" w:eastAsiaTheme="minorEastAsia"/>
          <w:bCs/>
          <w:color w:val="auto"/>
          <w:w w:val="99"/>
          <w:szCs w:val="22"/>
          <w:highlight w:val="none"/>
          <w:vertAlign w:val="superscript"/>
        </w:rPr>
        <w:t>2</w:t>
      </w:r>
      <w:r>
        <w:rPr>
          <w:rFonts w:ascii="Times New Roman" w:hAnsi="Times New Roman" w:cs="Times New Roman" w:eastAsiaTheme="minorEastAsia"/>
          <w:bCs/>
          <w:color w:val="auto"/>
          <w:w w:val="99"/>
          <w:szCs w:val="22"/>
          <w:highlight w:val="none"/>
        </w:rPr>
        <w:t>，用于修理机械。每个井场设1座发电机房，占地面积50m</w:t>
      </w:r>
      <w:r>
        <w:rPr>
          <w:rFonts w:ascii="Times New Roman" w:hAnsi="Times New Roman" w:cs="Times New Roman" w:eastAsiaTheme="minorEastAsia"/>
          <w:bCs/>
          <w:color w:val="auto"/>
          <w:w w:val="99"/>
          <w:szCs w:val="22"/>
          <w:highlight w:val="none"/>
          <w:vertAlign w:val="superscript"/>
        </w:rPr>
        <w:t>2</w:t>
      </w:r>
      <w:r>
        <w:rPr>
          <w:rFonts w:ascii="Times New Roman" w:hAnsi="Times New Roman" w:cs="Times New Roman" w:eastAsiaTheme="minorEastAsia"/>
          <w:bCs/>
          <w:color w:val="auto"/>
          <w:w w:val="99"/>
          <w:szCs w:val="22"/>
          <w:highlight w:val="none"/>
        </w:rPr>
        <w:t>，为生活及钻井提供电力。每个井场设1座配电房，占地面积30m</w:t>
      </w:r>
      <w:r>
        <w:rPr>
          <w:rFonts w:ascii="Times New Roman" w:hAnsi="Times New Roman" w:cs="Times New Roman" w:eastAsiaTheme="minorEastAsia"/>
          <w:bCs/>
          <w:color w:val="auto"/>
          <w:w w:val="99"/>
          <w:szCs w:val="22"/>
          <w:highlight w:val="none"/>
          <w:vertAlign w:val="superscript"/>
        </w:rPr>
        <w:t>2</w:t>
      </w:r>
      <w:r>
        <w:rPr>
          <w:rFonts w:ascii="Times New Roman" w:hAnsi="Times New Roman" w:cs="Times New Roman" w:eastAsiaTheme="minorEastAsia"/>
          <w:bCs/>
          <w:color w:val="auto"/>
          <w:w w:val="99"/>
          <w:szCs w:val="22"/>
          <w:highlight w:val="none"/>
        </w:rPr>
        <w:t>。</w:t>
      </w:r>
    </w:p>
    <w:p>
      <w:pPr>
        <w:widowControl w:val="0"/>
        <w:spacing w:line="500" w:lineRule="exact"/>
        <w:ind w:firstLine="474" w:firstLineChars="200"/>
        <w:rPr>
          <w:rFonts w:ascii="Times New Roman" w:hAnsi="Times New Roman" w:cs="Times New Roman" w:eastAsiaTheme="minorEastAsia"/>
          <w:color w:val="auto"/>
          <w:w w:val="99"/>
          <w:szCs w:val="22"/>
          <w:highlight w:val="none"/>
        </w:rPr>
      </w:pPr>
      <w:r>
        <w:rPr>
          <w:rFonts w:ascii="Times New Roman" w:hAnsi="Times New Roman" w:cs="Times New Roman" w:eastAsiaTheme="minorEastAsia"/>
          <w:color w:val="auto"/>
          <w:w w:val="99"/>
          <w:szCs w:val="22"/>
          <w:highlight w:val="none"/>
        </w:rPr>
        <w:t>（4）生活区</w:t>
      </w:r>
    </w:p>
    <w:p>
      <w:pPr>
        <w:widowControl w:val="0"/>
        <w:spacing w:line="500" w:lineRule="exact"/>
        <w:ind w:firstLine="474" w:firstLineChars="200"/>
        <w:rPr>
          <w:rFonts w:ascii="Times New Roman" w:hAnsi="Times New Roman" w:cs="Times New Roman" w:eastAsiaTheme="minorEastAsia"/>
          <w:color w:val="auto"/>
          <w:w w:val="99"/>
          <w:szCs w:val="22"/>
          <w:highlight w:val="none"/>
        </w:rPr>
      </w:pPr>
      <w:r>
        <w:rPr>
          <w:rFonts w:ascii="Times New Roman" w:hAnsi="Times New Roman" w:cs="Times New Roman" w:eastAsiaTheme="minorEastAsia"/>
          <w:color w:val="auto"/>
          <w:w w:val="99"/>
          <w:szCs w:val="22"/>
          <w:highlight w:val="none"/>
        </w:rPr>
        <w:t>生活区采用活动板房结构，用于施工人员的日常生活。</w:t>
      </w:r>
      <w:r>
        <w:rPr>
          <w:rFonts w:ascii="Times New Roman" w:hAnsi="Times New Roman" w:cs="Times New Roman" w:eastAsiaTheme="minorEastAsia"/>
          <w:bCs/>
          <w:color w:val="auto"/>
          <w:w w:val="99"/>
          <w:szCs w:val="22"/>
          <w:highlight w:val="none"/>
        </w:rPr>
        <w:t>每个钻井平台设50m</w:t>
      </w:r>
      <w:r>
        <w:rPr>
          <w:rFonts w:ascii="Times New Roman" w:hAnsi="Times New Roman" w:cs="Times New Roman" w:eastAsiaTheme="minorEastAsia"/>
          <w:bCs/>
          <w:color w:val="auto"/>
          <w:w w:val="99"/>
          <w:szCs w:val="22"/>
          <w:highlight w:val="none"/>
          <w:vertAlign w:val="superscript"/>
        </w:rPr>
        <w:t>2</w:t>
      </w:r>
      <w:r>
        <w:rPr>
          <w:rFonts w:ascii="Times New Roman" w:hAnsi="Times New Roman" w:cs="Times New Roman" w:eastAsiaTheme="minorEastAsia"/>
          <w:bCs/>
          <w:color w:val="auto"/>
          <w:w w:val="99"/>
          <w:szCs w:val="22"/>
          <w:highlight w:val="none"/>
        </w:rPr>
        <w:t>地质值班房1座、50m</w:t>
      </w:r>
      <w:r>
        <w:rPr>
          <w:rFonts w:ascii="Times New Roman" w:hAnsi="Times New Roman" w:cs="Times New Roman" w:eastAsiaTheme="minorEastAsia"/>
          <w:bCs/>
          <w:color w:val="auto"/>
          <w:w w:val="99"/>
          <w:szCs w:val="22"/>
          <w:highlight w:val="none"/>
          <w:vertAlign w:val="superscript"/>
        </w:rPr>
        <w:t>2</w:t>
      </w:r>
      <w:r>
        <w:rPr>
          <w:rFonts w:ascii="Times New Roman" w:hAnsi="Times New Roman" w:cs="Times New Roman" w:eastAsiaTheme="minorEastAsia"/>
          <w:bCs/>
          <w:color w:val="auto"/>
          <w:w w:val="99"/>
          <w:szCs w:val="22"/>
          <w:highlight w:val="none"/>
        </w:rPr>
        <w:t>工程值班房1座、50m</w:t>
      </w:r>
      <w:r>
        <w:rPr>
          <w:rFonts w:ascii="Times New Roman" w:hAnsi="Times New Roman" w:cs="Times New Roman" w:eastAsiaTheme="minorEastAsia"/>
          <w:bCs/>
          <w:color w:val="auto"/>
          <w:w w:val="99"/>
          <w:szCs w:val="22"/>
          <w:highlight w:val="none"/>
          <w:vertAlign w:val="superscript"/>
        </w:rPr>
        <w:t>2</w:t>
      </w:r>
      <w:r>
        <w:rPr>
          <w:rFonts w:ascii="Times New Roman" w:hAnsi="Times New Roman" w:cs="Times New Roman" w:eastAsiaTheme="minorEastAsia"/>
          <w:bCs/>
          <w:color w:val="auto"/>
          <w:w w:val="99"/>
          <w:szCs w:val="22"/>
          <w:highlight w:val="none"/>
        </w:rPr>
        <w:t>钻井监督房1座、50m</w:t>
      </w:r>
      <w:r>
        <w:rPr>
          <w:rFonts w:ascii="Times New Roman" w:hAnsi="Times New Roman" w:cs="Times New Roman" w:eastAsiaTheme="minorEastAsia"/>
          <w:bCs/>
          <w:color w:val="auto"/>
          <w:w w:val="99"/>
          <w:szCs w:val="22"/>
          <w:highlight w:val="none"/>
          <w:vertAlign w:val="superscript"/>
        </w:rPr>
        <w:t>2</w:t>
      </w:r>
      <w:r>
        <w:rPr>
          <w:rFonts w:ascii="Times New Roman" w:hAnsi="Times New Roman" w:cs="Times New Roman" w:eastAsiaTheme="minorEastAsia"/>
          <w:bCs/>
          <w:color w:val="auto"/>
          <w:w w:val="99"/>
          <w:szCs w:val="22"/>
          <w:highlight w:val="none"/>
        </w:rPr>
        <w:t>平台经理房1座。</w:t>
      </w:r>
    </w:p>
    <w:p>
      <w:pPr>
        <w:widowControl w:val="0"/>
        <w:spacing w:line="500" w:lineRule="exact"/>
        <w:ind w:firstLine="474" w:firstLineChars="200"/>
        <w:rPr>
          <w:rFonts w:ascii="Times New Roman" w:hAnsi="Times New Roman" w:cs="Times New Roman" w:eastAsiaTheme="minorEastAsia"/>
          <w:color w:val="auto"/>
          <w:w w:val="99"/>
          <w:szCs w:val="22"/>
          <w:highlight w:val="none"/>
        </w:rPr>
      </w:pPr>
      <w:r>
        <w:rPr>
          <w:rFonts w:ascii="Times New Roman" w:hAnsi="Times New Roman" w:cs="Times New Roman" w:eastAsiaTheme="minorEastAsia"/>
          <w:color w:val="auto"/>
          <w:w w:val="99"/>
          <w:szCs w:val="22"/>
          <w:highlight w:val="none"/>
        </w:rPr>
        <w:t>建设项目井场施工总平面布置见图3.6-1。</w:t>
      </w:r>
    </w:p>
    <w:p>
      <w:pPr>
        <w:widowControl w:val="0"/>
        <w:autoSpaceDE w:val="0"/>
        <w:autoSpaceDN w:val="0"/>
        <w:jc w:val="center"/>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highlight w:val="none"/>
        </w:rPr>
        <w:drawing>
          <wp:inline distT="0" distB="0" distL="0" distR="0">
            <wp:extent cx="5762625" cy="3867150"/>
            <wp:effectExtent l="0" t="0" r="9525" b="0"/>
            <wp:docPr id="27" name="图片 27" descr="E:\1待写报告\7采油七厂项目\2020年项目\葡萄花油田葡434区块葡萄花油层高产井开发区块钻井工程\图\井场平面布置图（专家意见修改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1待写报告\7采油七厂项目\2020年项目\葡萄花油田葡434区块葡萄花油层高产井开发区块钻井工程\图\井场平面布置图（专家意见修改后）.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762625" cy="3867150"/>
                    </a:xfrm>
                    <a:prstGeom prst="rect">
                      <a:avLst/>
                    </a:prstGeom>
                    <a:noFill/>
                    <a:ln>
                      <a:noFill/>
                    </a:ln>
                  </pic:spPr>
                </pic:pic>
              </a:graphicData>
            </a:graphic>
          </wp:inline>
        </w:drawing>
      </w:r>
    </w:p>
    <w:p>
      <w:pPr>
        <w:snapToGrid w:val="0"/>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图</w:t>
      </w:r>
      <w:r>
        <w:rPr>
          <w:rFonts w:ascii="Times New Roman" w:hAnsi="Times New Roman" w:cs="Times New Roman" w:eastAsiaTheme="minorEastAsia"/>
          <w:color w:val="auto"/>
          <w:w w:val="99"/>
          <w:szCs w:val="22"/>
          <w:highlight w:val="none"/>
        </w:rPr>
        <w:t>3.6-1</w:t>
      </w:r>
      <w:r>
        <w:rPr>
          <w:rFonts w:ascii="Times New Roman" w:hAnsi="Times New Roman" w:cs="Times New Roman" w:eastAsiaTheme="minorEastAsia"/>
          <w:color w:val="auto"/>
          <w:w w:val="99"/>
          <w:kern w:val="21"/>
          <w:highlight w:val="none"/>
        </w:rPr>
        <w:t xml:space="preserve">                    井场施工平面布置图</w:t>
      </w:r>
    </w:p>
    <w:p>
      <w:pPr>
        <w:pStyle w:val="7"/>
        <w:keepNext w:val="0"/>
        <w:keepLines w:val="0"/>
        <w:widowControl w:val="0"/>
        <w:rPr>
          <w:b/>
          <w:color w:val="auto"/>
          <w:w w:val="99"/>
          <w:kern w:val="2"/>
          <w:sz w:val="24"/>
          <w:szCs w:val="24"/>
          <w:highlight w:val="none"/>
        </w:rPr>
      </w:pPr>
      <w:bookmarkStart w:id="431" w:name="_Toc74812325"/>
      <w:bookmarkStart w:id="432" w:name="_Toc77667298"/>
      <w:bookmarkStart w:id="433" w:name="_Toc67523603"/>
      <w:bookmarkStart w:id="434" w:name="_Toc71371954"/>
      <w:bookmarkStart w:id="435" w:name="_Toc80105154"/>
      <w:bookmarkStart w:id="436" w:name="_Toc69690821"/>
      <w:bookmarkStart w:id="437" w:name="_Toc61597231"/>
      <w:r>
        <w:rPr>
          <w:b/>
          <w:color w:val="auto"/>
          <w:w w:val="99"/>
          <w:kern w:val="2"/>
          <w:sz w:val="24"/>
          <w:szCs w:val="24"/>
          <w:highlight w:val="none"/>
        </w:rPr>
        <w:t>3.6.2井场周边环境状况</w:t>
      </w:r>
      <w:bookmarkEnd w:id="431"/>
      <w:bookmarkEnd w:id="432"/>
      <w:bookmarkEnd w:id="433"/>
      <w:bookmarkEnd w:id="434"/>
      <w:bookmarkEnd w:id="435"/>
      <w:bookmarkEnd w:id="436"/>
      <w:bookmarkEnd w:id="437"/>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本项目位于</w:t>
      </w:r>
      <w:r>
        <w:rPr>
          <w:rFonts w:hint="eastAsia" w:ascii="Times New Roman" w:hAnsi="Times New Roman" w:cs="Times New Roman" w:eastAsiaTheme="minorEastAsia"/>
          <w:color w:val="auto"/>
          <w:w w:val="99"/>
          <w:highlight w:val="none"/>
        </w:rPr>
        <w:t>大庆市</w:t>
      </w:r>
      <w:r>
        <w:rPr>
          <w:rFonts w:hint="eastAsia" w:ascii="Times New Roman" w:hAnsi="Times New Roman" w:cs="Times New Roman" w:eastAsiaTheme="minorEastAsia"/>
          <w:color w:val="auto"/>
          <w:w w:val="99"/>
          <w:highlight w:val="none"/>
          <w:lang w:eastAsia="zh-CN"/>
        </w:rPr>
        <w:t>肇源县</w:t>
      </w:r>
      <w:r>
        <w:rPr>
          <w:rFonts w:ascii="Times New Roman" w:hAnsi="Times New Roman" w:cs="Times New Roman" w:eastAsiaTheme="minorEastAsia"/>
          <w:bCs/>
          <w:color w:val="auto"/>
          <w:w w:val="99"/>
          <w:kern w:val="21"/>
          <w:highlight w:val="none"/>
        </w:rPr>
        <w:t>，</w:t>
      </w:r>
      <w:r>
        <w:rPr>
          <w:rFonts w:ascii="Times New Roman" w:hAnsi="Times New Roman" w:cs="Times New Roman" w:eastAsiaTheme="minorEastAsia"/>
          <w:color w:val="auto"/>
          <w:w w:val="99"/>
          <w:kern w:val="21"/>
          <w:highlight w:val="none"/>
        </w:rPr>
        <w:t>拟钻井场土地</w:t>
      </w:r>
      <w:r>
        <w:rPr>
          <w:rFonts w:hint="eastAsia" w:ascii="Times New Roman" w:hAnsi="Times New Roman" w:cs="Times New Roman" w:eastAsiaTheme="minorEastAsia"/>
          <w:color w:val="auto"/>
          <w:w w:val="99"/>
          <w:kern w:val="21"/>
          <w:highlight w:val="none"/>
        </w:rPr>
        <w:t>利用现状</w:t>
      </w:r>
      <w:r>
        <w:rPr>
          <w:rFonts w:ascii="Times New Roman" w:hAnsi="Times New Roman" w:cs="Times New Roman" w:eastAsiaTheme="minorEastAsia"/>
          <w:color w:val="auto"/>
          <w:w w:val="99"/>
          <w:kern w:val="21"/>
          <w:highlight w:val="none"/>
        </w:rPr>
        <w:t>主要为耕地，井场周边分布有耕地</w:t>
      </w:r>
      <w:r>
        <w:rPr>
          <w:rFonts w:hint="eastAsia" w:ascii="Times New Roman" w:hAnsi="Times New Roman" w:cs="Times New Roman" w:eastAsiaTheme="minorEastAsia"/>
          <w:color w:val="auto"/>
          <w:w w:val="99"/>
          <w:kern w:val="21"/>
          <w:highlight w:val="none"/>
          <w:lang w:eastAsia="zh-CN"/>
        </w:rPr>
        <w:t>、</w:t>
      </w:r>
      <w:r>
        <w:rPr>
          <w:rFonts w:ascii="Times New Roman" w:hAnsi="Times New Roman" w:cs="Times New Roman" w:eastAsiaTheme="minorEastAsia"/>
          <w:color w:val="auto"/>
          <w:w w:val="99"/>
          <w:kern w:val="21"/>
          <w:highlight w:val="none"/>
        </w:rPr>
        <w:t>村屯等。井场周边环境状况及保护目标分布见附图6。</w:t>
      </w:r>
    </w:p>
    <w:p>
      <w:pPr>
        <w:pStyle w:val="5"/>
        <w:keepNext w:val="0"/>
        <w:keepLines w:val="0"/>
        <w:widowControl w:val="0"/>
        <w:rPr>
          <w:rFonts w:ascii="Times New Roman" w:hAnsi="Times New Roman"/>
          <w:b/>
          <w:snapToGrid w:val="0"/>
          <w:color w:val="auto"/>
          <w:w w:val="99"/>
          <w:highlight w:val="none"/>
        </w:rPr>
      </w:pPr>
      <w:bookmarkStart w:id="438" w:name="_Toc80105155"/>
      <w:r>
        <w:rPr>
          <w:rFonts w:ascii="Times New Roman" w:hAnsi="Times New Roman"/>
          <w:b/>
          <w:snapToGrid w:val="0"/>
          <w:color w:val="auto"/>
          <w:w w:val="99"/>
          <w:highlight w:val="none"/>
        </w:rPr>
        <w:t>3.7公用工程</w:t>
      </w:r>
      <w:bookmarkEnd w:id="438"/>
    </w:p>
    <w:p>
      <w:pPr>
        <w:pStyle w:val="7"/>
        <w:keepNext w:val="0"/>
        <w:keepLines w:val="0"/>
        <w:widowControl w:val="0"/>
        <w:rPr>
          <w:b/>
          <w:color w:val="auto"/>
          <w:w w:val="99"/>
          <w:kern w:val="2"/>
          <w:sz w:val="24"/>
          <w:szCs w:val="24"/>
          <w:highlight w:val="none"/>
        </w:rPr>
      </w:pPr>
      <w:bookmarkStart w:id="439" w:name="_Toc77667300"/>
      <w:bookmarkStart w:id="440" w:name="_Toc67523605"/>
      <w:bookmarkStart w:id="441" w:name="_Toc5710032"/>
      <w:bookmarkStart w:id="442" w:name="_Toc61597233"/>
      <w:bookmarkStart w:id="443" w:name="_Toc13059817"/>
      <w:bookmarkStart w:id="444" w:name="_Toc71371956"/>
      <w:bookmarkStart w:id="445" w:name="_Toc80105156"/>
      <w:bookmarkStart w:id="446" w:name="_Toc69690823"/>
      <w:bookmarkStart w:id="447" w:name="_Toc74812327"/>
      <w:r>
        <w:rPr>
          <w:b/>
          <w:color w:val="auto"/>
          <w:w w:val="99"/>
          <w:kern w:val="2"/>
          <w:sz w:val="24"/>
          <w:szCs w:val="24"/>
          <w:highlight w:val="none"/>
        </w:rPr>
        <w:t>3.7.1给、排水工程</w:t>
      </w:r>
      <w:bookmarkEnd w:id="439"/>
      <w:bookmarkEnd w:id="440"/>
      <w:bookmarkEnd w:id="441"/>
      <w:bookmarkEnd w:id="442"/>
      <w:bookmarkEnd w:id="443"/>
      <w:bookmarkEnd w:id="444"/>
      <w:bookmarkEnd w:id="445"/>
      <w:bookmarkEnd w:id="446"/>
      <w:bookmarkEnd w:id="447"/>
    </w:p>
    <w:p>
      <w:pPr>
        <w:widowControl w:val="0"/>
        <w:spacing w:line="500" w:lineRule="exact"/>
        <w:ind w:firstLine="474" w:firstLineChars="200"/>
        <w:rPr>
          <w:rFonts w:ascii="Times New Roman" w:hAnsi="Times New Roman" w:cs="Times New Roman" w:eastAsiaTheme="minorEastAsia"/>
          <w:color w:val="auto"/>
          <w:w w:val="99"/>
          <w:kern w:val="21"/>
          <w:highlight w:val="none"/>
        </w:rPr>
      </w:pPr>
      <w:bookmarkStart w:id="448" w:name="_Toc11047792"/>
      <w:r>
        <w:rPr>
          <w:rFonts w:ascii="Times New Roman" w:hAnsi="Times New Roman" w:cs="Times New Roman" w:eastAsiaTheme="minorEastAsia"/>
          <w:color w:val="auto"/>
          <w:w w:val="99"/>
          <w:kern w:val="21"/>
          <w:highlight w:val="none"/>
        </w:rPr>
        <w:t>本项目施工期用水主要为施工生活用水和钻井生产用水。生活用水采用桶装水，项目单井施工时间为14天，单井施工人数为10人，共新钻油井</w:t>
      </w:r>
      <w:r>
        <w:rPr>
          <w:rFonts w:hint="eastAsia" w:ascii="Times New Roman" w:hAnsi="Times New Roman" w:cs="Times New Roman" w:eastAsiaTheme="minorEastAsia"/>
          <w:color w:val="auto"/>
          <w:w w:val="99"/>
          <w:kern w:val="21"/>
          <w:highlight w:val="none"/>
        </w:rPr>
        <w:t>4</w:t>
      </w:r>
      <w:r>
        <w:rPr>
          <w:rFonts w:hint="eastAsia" w:ascii="Times New Roman" w:hAnsi="Times New Roman" w:cs="Times New Roman" w:eastAsiaTheme="minorEastAsia"/>
          <w:color w:val="auto"/>
          <w:w w:val="99"/>
          <w:kern w:val="21"/>
          <w:highlight w:val="none"/>
          <w:lang w:val="en-US" w:eastAsia="zh-CN"/>
        </w:rPr>
        <w:t>4</w:t>
      </w:r>
      <w:r>
        <w:rPr>
          <w:rFonts w:hint="eastAsia" w:ascii="Times New Roman" w:hAnsi="Times New Roman" w:cs="Times New Roman" w:eastAsiaTheme="minorEastAsia"/>
          <w:color w:val="auto"/>
          <w:w w:val="99"/>
          <w:kern w:val="21"/>
          <w:highlight w:val="none"/>
        </w:rPr>
        <w:t>口</w:t>
      </w:r>
      <w:r>
        <w:rPr>
          <w:rFonts w:ascii="Times New Roman" w:hAnsi="Times New Roman" w:cs="Times New Roman" w:eastAsiaTheme="minorEastAsia"/>
          <w:color w:val="auto"/>
          <w:w w:val="99"/>
          <w:kern w:val="21"/>
          <w:highlight w:val="none"/>
        </w:rPr>
        <w:t>，根据《黑龙江省地方标准-用水定额》（DB23/T727-2021），施工期生活用水量每人80L/d，生活用水量共计</w:t>
      </w:r>
      <w:r>
        <w:rPr>
          <w:rFonts w:hint="eastAsia" w:ascii="Times New Roman" w:hAnsi="Times New Roman" w:cs="Times New Roman" w:eastAsiaTheme="minorEastAsia"/>
          <w:color w:val="auto"/>
          <w:w w:val="99"/>
          <w:kern w:val="21"/>
          <w:highlight w:val="none"/>
        </w:rPr>
        <w:t>985.6</w:t>
      </w:r>
      <w:r>
        <w:rPr>
          <w:rFonts w:ascii="Times New Roman" w:hAnsi="Times New Roman" w:cs="Times New Roman" w:eastAsiaTheme="minorEastAsia"/>
          <w:color w:val="auto"/>
          <w:w w:val="99"/>
          <w:kern w:val="21"/>
          <w:highlight w:val="none"/>
        </w:rPr>
        <w:t>m</w:t>
      </w:r>
      <w:r>
        <w:rPr>
          <w:rFonts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。生活污水产生量按生活用水的80%计算，则生活污水产生量为</w:t>
      </w:r>
      <w:r>
        <w:rPr>
          <w:rFonts w:hint="eastAsia" w:ascii="Times New Roman" w:hAnsi="Times New Roman" w:cs="Times New Roman" w:eastAsiaTheme="minorEastAsia"/>
          <w:color w:val="auto"/>
          <w:w w:val="99"/>
          <w:kern w:val="21"/>
          <w:highlight w:val="none"/>
        </w:rPr>
        <w:t>788.48</w:t>
      </w:r>
      <w:r>
        <w:rPr>
          <w:rFonts w:ascii="Times New Roman" w:hAnsi="Times New Roman" w:cs="Times New Roman" w:eastAsiaTheme="minorEastAsia"/>
          <w:color w:val="auto"/>
          <w:w w:val="99"/>
          <w:kern w:val="21"/>
          <w:highlight w:val="none"/>
        </w:rPr>
        <w:t>m</w:t>
      </w:r>
      <w:r>
        <w:rPr>
          <w:rFonts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。施工人员的生活污水排入</w:t>
      </w:r>
      <w:r>
        <w:rPr>
          <w:rFonts w:hint="eastAsia" w:ascii="Times New Roman" w:hAnsi="Times New Roman" w:cs="Times New Roman" w:eastAsiaTheme="minorEastAsia"/>
          <w:color w:val="auto"/>
          <w:w w:val="99"/>
          <w:kern w:val="21"/>
          <w:highlight w:val="none"/>
        </w:rPr>
        <w:t>防渗旱厕</w:t>
      </w:r>
      <w:r>
        <w:rPr>
          <w:rFonts w:ascii="Times New Roman" w:hAnsi="Times New Roman" w:cs="Times New Roman" w:eastAsiaTheme="minorEastAsia"/>
          <w:color w:val="auto"/>
          <w:w w:val="99"/>
          <w:kern w:val="21"/>
          <w:highlight w:val="none"/>
        </w:rPr>
        <w:t>，定期清掏外运堆肥处理。</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本项目生产用水主要包括施工阶段洒水抑尘用水、钻井设备冲洗用水（冲洗振动筛及钻台钻具等设备）、水泥用水。本项目钻井生产用水由水罐车运送，类比</w:t>
      </w:r>
      <w:r>
        <w:rPr>
          <w:rFonts w:hint="eastAsia" w:ascii="Times New Roman" w:hAnsi="Times New Roman" w:cs="Times New Roman" w:eastAsiaTheme="minorEastAsia"/>
          <w:color w:val="auto"/>
          <w:w w:val="99"/>
          <w:kern w:val="21"/>
          <w:highlight w:val="none"/>
        </w:rPr>
        <w:t>十</w:t>
      </w:r>
      <w:r>
        <w:rPr>
          <w:rFonts w:ascii="Times New Roman" w:hAnsi="Times New Roman" w:cs="Times New Roman" w:eastAsiaTheme="minorEastAsia"/>
          <w:color w:val="auto"/>
          <w:w w:val="99"/>
          <w:kern w:val="21"/>
          <w:highlight w:val="none"/>
        </w:rPr>
        <w:t>厂多年的钻井工程资料，每进尺1000m，清水用量约70m</w:t>
      </w:r>
      <w:r>
        <w:rPr>
          <w:rFonts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，钻井施工总进尺约</w:t>
      </w:r>
      <w:r>
        <w:rPr>
          <w:rFonts w:hint="eastAsia" w:ascii="Times New Roman" w:hAnsi="Times New Roman" w:cs="Times New Roman" w:eastAsiaTheme="minorEastAsia"/>
          <w:bCs/>
          <w:color w:val="auto"/>
          <w:w w:val="99"/>
          <w:kern w:val="21"/>
          <w:highlight w:val="none"/>
          <w:lang w:eastAsia="zh-CN"/>
        </w:rPr>
        <w:t>79111m</w:t>
      </w:r>
      <w:r>
        <w:rPr>
          <w:rFonts w:ascii="Times New Roman" w:hAnsi="Times New Roman" w:cs="Times New Roman" w:eastAsiaTheme="minorEastAsia"/>
          <w:color w:val="auto"/>
          <w:w w:val="99"/>
          <w:kern w:val="21"/>
          <w:highlight w:val="none"/>
        </w:rPr>
        <w:t>，则生产用水量为</w:t>
      </w:r>
      <w:r>
        <w:rPr>
          <w:rFonts w:hint="eastAsia" w:ascii="Times New Roman" w:hAnsi="Times New Roman" w:cs="Times New Roman" w:eastAsiaTheme="minorEastAsia"/>
          <w:color w:val="auto"/>
          <w:w w:val="99"/>
          <w:kern w:val="21"/>
          <w:highlight w:val="none"/>
        </w:rPr>
        <w:t>5537.77</w:t>
      </w:r>
      <w:r>
        <w:rPr>
          <w:rFonts w:ascii="Times New Roman" w:hAnsi="Times New Roman" w:cs="Times New Roman" w:eastAsiaTheme="minorEastAsia"/>
          <w:color w:val="auto"/>
          <w:w w:val="99"/>
          <w:kern w:val="21"/>
          <w:highlight w:val="none"/>
        </w:rPr>
        <w:t>m</w:t>
      </w:r>
      <w:r>
        <w:rPr>
          <w:rFonts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。其中，钻井设备冲洗用水随井深和钻井周期变化，类比</w:t>
      </w:r>
      <w:r>
        <w:rPr>
          <w:rFonts w:hint="eastAsia" w:ascii="Times New Roman" w:hAnsi="Times New Roman" w:cs="Times New Roman" w:eastAsiaTheme="minorEastAsia"/>
          <w:color w:val="auto"/>
          <w:w w:val="99"/>
          <w:kern w:val="21"/>
          <w:highlight w:val="none"/>
        </w:rPr>
        <w:t>十</w:t>
      </w:r>
      <w:r>
        <w:rPr>
          <w:rFonts w:ascii="Times New Roman" w:hAnsi="Times New Roman" w:cs="Times New Roman" w:eastAsiaTheme="minorEastAsia"/>
          <w:color w:val="auto"/>
          <w:w w:val="99"/>
          <w:kern w:val="21"/>
          <w:highlight w:val="none"/>
        </w:rPr>
        <w:t>厂多年的钻井工程资料，每钻进1m设备冲洗用水平均为0.02m</w:t>
      </w:r>
      <w:r>
        <w:rPr>
          <w:rFonts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，则钻井设备冲洗用水量约</w:t>
      </w:r>
      <w:r>
        <w:rPr>
          <w:rFonts w:hint="eastAsia" w:ascii="Times New Roman" w:hAnsi="Times New Roman" w:cs="Times New Roman" w:eastAsiaTheme="minorEastAsia"/>
          <w:color w:val="auto"/>
          <w:w w:val="99"/>
          <w:kern w:val="21"/>
          <w:highlight w:val="none"/>
        </w:rPr>
        <w:t>1582.22</w:t>
      </w:r>
      <w:r>
        <w:rPr>
          <w:rFonts w:ascii="Times New Roman" w:hAnsi="Times New Roman" w:cs="Times New Roman" w:eastAsiaTheme="minorEastAsia"/>
          <w:color w:val="auto"/>
          <w:w w:val="99"/>
          <w:kern w:val="21"/>
          <w:highlight w:val="none"/>
        </w:rPr>
        <w:t>m</w:t>
      </w:r>
      <w:r>
        <w:rPr>
          <w:rFonts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；本项目固井水泥的水灰比为0.4，单井水泥用量为</w:t>
      </w:r>
      <w:r>
        <w:rPr>
          <w:rFonts w:hint="eastAsia" w:ascii="Times New Roman" w:hAnsi="Times New Roman" w:cs="Times New Roman" w:eastAsiaTheme="minorEastAsia"/>
          <w:color w:val="auto"/>
          <w:w w:val="99"/>
          <w:kern w:val="21"/>
          <w:highlight w:val="none"/>
        </w:rPr>
        <w:t>80t</w:t>
      </w:r>
      <w:r>
        <w:rPr>
          <w:rFonts w:ascii="Times New Roman" w:hAnsi="Times New Roman" w:cs="Times New Roman" w:eastAsiaTheme="minorEastAsia"/>
          <w:color w:val="auto"/>
          <w:w w:val="99"/>
          <w:kern w:val="21"/>
          <w:highlight w:val="none"/>
        </w:rPr>
        <w:t>，本项目新钻</w:t>
      </w:r>
      <w:r>
        <w:rPr>
          <w:rFonts w:hint="eastAsia" w:ascii="Times New Roman" w:hAnsi="Times New Roman" w:cs="Times New Roman" w:eastAsiaTheme="minorEastAsia"/>
          <w:color w:val="auto"/>
          <w:w w:val="99"/>
          <w:kern w:val="21"/>
          <w:highlight w:val="none"/>
        </w:rPr>
        <w:t>4</w:t>
      </w:r>
      <w:r>
        <w:rPr>
          <w:rFonts w:hint="eastAsia" w:ascii="Times New Roman" w:hAnsi="Times New Roman" w:cs="Times New Roman" w:eastAsiaTheme="minorEastAsia"/>
          <w:color w:val="auto"/>
          <w:w w:val="99"/>
          <w:kern w:val="21"/>
          <w:highlight w:val="none"/>
          <w:lang w:val="en-US" w:eastAsia="zh-CN"/>
        </w:rPr>
        <w:t>4</w:t>
      </w:r>
      <w:r>
        <w:rPr>
          <w:rFonts w:hint="eastAsia" w:ascii="Times New Roman" w:hAnsi="Times New Roman" w:cs="Times New Roman" w:eastAsiaTheme="minorEastAsia"/>
          <w:color w:val="auto"/>
          <w:w w:val="99"/>
          <w:kern w:val="21"/>
          <w:highlight w:val="none"/>
        </w:rPr>
        <w:t>口油</w:t>
      </w:r>
      <w:r>
        <w:rPr>
          <w:rFonts w:ascii="Times New Roman" w:hAnsi="Times New Roman" w:cs="Times New Roman" w:eastAsiaTheme="minorEastAsia"/>
          <w:color w:val="auto"/>
          <w:w w:val="99"/>
          <w:kern w:val="21"/>
          <w:highlight w:val="none"/>
        </w:rPr>
        <w:t>井，则水泥用水量为</w:t>
      </w:r>
      <w:r>
        <w:rPr>
          <w:rFonts w:hint="eastAsia" w:ascii="Times New Roman" w:hAnsi="Times New Roman" w:cs="Times New Roman" w:eastAsiaTheme="minorEastAsia"/>
          <w:color w:val="auto"/>
          <w:w w:val="99"/>
          <w:kern w:val="21"/>
          <w:highlight w:val="none"/>
        </w:rPr>
        <w:t>1408</w:t>
      </w:r>
      <w:r>
        <w:rPr>
          <w:rFonts w:ascii="Times New Roman" w:hAnsi="Times New Roman" w:cs="Times New Roman" w:eastAsiaTheme="minorEastAsia"/>
          <w:color w:val="auto"/>
          <w:w w:val="99"/>
          <w:kern w:val="21"/>
          <w:highlight w:val="none"/>
        </w:rPr>
        <w:t>m</w:t>
      </w:r>
      <w:r>
        <w:rPr>
          <w:rFonts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，水泥用水全部进入水泥中；根据物料平衡，洒水抑尘用水为</w:t>
      </w:r>
      <w:r>
        <w:rPr>
          <w:rFonts w:hint="eastAsia" w:ascii="Times New Roman" w:hAnsi="Times New Roman" w:cs="Times New Roman" w:eastAsiaTheme="minorEastAsia"/>
          <w:color w:val="auto"/>
          <w:w w:val="99"/>
          <w:kern w:val="21"/>
          <w:highlight w:val="none"/>
        </w:rPr>
        <w:t>2</w:t>
      </w:r>
      <w:r>
        <w:rPr>
          <w:rFonts w:hint="eastAsia" w:ascii="Times New Roman" w:hAnsi="Times New Roman" w:cs="Times New Roman" w:eastAsiaTheme="minorEastAsia"/>
          <w:color w:val="auto"/>
          <w:w w:val="99"/>
          <w:kern w:val="21"/>
          <w:highlight w:val="none"/>
          <w:lang w:val="en-US" w:eastAsia="zh-CN"/>
        </w:rPr>
        <w:t>690</w:t>
      </w:r>
      <w:r>
        <w:rPr>
          <w:rFonts w:ascii="Times New Roman" w:hAnsi="Times New Roman" w:cs="Times New Roman" w:eastAsiaTheme="minorEastAsia"/>
          <w:color w:val="auto"/>
          <w:w w:val="99"/>
          <w:kern w:val="21"/>
          <w:highlight w:val="none"/>
        </w:rPr>
        <w:t>m</w:t>
      </w:r>
      <w:r>
        <w:rPr>
          <w:rFonts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，洒水抑尘用水全部蒸发。本项目钻井设备冲洗废水共计15</w:t>
      </w:r>
      <w:r>
        <w:rPr>
          <w:rFonts w:hint="eastAsia" w:ascii="Times New Roman" w:hAnsi="Times New Roman" w:cs="Times New Roman" w:eastAsiaTheme="minorEastAsia"/>
          <w:color w:val="auto"/>
          <w:w w:val="99"/>
          <w:kern w:val="21"/>
          <w:highlight w:val="none"/>
          <w:lang w:val="en-US" w:eastAsia="zh-CN"/>
        </w:rPr>
        <w:t>82.22</w:t>
      </w:r>
      <w:r>
        <w:rPr>
          <w:rFonts w:ascii="Times New Roman" w:hAnsi="Times New Roman" w:cs="Times New Roman" w:eastAsiaTheme="minorEastAsia"/>
          <w:color w:val="auto"/>
          <w:w w:val="99"/>
          <w:kern w:val="21"/>
          <w:highlight w:val="none"/>
        </w:rPr>
        <w:t>m</w:t>
      </w:r>
      <w:r>
        <w:rPr>
          <w:rFonts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，进入井场钢制泥浆槽中，由罐车拉运至</w:t>
      </w:r>
      <w:r>
        <w:rPr>
          <w:rFonts w:hint="eastAsia" w:ascii="Times New Roman" w:hAnsi="Times New Roman" w:cs="Times New Roman" w:eastAsiaTheme="minorEastAsia"/>
          <w:color w:val="auto"/>
          <w:w w:val="99"/>
          <w:kern w:val="21"/>
          <w:highlight w:val="none"/>
        </w:rPr>
        <w:t>大庆油田昆仑集团有限公司环保分公司</w:t>
      </w:r>
      <w:r>
        <w:rPr>
          <w:rFonts w:ascii="Times New Roman" w:hAnsi="Times New Roman" w:cs="Times New Roman" w:eastAsiaTheme="minorEastAsia"/>
          <w:color w:val="auto"/>
          <w:w w:val="99"/>
          <w:kern w:val="21"/>
          <w:highlight w:val="none"/>
        </w:rPr>
        <w:t>处理。</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本项目钻井施工期水平衡图见图3.7-1。</w:t>
      </w:r>
    </w:p>
    <w:p>
      <w:pPr>
        <w:snapToGrid w:val="0"/>
        <w:jc w:val="center"/>
        <w:rPr>
          <w:rFonts w:ascii="Times New Roman" w:hAnsi="Times New Roman" w:cs="Times New Roman" w:eastAsiaTheme="minorEastAsia"/>
          <w:color w:val="auto"/>
          <w:w w:val="99"/>
          <w:kern w:val="21"/>
          <w:highlight w:val="none"/>
        </w:rPr>
      </w:pPr>
      <w:r>
        <w:rPr>
          <w:color w:val="auto"/>
          <w:highlight w:val="none"/>
        </w:rPr>
        <w:drawing>
          <wp:anchor distT="0" distB="0" distL="114300" distR="114300" simplePos="0" relativeHeight="251683840" behindDoc="0" locked="0" layoutInCell="1" allowOverlap="1">
            <wp:simplePos x="0" y="0"/>
            <wp:positionH relativeFrom="column">
              <wp:posOffset>3462655</wp:posOffset>
            </wp:positionH>
            <wp:positionV relativeFrom="paragraph">
              <wp:posOffset>24765</wp:posOffset>
            </wp:positionV>
            <wp:extent cx="1800225" cy="1642745"/>
            <wp:effectExtent l="0" t="0" r="9525" b="14605"/>
            <wp:wrapNone/>
            <wp:docPr id="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
                    <pic:cNvPicPr>
                      <a:picLocks noChangeAspect="1"/>
                    </pic:cNvPicPr>
                  </pic:nvPicPr>
                  <pic:blipFill>
                    <a:blip r:embed="rId20"/>
                    <a:stretch>
                      <a:fillRect/>
                    </a:stretch>
                  </pic:blipFill>
                  <pic:spPr>
                    <a:xfrm>
                      <a:off x="0" y="0"/>
                      <a:ext cx="1800225" cy="1642745"/>
                    </a:xfrm>
                    <a:prstGeom prst="rect">
                      <a:avLst/>
                    </a:prstGeom>
                    <a:noFill/>
                    <a:ln>
                      <a:noFill/>
                    </a:ln>
                  </pic:spPr>
                </pic:pic>
              </a:graphicData>
            </a:graphic>
          </wp:anchor>
        </w:drawing>
      </w:r>
      <w:r>
        <w:rPr>
          <w:color w:val="auto"/>
          <w:highlight w:val="none"/>
        </w:rPr>
        <mc:AlternateContent>
          <mc:Choice Requires="wps">
            <w:drawing>
              <wp:anchor distT="0" distB="0" distL="114300" distR="114300" simplePos="0" relativeHeight="251678720" behindDoc="0" locked="0" layoutInCell="1" allowOverlap="1">
                <wp:simplePos x="0" y="0"/>
                <wp:positionH relativeFrom="column">
                  <wp:posOffset>3637280</wp:posOffset>
                </wp:positionH>
                <wp:positionV relativeFrom="paragraph">
                  <wp:posOffset>2727960</wp:posOffset>
                </wp:positionV>
                <wp:extent cx="592455" cy="304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59245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rPr>
                            </w:pPr>
                            <w:r>
                              <w:rPr>
                                <w:rFonts w:hint="eastAsia"/>
                                <w:sz w:val="15"/>
                                <w:szCs w:val="15"/>
                                <w:lang w:val="en-US" w:eastAsia="zh-CN"/>
                              </w:rPr>
                              <w:t>788.48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6.4pt;margin-top:214.8pt;height:24pt;width:46.65pt;z-index:251678720;mso-width-relative:page;mso-height-relative:page;" filled="f" stroked="f" coordsize="21600,21600" o:gfxdata="UEsDBAoAAAAAAIdO4kAAAAAAAAAAAAAAAAAEAAAAZHJzL1BLAwQUAAAACACHTuJAfy0E6dwAAAAL&#10;AQAADwAAAGRycy9kb3ducmV2LnhtbE2PzU7DMBCE70i8g7VI3KiTiDoljVOhSBUSgkNLL9yc2E2i&#10;2usQuz/w9CynctzZ0cw35eriLDuZKQweJaSzBJjB1usBOwm7j/XDAliICrWyHo2EbxNgVd3elKrQ&#10;/owbc9rGjlEIhkJJ6GMcC85D2xunwsyPBum395NTkc6p43pSZwp3lmdJIrhTA1JDr0ZT96Y9bI9O&#10;wmu9flebJnOLH1u/vO2fx6/d51zK+7s0WQKL5hKvZvjDJ3SoiKnxR9SBWQnzPCP0KOExexLAyCGE&#10;SIE1pOS5AF6V/P+G6hdQSwMEFAAAAAgAh07iQLjCh1o+AgAAZwQAAA4AAABkcnMvZTJvRG9jLnht&#10;bK1UwW7bMAy9D9g/CLovdtIka4M4RdYgw4BgLZANOyuyHBuQRE1SYmcfsP1BT7vsvu/Kd4ySnTTo&#10;duhhF5kiKZLvkfT0tlGS7IV1FeiM9nspJUJzyCu9zejnT8s315Q4z3TOJGiR0YNw9Hb2+tW0NhMx&#10;gBJkLizBINpNapPR0nszSRLHS6GY64ERGo0FWMU8Xu02yS2rMbqSySBNx0kNNjcWuHAOtYvWSLuI&#10;9iUBoSgqLhbAd0po30a1QjKPkFxZGUdnsdqiENzfF4UTnsiMIlIfT0yC8iacyWzKJlvLTFnxrgT2&#10;khKeYVKs0pj0HGrBPCM7W/0VSlXcgoPC9ziopAUSGUEU/fQZN+uSGRGxINXOnEl3/y8s/7h/sKTK&#10;MzoaU6KZwo4fH38cf/4+/vpOUIcE1cZN0G9t0NM376DBsTnpHSoD7qawKnwREUE70ns40ysaTzgq&#10;RzeD4WhECUfTVTq8TiP9ydNjY51/L0CRIGTUYvciqWy/ch4LQdeTS8ilYVlJGTsoNakzOr4apfHB&#10;2YIvpMaHAUJbapB8s2k6XBvIDwjLQjsZzvBlhclXzPkHZnEUEAkui7/Ho5CASaCTKCnBfvuXPvhj&#10;h9BKSY2jlVH3dcesoER+0Ni7m/5wGGYxXoajtwO82EvL5tKid+oOcHr7uJaGRzH4e3kSCwvqC+7U&#10;PGRFE9Mcc2fUn8Q73w487iQX83l0wukzzK/02vAQuqVzvvNQVJHpQFPLTccezl9sQLcrYcAv79Hr&#10;6f8w+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LQTp3AAAAAsBAAAPAAAAAAAAAAEAIAAAACIA&#10;AABkcnMvZG93bnJldi54bWxQSwECFAAUAAAACACHTuJAuMKHWj4CAABnBAAADgAAAAAAAAABACAA&#10;AAArAQAAZHJzL2Uyb0RvYy54bWxQSwUGAAAAAAYABgBZAQAA2wUAAAAA&#10;">
                <v:fill on="f" focussize="0,0"/>
                <v:stroke on="f" weight="0.5pt"/>
                <v:imagedata o:title=""/>
                <o:lock v:ext="edit" aspectratio="f"/>
                <v:textbox>
                  <w:txbxContent>
                    <w:p>
                      <w:pPr>
                        <w:rPr>
                          <w:rFonts w:hint="default" w:eastAsia="宋体"/>
                          <w:sz w:val="15"/>
                          <w:szCs w:val="15"/>
                          <w:lang w:val="en-US" w:eastAsia="zh-CN"/>
                        </w:rPr>
                      </w:pPr>
                      <w:r>
                        <w:rPr>
                          <w:rFonts w:hint="eastAsia"/>
                          <w:sz w:val="15"/>
                          <w:szCs w:val="15"/>
                          <w:lang w:val="en-US" w:eastAsia="zh-CN"/>
                        </w:rPr>
                        <w:t>788.48</w:t>
                      </w:r>
                    </w:p>
                  </w:txbxContent>
                </v:textbox>
              </v:shape>
            </w:pict>
          </mc:Fallback>
        </mc:AlternateContent>
      </w:r>
      <w:r>
        <w:rPr>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2532380</wp:posOffset>
                </wp:positionH>
                <wp:positionV relativeFrom="paragraph">
                  <wp:posOffset>2718435</wp:posOffset>
                </wp:positionV>
                <wp:extent cx="592455" cy="304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59245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rPr>
                            </w:pPr>
                            <w:r>
                              <w:rPr>
                                <w:rFonts w:hint="eastAsia"/>
                                <w:sz w:val="15"/>
                                <w:szCs w:val="15"/>
                                <w:lang w:val="en-US" w:eastAsia="zh-CN"/>
                              </w:rPr>
                              <w:t>788.48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4pt;margin-top:214.05pt;height:24pt;width:46.65pt;z-index:251677696;mso-width-relative:page;mso-height-relative:page;" filled="f" stroked="f" coordsize="21600,21600" o:gfxdata="UEsDBAoAAAAAAIdO4kAAAAAAAAAAAAAAAAAEAAAAZHJzL1BLAwQUAAAACACHTuJA5KiiudwAAAAL&#10;AQAADwAAAGRycy9kb3ducmV2LnhtbE2PzU7DMBCE70i8g7VI3KiTUEoa4lQoUoWE4NDSC7dN7CYR&#10;9jrE7g88PcsJbrOa0cy35ersrDiaKQyeFKSzBISh1uuBOgW7t/VNDiJEJI3Wk1HwZQKsqsuLEgvt&#10;T7Qxx23sBJdQKFBBH+NYSBna3jgMMz8aYm/vJ4eRz6mTesITlzsrsyRZSIcD8UKPo6l7035sD07B&#10;c71+xU2Tufzb1k8v+8fxc/d+p9T1VZo8gIjmHP/C8IvP6FAxU+MPpIOwCm6XOaNHBfMsT0FwYr7M&#10;WDQs7hcpyKqU/3+ofgBQSwMEFAAAAAgAh07iQOZTFuU+AgAAZwQAAA4AAABkcnMvZTJvRG9jLnht&#10;bK1UzW7bMAy+D9g7CLqvdtKka4M4Rdagw4BiLdANOyuyHBvQ3yQldvYA2xv0tMvue64+xz7JSRp0&#10;O/Swi0yRFMnvI+npZack2QjnG6MLOjjJKRGam7LRq4J+/nT95pwSH5gumTRaFHQrPL2cvX41be1E&#10;DE1tZCkcQRDtJ60taB2CnWSZ57VQzJ8YKzSMlXGKBVzdKisdaxFdyWyY52dZa1xpneHCe2gXvZHu&#10;IrqXBDRV1XCxMHythA59VCckC4Dk68Z6OkvVVpXg4baqvAhEFhRIQzqRBPIyntlsyiYrx2zd8F0J&#10;7CUlPMOkWKOR9BBqwQIja9f8FUo13BlvqnDCjcp6IIkRoBjkz7i5r5kVCQuo9vZAuv9/YfnHzZ0j&#10;TVnQEfqumULHHx9+PP78/fjrO4EOBLXWT+B3b+EZunemw9js9R7KiLurnIpfICKwg97tgV7RBcKh&#10;HF8MR+MxJRym03x0nif6s6fH1vnwXhhFolBQh+4lUtnmxgcUAte9S8ylzXUjZeqg1KQt6NnpOE8P&#10;Dha8kBoPI4S+1CiFbtntcC1NuQUsZ/rJ8JZfN0h+w3y4Yw6jACRYlnCLo5IGScxOoqQ27tu/9NEf&#10;HYKVkhajVVD/dc2coER+0OjdxWA0irOYLqPx2yEu7tiyPLbotboymN4B1tLyJEb/IPdi5Yz6gp2a&#10;x6wwMc2Ru6BhL16FfuCxk1zM58kJ02dZuNH3lsfQPZ3zdTBVk5iONPXc7NjD/KUG7HYlDvjxPXk9&#10;/R9m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kqKK53AAAAAsBAAAPAAAAAAAAAAEAIAAAACIA&#10;AABkcnMvZG93bnJldi54bWxQSwECFAAUAAAACACHTuJA5lMW5T4CAABnBAAADgAAAAAAAAABACAA&#10;AAArAQAAZHJzL2Uyb0RvYy54bWxQSwUGAAAAAAYABgBZAQAA2wUAAAAA&#10;">
                <v:fill on="f" focussize="0,0"/>
                <v:stroke on="f" weight="0.5pt"/>
                <v:imagedata o:title=""/>
                <o:lock v:ext="edit" aspectratio="f"/>
                <v:textbox>
                  <w:txbxContent>
                    <w:p>
                      <w:pPr>
                        <w:rPr>
                          <w:rFonts w:hint="default" w:eastAsia="宋体"/>
                          <w:sz w:val="15"/>
                          <w:szCs w:val="15"/>
                          <w:lang w:val="en-US" w:eastAsia="zh-CN"/>
                        </w:rPr>
                      </w:pPr>
                      <w:r>
                        <w:rPr>
                          <w:rFonts w:hint="eastAsia"/>
                          <w:sz w:val="15"/>
                          <w:szCs w:val="15"/>
                          <w:lang w:val="en-US" w:eastAsia="zh-CN"/>
                        </w:rPr>
                        <w:t>788.48</w:t>
                      </w:r>
                    </w:p>
                  </w:txbxContent>
                </v:textbox>
              </v:shape>
            </w:pict>
          </mc:Fallback>
        </mc:AlternateContent>
      </w:r>
      <w:r>
        <w:rPr>
          <w:color w:val="auto"/>
          <w:highlight w:val="none"/>
        </w:rPr>
        <mc:AlternateContent>
          <mc:Choice Requires="wps">
            <w:drawing>
              <wp:anchor distT="0" distB="0" distL="114300" distR="114300" simplePos="0" relativeHeight="251676672" behindDoc="0" locked="0" layoutInCell="1" allowOverlap="1">
                <wp:simplePos x="0" y="0"/>
                <wp:positionH relativeFrom="column">
                  <wp:posOffset>2179955</wp:posOffset>
                </wp:positionH>
                <wp:positionV relativeFrom="paragraph">
                  <wp:posOffset>2442210</wp:posOffset>
                </wp:positionV>
                <wp:extent cx="592455" cy="304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59245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15"/>
                                <w:szCs w:val="15"/>
                              </w:rPr>
                            </w:pPr>
                            <w:r>
                              <w:rPr>
                                <w:rFonts w:hint="eastAsia"/>
                                <w:sz w:val="15"/>
                                <w:szCs w:val="15"/>
                              </w:rPr>
                              <w:t>197.12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65pt;margin-top:192.3pt;height:24pt;width:46.65pt;z-index:251676672;mso-width-relative:page;mso-height-relative:page;" filled="f" stroked="f" coordsize="21600,21600" o:gfxdata="UEsDBAoAAAAAAIdO4kAAAAAAAAAAAAAAAAAEAAAAZHJzL1BLAwQUAAAACACHTuJA9VGSadoAAAAL&#10;AQAADwAAAGRycy9kb3ducmV2LnhtbE2PTU+DQBCG7yb+h82YeLNLAQlBlsaQNCZGD629eBvYKRDZ&#10;XWS3H/rrnZ7s7ZnMm3eeKVdnM4ojzX5wVsFyEYEg2zo92E7B7mP9kIPwAa3G0VlS8EMeVtXtTYmF&#10;die7oeM2dIJLrC9QQR/CVEjp254M+oWbyPJu72aDgce5k3rGE5ebUcZRlEmDg+ULPU5U99R+bQ9G&#10;wWu9fsdNE5v8d6xf3vbP0/fu81Gp+7tl9AQi0Dn8h+Giz+pQsVPjDlZ7MSpI0iThKEOeZiA4kSYZ&#10;Q3OBOANZlfL6h+oPUEsDBBQAAAAIAIdO4kDVQpQLPgIAAGcEAAAOAAAAZHJzL2Uyb0RvYy54bWyt&#10;VM1u2zAMvg/YOwi6L3b+uiaIU2QNMgwo1gLZsLMiy7EBSdQkJXb2ANsb9LTL7nuuPMco2UmDboce&#10;dpEpkiL5fSQ9u2mUJHthXQU6o/1eSonQHPJKbzP6+dPqzTUlzjOdMwlaZPQgHL2Zv341q81UDKAE&#10;mQtLMIh209pktPTeTJPE8VIo5npghEZjAVYxj1e7TXLLaoyuZDJI06ukBpsbC1w4h9pla6RdRPuS&#10;gFAUFRdL4DsltG+jWiGZR0iurIyj81htUQju74vCCU9kRhGpjycmQXkTzmQ+Y9OtZaaseFcCe0kJ&#10;zzApVmlMeg61ZJ6Rna3+CqUqbsFB4XscVNICiYwgin76jJt1yYyIWJBqZ86ku/8Xln/cP1hS5Rkd&#10;TijRTGHHj48/jj9/H399J6hDgmrjpui3Nujpm3fQ4Nic9A6VAXdTWBW+iIigHek9nOkVjScclePJ&#10;YDQeU8LRNExH12mkP3l6bKzz7wUoEoSMWuxeJJXt75zHQtD15BJyaVhVUsYOSk3qjF4Nx2l8cLbg&#10;C6nxYYDQlhok32yaDtcG8gPCstBOhjN8VWHyO+b8A7M4CogEl8Xf41FIwCTQSZSUYL/9Sx/8sUNo&#10;paTG0cqo+7pjVlAiP2js3aQ/GoVZjJfR+O0AL/bSsrm06J26BZzePq6l4VEM/l6exMKC+oI7tQhZ&#10;0cQ0x9wZ9Sfx1rcDjzvJxWIRnXD6DPN3em14CN3Sudh5KKrIdKCp5aZjD+cvNqDblTDgl/fo9fR/&#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9VGSadoAAAALAQAADwAAAAAAAAABACAAAAAiAAAA&#10;ZHJzL2Rvd25yZXYueG1sUEsBAhQAFAAAAAgAh07iQNVClAs+AgAAZwQAAA4AAAAAAAAAAQAgAAAA&#10;KQEAAGRycy9lMm9Eb2MueG1sUEsFBgAAAAAGAAYAWQEAANkFAAAAAA==&#10;">
                <v:fill on="f" focussize="0,0"/>
                <v:stroke on="f" weight="0.5pt"/>
                <v:imagedata o:title=""/>
                <o:lock v:ext="edit" aspectratio="f"/>
                <v:textbox>
                  <w:txbxContent>
                    <w:p>
                      <w:pPr>
                        <w:rPr>
                          <w:rFonts w:hint="eastAsia"/>
                          <w:sz w:val="15"/>
                          <w:szCs w:val="15"/>
                        </w:rPr>
                      </w:pPr>
                      <w:r>
                        <w:rPr>
                          <w:rFonts w:hint="eastAsia"/>
                          <w:sz w:val="15"/>
                          <w:szCs w:val="15"/>
                        </w:rPr>
                        <w:t>197.12</w:t>
                      </w:r>
                    </w:p>
                  </w:txbxContent>
                </v:textbox>
              </v:shape>
            </w:pict>
          </mc:Fallback>
        </mc:AlternateContent>
      </w: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1094105</wp:posOffset>
                </wp:positionH>
                <wp:positionV relativeFrom="paragraph">
                  <wp:posOffset>2727960</wp:posOffset>
                </wp:positionV>
                <wp:extent cx="592455" cy="304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59245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rPr>
                            </w:pPr>
                            <w:r>
                              <w:rPr>
                                <w:rFonts w:hint="eastAsia"/>
                                <w:sz w:val="15"/>
                                <w:szCs w:val="15"/>
                                <w:lang w:val="en-US" w:eastAsia="zh-CN"/>
                              </w:rPr>
                              <w:t>985.6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15pt;margin-top:214.8pt;height:24pt;width:46.65pt;z-index:251675648;mso-width-relative:page;mso-height-relative:page;" filled="f" stroked="f" coordsize="21600,21600" o:gfxdata="UEsDBAoAAAAAAIdO4kAAAAAAAAAAAAAAAAAEAAAAZHJzL1BLAwQUAAAACACHTuJAJNyd69sAAAAL&#10;AQAADwAAAGRycy9kb3ducmV2LnhtbE2PzU7DMBCE70i8g7VI3KhTQ5MS4lQoUoWE4NDSC7dN7CYR&#10;8TrE7g88PcsJbju7o9lvitXZDeJop9B70jCfJSAsNd701GrYva1vliBCRDI4eLIavmyAVXl5UWBu&#10;/Ik29riNreAQCjlq6GIccylD01mHYeZHS3zb+8lhZDm10kx44nA3SJUkqXTYE3/ocLRVZ5uP7cFp&#10;eK7Wr7iplVt+D9XTy/5x/Ny9L7S+vponDyCiPcc/M/ziMzqUzFT7A5kgBtaZumWrhjt1n4Jgh0oX&#10;PNS8ybIUZFnI/x3KH1BLAwQUAAAACACHTuJAjz1X4z0CAABnBAAADgAAAGRycy9lMm9Eb2MueG1s&#10;rVRLbtswEN0X6B0I7mvJvzQxIgdughQFjCZAWnRNU5QlgL+StCX3AO0Nsuqm+54r5+gjZTtB2kUW&#10;3VDDmeHMvDczOr/olCRb4XxjdEGHg5wSobkpG70u6OdP129OKfGB6ZJJo0VBd8LTi/nrV+etnYmR&#10;qY0shSMIov2stQWtQ7CzLPO8For5gbFCw1gZp1jA1a2z0rEW0ZXMRnl+krXGldYZLryH9qo30n1E&#10;95KApqoaLq4M3yihQx/VCckCIPm6sZ7OU7VVJXi4qSovApEFBdKQTiSBvIpnNj9ns7Vjtm74vgT2&#10;khKeYVKs0Uh6DHXFAiMb1/wVSjXcGW+qMOBGZT2QxAhQDPNn3NzVzIqEBVR7eyTd/7+w/OP21pGm&#10;LOgYfddMoeMP9z8efv5++PWdQAeCWutn8Luz8AzdO9NhbA56D2XE3VVOxS8QEdhB7+5Ir+gC4VBO&#10;z0aT6ZQSDtM4n5zmif7s8bF1PrwXRpEoFNShe4lUtl36gELgenCJubS5bqRMHZSatAU9GU/z9OBo&#10;wQup8TBC6EuNUuhW3R7XypQ7wHKmnwxv+XWD5Evmwy1zGAUgwbKEGxyVNEhi9hIltXHf/qWP/ugQ&#10;rJS0GK2C+q8b5gQl8oNG786Gk0mcxXSZTN+OcHFPLaunFr1RlwbTO8RaWp7E6B/kQaycUV+wU4uY&#10;FSamOXIXNBzEy9APPHaSi8UiOWH6LAtLfWd5DN3TudgEUzWJ6UhTz82ePcxfasB+V+KAP70nr8f/&#10;w/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JNyd69sAAAALAQAADwAAAAAAAAABACAAAAAiAAAA&#10;ZHJzL2Rvd25yZXYueG1sUEsBAhQAFAAAAAgAh07iQI89V+M9AgAAZwQAAA4AAAAAAAAAAQAgAAAA&#10;KgEAAGRycy9lMm9Eb2MueG1sUEsFBgAAAAAGAAYAWQEAANkFAAAAAA==&#10;">
                <v:fill on="f" focussize="0,0"/>
                <v:stroke on="f" weight="0.5pt"/>
                <v:imagedata o:title=""/>
                <o:lock v:ext="edit" aspectratio="f"/>
                <v:textbox>
                  <w:txbxContent>
                    <w:p>
                      <w:pPr>
                        <w:rPr>
                          <w:rFonts w:hint="default" w:eastAsia="宋体"/>
                          <w:sz w:val="15"/>
                          <w:szCs w:val="15"/>
                          <w:lang w:val="en-US" w:eastAsia="zh-CN"/>
                        </w:rPr>
                      </w:pPr>
                      <w:r>
                        <w:rPr>
                          <w:rFonts w:hint="eastAsia"/>
                          <w:sz w:val="15"/>
                          <w:szCs w:val="15"/>
                          <w:lang w:val="en-US" w:eastAsia="zh-CN"/>
                        </w:rPr>
                        <w:t>985.6</w:t>
                      </w:r>
                    </w:p>
                  </w:txbxContent>
                </v:textbox>
              </v:shape>
            </w:pict>
          </mc:Fallback>
        </mc:AlternateContent>
      </w: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3465830</wp:posOffset>
                </wp:positionH>
                <wp:positionV relativeFrom="paragraph">
                  <wp:posOffset>1765935</wp:posOffset>
                </wp:positionV>
                <wp:extent cx="592455" cy="304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59245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rPr>
                            </w:pPr>
                            <w:r>
                              <w:rPr>
                                <w:rFonts w:hint="eastAsia"/>
                                <w:sz w:val="15"/>
                                <w:szCs w:val="15"/>
                              </w:rPr>
                              <w:t>15</w:t>
                            </w:r>
                            <w:r>
                              <w:rPr>
                                <w:rFonts w:hint="eastAsia"/>
                                <w:sz w:val="15"/>
                                <w:szCs w:val="15"/>
                                <w:lang w:val="en-US" w:eastAsia="zh-CN"/>
                              </w:rPr>
                              <w:t>82.22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2.9pt;margin-top:139.05pt;height:24pt;width:46.65pt;z-index:251674624;mso-width-relative:page;mso-height-relative:page;" filled="f" stroked="f" coordsize="21600,21600" o:gfxdata="UEsDBAoAAAAAAIdO4kAAAAAAAAAAAAAAAAAEAAAAZHJzL1BLAwQUAAAACACHTuJAX1Itf9wAAAAL&#10;AQAADwAAAGRycy9kb3ducmV2LnhtbE2PzU7DMBCE70i8g7VI3KiTlIQQsqlQpAoJwaGlF26b2E0i&#10;4nWI3R94eswJbjva0cw35epsRnHUsxssI8SLCITm1qqBO4Td2/omB+E8saLRskb40g5W1eVFSYWy&#10;J97o49Z3IoSwKwih934qpHRtrw25hZ00h9/ezoZ8kHMn1UynEG5GmURRJg0NHBp6mnTd6/ZjezAI&#10;z/X6lTZNYvLvsX562T9On7v3FPH6Ko4eQHh99n9m+MUP6FAFpsYeWDkxIqS3aUD3CMldHoMIjmx5&#10;H44GYZlkMciqlP83VD9QSwMEFAAAAAgAh07iQETXkNc9AgAAZwQAAA4AAABkcnMvZTJvRG9jLnht&#10;bK1UzW7bMAy+D9g7CLovdn7XBnGKrEGGAcVaIBt2VmQ5NiCJmqTEzh5ge4Oedtl9z5XnGCU7adDt&#10;0MMuMkVSJL+PpGc3jZJkL6yrQGe030spEZpDXultRj9/Wr25osR5pnMmQYuMHoSjN/PXr2a1mYoB&#10;lCBzYQkG0W5am4yW3ptpkjheCsVcD4zQaCzAKubxardJblmN0ZVMBmk6SWqwubHAhXOoXbZG2kW0&#10;LwkIRVFxsQS+U0L7NqoVknmE5MrKODqP1RaF4P6+KJzwRGYUkfp4YhKUN+FM5jM23Vpmyop3JbCX&#10;lPAMk2KVxqTnUEvmGdnZ6q9QquIWHBS+x0ElLZDICKLop8+4WZfMiIgFqXbmTLr7f2H5x/2DJVWe&#10;0eGEEs0Udvz4+OP48/fx13eCOiSoNm6KfmuDnr55Bw2OzUnvUBlwN4VV4YuICNqR3sOZXtF4wlE5&#10;vh6MxmNKOJqG6egqjfQnT4+Ndf69AEWCkFGL3Yuksv2d81gIup5cQi4Nq0rK2EGpSZ3RyXCcxgdn&#10;C76QGh8GCG2pQfLNpulwbSA/ICwL7WQ4w1cVJr9jzj8wi6OASHBZ/D0ehQRMAp1ESQn227/0wR87&#10;hFZKahytjLqvO2YFJfKDxt5d90ejMIvxMhq/HeDFXlo2lxa9U7eA09vHtTQ8isHfy5NYWFBfcKcW&#10;ISuamOaYO6P+JN76duBxJ7lYLKITTp9h/k6vDQ+hWzoXOw9FFZkONLXcdOzh/MUGdLsSBvzyHr2e&#10;/g/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9SLX/cAAAACwEAAA8AAAAAAAAAAQAgAAAAIgAA&#10;AGRycy9kb3ducmV2LnhtbFBLAQIUABQAAAAIAIdO4kBE15DXPQIAAGcEAAAOAAAAAAAAAAEAIAAA&#10;ACsBAABkcnMvZTJvRG9jLnhtbFBLBQYAAAAABgAGAFkBAADaBQAAAAA=&#10;">
                <v:fill on="f" focussize="0,0"/>
                <v:stroke on="f" weight="0.5pt"/>
                <v:imagedata o:title=""/>
                <o:lock v:ext="edit" aspectratio="f"/>
                <v:textbox>
                  <w:txbxContent>
                    <w:p>
                      <w:pPr>
                        <w:rPr>
                          <w:rFonts w:hint="default" w:eastAsia="宋体"/>
                          <w:sz w:val="15"/>
                          <w:szCs w:val="15"/>
                          <w:lang w:val="en-US" w:eastAsia="zh-CN"/>
                        </w:rPr>
                      </w:pPr>
                      <w:r>
                        <w:rPr>
                          <w:rFonts w:hint="eastAsia"/>
                          <w:sz w:val="15"/>
                          <w:szCs w:val="15"/>
                        </w:rPr>
                        <w:t>15</w:t>
                      </w:r>
                      <w:r>
                        <w:rPr>
                          <w:rFonts w:hint="eastAsia"/>
                          <w:sz w:val="15"/>
                          <w:szCs w:val="15"/>
                          <w:lang w:val="en-US" w:eastAsia="zh-CN"/>
                        </w:rPr>
                        <w:t>82.22</w:t>
                      </w:r>
                    </w:p>
                  </w:txbxContent>
                </v:textbox>
              </v:shape>
            </w:pict>
          </mc:Fallback>
        </mc:AlternateContent>
      </w: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2351405</wp:posOffset>
                </wp:positionH>
                <wp:positionV relativeFrom="paragraph">
                  <wp:posOffset>1794510</wp:posOffset>
                </wp:positionV>
                <wp:extent cx="592455" cy="304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59245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rPr>
                            </w:pPr>
                            <w:r>
                              <w:rPr>
                                <w:rFonts w:hint="eastAsia"/>
                                <w:sz w:val="15"/>
                                <w:szCs w:val="15"/>
                              </w:rPr>
                              <w:t>15</w:t>
                            </w:r>
                            <w:r>
                              <w:rPr>
                                <w:rFonts w:hint="eastAsia"/>
                                <w:sz w:val="15"/>
                                <w:szCs w:val="15"/>
                                <w:lang w:val="en-US" w:eastAsia="zh-CN"/>
                              </w:rPr>
                              <w:t>82.22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15pt;margin-top:141.3pt;height:24pt;width:46.65pt;z-index:251673600;mso-width-relative:page;mso-height-relative:page;" filled="f" stroked="f" coordsize="21600,21600" o:gfxdata="UEsDBAoAAAAAAIdO4kAAAAAAAAAAAAAAAAAEAAAAZHJzL1BLAwQUAAAACACHTuJApnfC9tsAAAAL&#10;AQAADwAAAGRycy9kb3ducmV2LnhtbE2PTU/DMAyG70j8h8hI3FiyFkpVmk6o0oSE4LCxCze3ydqK&#10;xilN9gG/HnOCm6330evH5ersRnG0cxg8aVguFAhLrTcDdRp2b+ubHESISAZHT1bDlw2wqi4vSiyM&#10;P9HGHrexE1xCoUANfYxTIWVoe+swLPxkibO9nx1GXudOmhlPXO5GmSiVSYcD8YUeJ1v3tv3YHpyG&#10;53r9ipsmcfn3WD+97B+nz937ndbXV0v1ACLac/yD4Vef1aFip8YfyAQxakjvVcqohiRPMhBM3GYp&#10;Dw1HqcpAVqX8/0P1A1BLAwQUAAAACACHTuJA61CkNT0CAABnBAAADgAAAGRycy9lMm9Eb2MueG1s&#10;rVRLbtswEN0X6B0I7mvJvzQxIgdughQFjCZAWnRNU5QlgL+StCX3AO0Nsuqm+54r5+gjZTtB2kUW&#10;3VDDmeHMvDczOr/olCRb4XxjdEGHg5wSobkpG70u6OdP129OKfGB6ZJJo0VBd8LTi/nrV+etnYmR&#10;qY0shSMIov2stQWtQ7CzLPO8For5gbFCw1gZp1jA1a2z0rEW0ZXMRnl+krXGldYZLryH9qo30n1E&#10;95KApqoaLq4M3yihQx/VCckCIPm6sZ7OU7VVJXi4qSovApEFBdKQTiSBvIpnNj9ns7Vjtm74vgT2&#10;khKeYVKs0Uh6DHXFAiMb1/wVSjXcGW+qMOBGZT2QxAhQDPNn3NzVzIqEBVR7eyTd/7+w/OP21pGm&#10;LOh4SolmCh1/uP/x8PP3w6/vBDoQ1Fo/g9+dhWfo3pkOY3PQeygj7q5yKn6BiMAOendHekUXCIdy&#10;ejaaTJGFwzTOJ6d5oj97fGydD++FUSQKBXXoXiKVbZc+oBC4HlxiLm2uGylTB6UmbUFPxtM8PTha&#10;8EJqPIwQ+lKjFLpVt8e1MuUOsJzpJ8Nbft0g+ZL5cMscRgFIsCzhBkclDZKYvURJbdy3f+mjPzoE&#10;KyUtRqug/uuGOUGJ/KDRu7PhZBJnMV0m07cjXNxTy+qpRW/UpcH0DrGWlicx+gd5ECtn1Bfs1CJm&#10;hYlpjtwFDQfxMvQDj53kYrFITpg+y8JS31keQ/d0LjbBVE1iOtLUc7NnD/OXGrDflTjgT+/J6/H/&#10;MP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nfC9tsAAAALAQAADwAAAAAAAAABACAAAAAiAAAA&#10;ZHJzL2Rvd25yZXYueG1sUEsBAhQAFAAAAAgAh07iQOtQpDU9AgAAZwQAAA4AAAAAAAAAAQAgAAAA&#10;KgEAAGRycy9lMm9Eb2MueG1sUEsFBgAAAAAGAAYAWQEAANkFAAAAAA==&#10;">
                <v:fill on="f" focussize="0,0"/>
                <v:stroke on="f" weight="0.5pt"/>
                <v:imagedata o:title=""/>
                <o:lock v:ext="edit" aspectratio="f"/>
                <v:textbox>
                  <w:txbxContent>
                    <w:p>
                      <w:pPr>
                        <w:rPr>
                          <w:rFonts w:hint="default" w:eastAsia="宋体"/>
                          <w:sz w:val="15"/>
                          <w:szCs w:val="15"/>
                          <w:lang w:val="en-US" w:eastAsia="zh-CN"/>
                        </w:rPr>
                      </w:pPr>
                      <w:r>
                        <w:rPr>
                          <w:rFonts w:hint="eastAsia"/>
                          <w:sz w:val="15"/>
                          <w:szCs w:val="15"/>
                        </w:rPr>
                        <w:t>15</w:t>
                      </w:r>
                      <w:r>
                        <w:rPr>
                          <w:rFonts w:hint="eastAsia"/>
                          <w:sz w:val="15"/>
                          <w:szCs w:val="15"/>
                          <w:lang w:val="en-US" w:eastAsia="zh-CN"/>
                        </w:rPr>
                        <w:t>82.22</w:t>
                      </w:r>
                    </w:p>
                  </w:txbxContent>
                </v:textbox>
              </v:shape>
            </w:pict>
          </mc:Fallback>
        </mc:AlternateContent>
      </w: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1113155</wp:posOffset>
                </wp:positionH>
                <wp:positionV relativeFrom="paragraph">
                  <wp:posOffset>1784985</wp:posOffset>
                </wp:positionV>
                <wp:extent cx="592455" cy="304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59245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rPr>
                            </w:pPr>
                            <w:r>
                              <w:rPr>
                                <w:rFonts w:hint="eastAsia"/>
                                <w:sz w:val="15"/>
                                <w:szCs w:val="15"/>
                                <w:lang w:val="en-US" w:eastAsia="zh-CN"/>
                              </w:rPr>
                              <w:t>1582.22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65pt;margin-top:140.55pt;height:24pt;width:46.65pt;z-index:251672576;mso-width-relative:page;mso-height-relative:page;" filled="f" stroked="f" coordsize="21600,21600" o:gfxdata="UEsDBAoAAAAAAIdO4kAAAAAAAAAAAAAAAAAEAAAAZHJzL1BLAwQUAAAACACHTuJAwF/pXdwAAAAL&#10;AQAADwAAAGRycy9kb3ducmV2LnhtbE2Py07DMBBF90j8gzVI7KhjVw1pGqdCkSokBIuWbtg58TSJ&#10;iO0Quw/4eoZVWV7N0b1nivXFDuyEU+i9UyBmCTB0jTe9axXs3zcPGbAQtTN68A4VfGOAdXl7U+jc&#10;+LPb4mkXW0YlLuRaQRfjmHMemg6tDjM/oqPbwU9WR4pTy82kz1RuBy6TJOVW944WOj1i1WHzuTta&#10;BS/V5k1va2mzn6F6fj08jV/7j4VS93ciWQGLeIlXGP70SR1Kcqr90ZnABsqPizmhCmQmBDAiZJql&#10;wGoFc7kUwMuC//+h/AVQSwMEFAAAAAgAh07iQNGsxlw+AgAAZwQAAA4AAABkcnMvZTJvRG9jLnht&#10;bK1UwW7bMAy9D9g/CLovdtIka4M4RdYgw4BgLZANOyuyHBuQRE1SYmcfsP1BT7vsvu/Kd4ySnTTo&#10;duhhF5kiKZLvkfT0tlGS7IV1FeiM9nspJUJzyCu9zejnT8s315Q4z3TOJGiR0YNw9Hb2+tW0NhMx&#10;gBJkLizBINpNapPR0nszSRLHS6GY64ERGo0FWMU8Xu02yS2rMbqSySBNx0kNNjcWuHAOtYvWSLuI&#10;9iUBoSgqLhbAd0po30a1QjKPkFxZGUdnsdqiENzfF4UTnsiMIlIfT0yC8iacyWzKJlvLTFnxrgT2&#10;khKeYVKs0pj0HGrBPCM7W/0VSlXcgoPC9ziopAUSGUEU/fQZN+uSGRGxINXOnEl3/y8s/7h/sKTK&#10;MzoYU6KZwo4fH38cf/4+/vpOUIcE1cZN0G9t0NM376DBsTnpHSoD7qawKnwREUE70ns40ysaTzgq&#10;RzeD4WhECUfTVTq8TiP9ydNjY51/L0CRIGTUYvciqWy/ch4LQdeTS8ilYVlJGTsoNakzOr4apfHB&#10;2YIvpMaHAUJbapB8s2k6XBvIDwjLQjsZzvBlhclXzPkHZnEUEAkui7/Ho5CASaCTKCnBfvuXPvhj&#10;h9BKSY2jlVH3dcesoER+0Ni7m/5wGGYxXoajtwO82EvL5tKid+oOcHr7uJaGRzH4e3kSCwvqC+7U&#10;PGRFE9Mcc2fUn8Q73w487iQX83l0wukzzK/02vAQuqVzvvNQVJHpQFPLTccezl9sQLcrYcAv79Hr&#10;6f8w+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AX+ld3AAAAAsBAAAPAAAAAAAAAAEAIAAAACIA&#10;AABkcnMvZG93bnJldi54bWxQSwECFAAUAAAACACHTuJA0azGXD4CAABnBAAADgAAAAAAAAABACAA&#10;AAArAQAAZHJzL2Uyb0RvYy54bWxQSwUGAAAAAAYABgBZAQAA2wUAAAAA&#10;">
                <v:fill on="f" focussize="0,0"/>
                <v:stroke on="f" weight="0.5pt"/>
                <v:imagedata o:title=""/>
                <o:lock v:ext="edit" aspectratio="f"/>
                <v:textbox>
                  <w:txbxContent>
                    <w:p>
                      <w:pPr>
                        <w:rPr>
                          <w:rFonts w:hint="default" w:eastAsia="宋体"/>
                          <w:sz w:val="15"/>
                          <w:szCs w:val="15"/>
                          <w:lang w:val="en-US" w:eastAsia="zh-CN"/>
                        </w:rPr>
                      </w:pPr>
                      <w:r>
                        <w:rPr>
                          <w:rFonts w:hint="eastAsia"/>
                          <w:sz w:val="15"/>
                          <w:szCs w:val="15"/>
                          <w:lang w:val="en-US" w:eastAsia="zh-CN"/>
                        </w:rPr>
                        <w:t>1582.22</w:t>
                      </w:r>
                    </w:p>
                  </w:txbxContent>
                </v:textbox>
              </v:shape>
            </w:pict>
          </mc:Fallback>
        </mc:AlternateContent>
      </w:r>
      <w:r>
        <w:rPr>
          <w:color w:val="auto"/>
          <w:highlight w:val="none"/>
        </w:rPr>
        <w:drawing>
          <wp:inline distT="0" distB="0" distL="114300" distR="114300">
            <wp:extent cx="5010150" cy="3248025"/>
            <wp:effectExtent l="0" t="0" r="0"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1"/>
                    <a:stretch>
                      <a:fillRect/>
                    </a:stretch>
                  </pic:blipFill>
                  <pic:spPr>
                    <a:xfrm>
                      <a:off x="0" y="0"/>
                      <a:ext cx="5010150" cy="3248025"/>
                    </a:xfrm>
                    <a:prstGeom prst="rect">
                      <a:avLst/>
                    </a:prstGeom>
                    <a:noFill/>
                    <a:ln>
                      <a:noFill/>
                    </a:ln>
                  </pic:spPr>
                </pic:pic>
              </a:graphicData>
            </a:graphic>
          </wp:inline>
        </w:drawing>
      </w: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2170430</wp:posOffset>
                </wp:positionH>
                <wp:positionV relativeFrom="paragraph">
                  <wp:posOffset>641985</wp:posOffset>
                </wp:positionV>
                <wp:extent cx="592455" cy="304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59245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15"/>
                                <w:szCs w:val="15"/>
                              </w:rPr>
                            </w:pPr>
                            <w:r>
                              <w:rPr>
                                <w:rFonts w:hint="eastAsia"/>
                                <w:sz w:val="15"/>
                                <w:szCs w:val="15"/>
                              </w:rPr>
                              <w:t>25245.15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0.9pt;margin-top:50.55pt;height:24pt;width:46.65pt;z-index:251671552;mso-width-relative:page;mso-height-relative:page;" filled="f" stroked="f" coordsize="21600,21600" o:gfxdata="UEsDBAoAAAAAAIdO4kAAAAAAAAAAAAAAAAAEAAAAZHJzL1BLAwQUAAAACACHTuJANt6e9tsAAAAL&#10;AQAADwAAAGRycy9kb3ducmV2LnhtbE2PzU7DMBCE70i8g7VI3KjtNkVtGqdCkSokBIeWXrg5sZtE&#10;2OsQuz/w9CynctvdGc1+U6wv3rGTHWMfUIGcCGAWm2B6bBXs3zcPC2AxaTTaBbQKvm2EdXl7U+jc&#10;hDNu7WmXWkYhGHOtoEtpyDmPTWe9jpMwWCTtEEavE61jy82ozxTuHZ8K8ci97pE+dHqwVWebz93R&#10;K3ipNm96W0/94sdVz6+Hp+Fr/zFX6v5OihWwZC/paoY/fEKHkpjqcEQTmVMwyyShJxKElMDIkc3m&#10;NNR0yZYSeFnw/x3KX1BLAwQUAAAACACHTuJAfivyvj0CAABnBAAADgAAAGRycy9lMm9Eb2MueG1s&#10;rVTNbtswDL4P2DsIuq920qRrgzhF1qDDgGIt0A07K7IcG9DfJCV29gDbG/S0y+57rj7HPslJGnQ7&#10;9LCLTJEUye8j6ellpyTZCOcbows6OMkpEZqbstGrgn7+dP3mnBIfmC6ZNFoUdCs8vZy9fjVt7UQM&#10;TW1kKRxBEO0nrS1oHYKdZJnntVDMnxgrNIyVcYoFXN0qKx1rEV3JbJjnZ1lrXGmd4cJ7aBe9ke4i&#10;upcENFXVcLEwfK2EDn1UJyQLgOTrxno6S9VWleDhtqq8CEQWFEhDOpEE8jKe2WzKJivHbN3wXQns&#10;JSU8w6RYo5H0EGrBAiNr1/wVSjXcGW+qcMKNynogiRGgGOTPuLmvmRUJC6j29kC6/39h+cfNnSNN&#10;WdDhmBLNFDr++PDj8efvx1/fCXQgqLV+Ar97C8/QvTMdxmav91BG3F3lVPwCEYEd9G4P9IouEA7l&#10;+GI4GiMLh+k0H53nif7s6bF1PrwXRpEoFNShe4lUtrnxAYXAde8Sc2lz3UiZOig1aQt6djrO04OD&#10;BS+kxsMIoS81SqFbdjtcS1NuAcuZfjK85dcNkt8wH+6YwygACZYl3OKopEESs5MoqY379i999EeH&#10;YKWkxWgV1H9dMycokR80encxGI3iLKbLaPx2iIs7tiyPLXqtrgymd4C1tDyJ0T/IvVg5o75gp+Yx&#10;K0xMc+QuaNiLV6EfeOwkF/N5csL0WRZu9L3lMXRP53wdTNUkpiNNPTc79jB/qQG7XYkDfnxPXk//&#10;h9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t6e9tsAAAALAQAADwAAAAAAAAABACAAAAAiAAAA&#10;ZHJzL2Rvd25yZXYueG1sUEsBAhQAFAAAAAgAh07iQH4r8r49AgAAZwQAAA4AAAAAAAAAAQAgAAAA&#10;KgEAAGRycy9lMm9Eb2MueG1sUEsFBgAAAAAGAAYAWQEAANkFAAAAAA==&#10;">
                <v:fill on="f" focussize="0,0"/>
                <v:stroke on="f" weight="0.5pt"/>
                <v:imagedata o:title=""/>
                <o:lock v:ext="edit" aspectratio="f"/>
                <v:textbox>
                  <w:txbxContent>
                    <w:p>
                      <w:pPr>
                        <w:rPr>
                          <w:sz w:val="15"/>
                          <w:szCs w:val="15"/>
                        </w:rPr>
                      </w:pPr>
                      <w:r>
                        <w:rPr>
                          <w:rFonts w:hint="eastAsia"/>
                          <w:sz w:val="15"/>
                          <w:szCs w:val="15"/>
                        </w:rPr>
                        <w:t>25245.15</w:t>
                      </w:r>
                    </w:p>
                  </w:txbxContent>
                </v:textbox>
              </v:shape>
            </w:pict>
          </mc:Fallback>
        </mc:AlternateContent>
      </w: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1122680</wp:posOffset>
                </wp:positionH>
                <wp:positionV relativeFrom="paragraph">
                  <wp:posOffset>889635</wp:posOffset>
                </wp:positionV>
                <wp:extent cx="592455" cy="304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59245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highlight w:val="none"/>
                                <w:lang w:val="en-US" w:eastAsia="zh-CN"/>
                              </w:rPr>
                            </w:pPr>
                            <w:r>
                              <w:rPr>
                                <w:rFonts w:hint="eastAsia"/>
                                <w:sz w:val="15"/>
                                <w:szCs w:val="15"/>
                                <w:highlight w:val="none"/>
                                <w:lang w:val="en-US" w:eastAsia="zh-CN"/>
                              </w:rPr>
                              <w:t>2690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4pt;margin-top:70.05pt;height:24pt;width:46.65pt;z-index:251670528;mso-width-relative:page;mso-height-relative:page;" filled="f" stroked="f" coordsize="21600,21600" o:gfxdata="UEsDBAoAAAAAAIdO4kAAAAAAAAAAAAAAAAAEAAAAZHJzL1BLAwQUAAAACACHTuJA8COYbdoAAAAL&#10;AQAADwAAAGRycy9kb3ducmV2LnhtbE2PzU7DMBCE70i8g7VI3KidCNooxKlQpAoJwaGlF26beJtE&#10;xHaI3R/69N2e4DazO5r9tlie7CAONIXeOw3JTIEg13jTu1bD9nP1kIEIEZ3BwTvS8EsBluXtTYG5&#10;8Ue3psMmtoJLXMhRQxfjmEsZmo4shpkfyfFu5yeLke3USjPhkcvtIFOl5tJi7/hChyNVHTXfm73V&#10;8FatPnBdpzY7D9Xr++5l/Nl+PWl9f5eoZxCRTvEvDFd8RoeSmWq/dyaIgf1izuiRxaNKQHAiXVxF&#10;zZMsS0CWhfz/Q3kBUEsDBBQAAAAIAIdO4kAkVDFWPgIAAGcEAAAOAAAAZHJzL2Uyb0RvYy54bWyt&#10;VMFu2zAMvQ/YPwi6L3ZSp2uDOEXWIMOAYi2QDTsrshwbkERNUmJnH7D9QU+77L7vyneMkp006Hbo&#10;YReZIimS75H09KZVkuyEdTXonA4HKSVCcyhqvcnp50/LN1eUOM90wSRokdO9cPRm9vrVtDETMYIK&#10;ZCEswSDaTRqT08p7M0kSxyuhmBuAERqNJVjFPF7tJiksazC6kskoTS+TBmxhLHDhHGoXnZH2Ee1L&#10;AkJZ1lwsgG+V0L6LaoVkHiG5qjaOzmK1ZSm4vy9LJzyROUWkPp6YBOV1OJPZlE02lpmq5n0J7CUl&#10;PMOkWK0x6SnUgnlGtrb+K5SquQUHpR9wUEkHJDKCKIbpM25WFTMiYkGqnTmR7v5fWP5x92BJXeR0&#10;lFGimcKOHx5/HH7+Pvz6TlCHBDXGTdBvZdDTt++gxbE56h0qA+62tCp8ERFBO9K7P9ErWk84KsfX&#10;o2w8poSj6SLNrtJIf/L02Fjn3wtQJAg5tdi9SCrb3TmPhaDr0SXk0rCspYwdlJo0Ob28GKfxwcmC&#10;L6TGhwFCV2qQfLtue1xrKPYIy0I3Gc7wZY3J75jzD8ziKCASXBZ/j0cpAZNAL1FSgf32L33wxw6h&#10;lZIGRyun7uuWWUGJ/KCxd9fDLAuzGC/Z+O0IL/bcsj636K26BZzeIa6l4VEM/l4exdKC+oI7NQ9Z&#10;0cQ0x9w59Ufx1ncDjzvJxXwenXD6DPN3emV4CN3ROd96KOvIdKCp46ZnD+cvNqDflTDg5/fo9fR/&#10;m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8COYbdoAAAALAQAADwAAAAAAAAABACAAAAAiAAAA&#10;ZHJzL2Rvd25yZXYueG1sUEsBAhQAFAAAAAgAh07iQCRUMVY+AgAAZwQAAA4AAAAAAAAAAQAgAAAA&#10;KQEAAGRycy9lMm9Eb2MueG1sUEsFBgAAAAAGAAYAWQEAANkFAAAAAA==&#10;">
                <v:fill on="f" focussize="0,0"/>
                <v:stroke on="f" weight="0.5pt"/>
                <v:imagedata o:title=""/>
                <o:lock v:ext="edit" aspectratio="f"/>
                <v:textbox>
                  <w:txbxContent>
                    <w:p>
                      <w:pPr>
                        <w:rPr>
                          <w:rFonts w:hint="default" w:eastAsia="宋体"/>
                          <w:sz w:val="15"/>
                          <w:szCs w:val="15"/>
                          <w:highlight w:val="none"/>
                          <w:lang w:val="en-US" w:eastAsia="zh-CN"/>
                        </w:rPr>
                      </w:pPr>
                      <w:r>
                        <w:rPr>
                          <w:rFonts w:hint="eastAsia"/>
                          <w:sz w:val="15"/>
                          <w:szCs w:val="15"/>
                          <w:highlight w:val="none"/>
                          <w:lang w:val="en-US" w:eastAsia="zh-CN"/>
                        </w:rPr>
                        <w:t>2690</w:t>
                      </w:r>
                    </w:p>
                  </w:txbxContent>
                </v:textbox>
              </v:shape>
            </w:pict>
          </mc:Fallback>
        </mc:AlternateContent>
      </w:r>
      <w:r>
        <w:rPr>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2360930</wp:posOffset>
                </wp:positionH>
                <wp:positionV relativeFrom="paragraph">
                  <wp:posOffset>13335</wp:posOffset>
                </wp:positionV>
                <wp:extent cx="592455" cy="304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59245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rPr>
                            </w:pPr>
                            <w:r>
                              <w:rPr>
                                <w:rFonts w:hint="eastAsia"/>
                                <w:sz w:val="15"/>
                                <w:szCs w:val="15"/>
                                <w:lang w:val="en-US" w:eastAsia="zh-CN"/>
                              </w:rPr>
                              <w:t>1408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9pt;margin-top:1.05pt;height:24pt;width:46.65pt;z-index:251669504;mso-width-relative:page;mso-height-relative:page;" filled="f" stroked="f" coordsize="21600,21600" o:gfxdata="UEsDBAoAAAAAAIdO4kAAAAAAAAAAAAAAAAAEAAAAZHJzL1BLAwQUAAAACACHTuJAAiMLE9kAAAAI&#10;AQAADwAAAGRycy9kb3ducmV2LnhtbE2PS0/DMBCE70j8B2uRuFHbgZQqzaZCkSokBIeWXnpzYjeJ&#10;8CPE7gN+PcsJbjua0cy35eriLDuZKQ7BI8iZAGZ8G/TgO4Td+/puASwm5bWywRuELxNhVV1flarQ&#10;4ew35rRNHaMSHwuF0Kc0FpzHtjdOxVkYjSfvECanEsmp43pSZyp3lmdCzLlTg6eFXo2m7k37sT06&#10;hJd6/aY2TeYW37Z+fj08jZ+7fY54eyPFElgyl/QXhl98QoeKmJpw9Doyi3D/KAk9IWQSGPkP85yO&#10;BiEXEnhV8v8PVD9QSwMEFAAAAAgAh07iQGEi6qE+AgAAZwQAAA4AAABkcnMvZTJvRG9jLnhtbK1U&#10;zW7bMAy+D9g7CLovdv66NohTZA0yDAjWAtmwsyLLsQFJ1CQldvYA2xv0tMvue648xyjZSYNuhx52&#10;kSmSIvl9JD29bZQke2FdBTqj/V5KidAc8kpvM/r50/LNNSXOM50zCVpk9CAcvZ29fjWtzUQMoASZ&#10;C0swiHaT2mS09N5MksTxUijmemCERmMBVjGPV7tNcstqjK5kMkjTq6QGmxsLXDiH2kVrpF1E+5KA&#10;UBQVFwvgOyW0b6NaIZlHSK6sjKOzWG1RCO7vi8IJT2RGEamPJyZBeRPOZDZlk61lpqx4VwJ7SQnP&#10;MClWaUx6DrVgnpGdrf4KpSpuwUHhexxU0gKJjCCKfvqMm3XJjIhYkGpnzqS7/xeWf9w/WFLlGR0M&#10;KdFMYcePjz+OP38ff30nqEOCauMm6Lc26Ombd9Dg2Jz0DpUBd1NYFb6IiKAd6T2c6RWNJxyV45vB&#10;aDymhKNpmI6u00h/8vTYWOffC1AkCBm12L1IKtuvnMdC0PXkEnJpWFZSxg5KTeqMXg3HaXxwtuAL&#10;qfFhgNCWGiTfbJoO1wbyA8Ky0E6GM3xZYfIVc/6BWRwFRILL4u/xKCRgEugkSkqw3/6lD/7YIbRS&#10;UuNoZdR93TErKJEfNPbupj8ahVmMl9H47QAv9tKyubTonboDnN4+rqXhUQz+Xp7EwoL6gjs1D1nR&#10;xDTH3Bn1J/HOtwOPO8nFfB6dcPoM8yu9NjyEbumc7zwUVWQ60NRy07GH8xcb0O1KGPDLe/R6+j/M&#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CIwsT2QAAAAgBAAAPAAAAAAAAAAEAIAAAACIAAABk&#10;cnMvZG93bnJldi54bWxQSwECFAAUAAAACACHTuJAYSLqoT4CAABnBAAADgAAAAAAAAABACAAAAAo&#10;AQAAZHJzL2Uyb0RvYy54bWxQSwUGAAAAAAYABgBZAQAA2AUAAAAA&#10;">
                <v:fill on="f" focussize="0,0"/>
                <v:stroke on="f" weight="0.5pt"/>
                <v:imagedata o:title=""/>
                <o:lock v:ext="edit" aspectratio="f"/>
                <v:textbox>
                  <w:txbxContent>
                    <w:p>
                      <w:pPr>
                        <w:rPr>
                          <w:rFonts w:hint="default" w:eastAsia="宋体"/>
                          <w:sz w:val="15"/>
                          <w:szCs w:val="15"/>
                          <w:lang w:val="en-US" w:eastAsia="zh-CN"/>
                        </w:rPr>
                      </w:pPr>
                      <w:r>
                        <w:rPr>
                          <w:rFonts w:hint="eastAsia"/>
                          <w:sz w:val="15"/>
                          <w:szCs w:val="15"/>
                          <w:lang w:val="en-US" w:eastAsia="zh-CN"/>
                        </w:rPr>
                        <w:t>1408</w:t>
                      </w:r>
                    </w:p>
                  </w:txbxContent>
                </v:textbox>
              </v:shape>
            </w:pict>
          </mc:Fallback>
        </mc:AlternateContent>
      </w:r>
      <w:r>
        <w:rPr>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1122680</wp:posOffset>
                </wp:positionH>
                <wp:positionV relativeFrom="paragraph">
                  <wp:posOffset>22860</wp:posOffset>
                </wp:positionV>
                <wp:extent cx="592455" cy="304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59245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rPr>
                            </w:pPr>
                            <w:r>
                              <w:rPr>
                                <w:rFonts w:hint="eastAsia"/>
                                <w:sz w:val="15"/>
                                <w:szCs w:val="15"/>
                                <w:lang w:val="en-US" w:eastAsia="zh-CN"/>
                              </w:rPr>
                              <w:t>1408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4pt;margin-top:1.8pt;height:24pt;width:46.65pt;z-index:251668480;mso-width-relative:page;mso-height-relative:page;" filled="f" stroked="f" coordsize="21600,21600" o:gfxdata="UEsDBAoAAAAAAIdO4kAAAAAAAAAAAAAAAAAEAAAAZHJzL1BLAwQUAAAACACHTuJADKN+JNkAAAAI&#10;AQAADwAAAGRycy9kb3ducmV2LnhtbE2PzU7DMBCE70i8g7VI3KidoKZViFOhSBUSooeWXrht4m0S&#10;Ea9D7P7A09ec4Dia0cw3xepiB3GiyfeONSQzBYK4cabnVsP+ff2wBOEDssHBMWn4Jg+r8vamwNy4&#10;M2/ptAutiCXsc9TQhTDmUvqmI4t+5kbi6B3cZDFEObXSTHiO5XaQqVKZtNhzXOhwpKqj5nN3tBpe&#10;q/UGt3Vqlz9D9fJ2eB6/9h9zre/vEvUEItAl/IXhFz+iQxmZandk48UQ9SKL6EHDYwYi+ulCJSBq&#10;DfMkA1kW8v+B8gpQSwMEFAAAAAgAh07iQDtdKUk+AgAAZwQAAA4AAABkcnMvZTJvRG9jLnhtbK1U&#10;wW7bMAy9D9g/CLovdtyka4M4RdYgw4BiLZANOyuyHBuQRE1SYmcfsP1BT7vsvu/Kd4ySnTToduhh&#10;F5kiKZLvkfT0plWS7IR1NeicDgcpJUJzKGq9yennT8s3V5Q4z3TBJGiR071w9Gb2+tW0MRORQQWy&#10;EJZgEO0mjclp5b2ZJInjlVDMDcAIjcYSrGIer3aTFJY1GF3JJEvTy6QBWxgLXDiH2kVnpH1E+5KA&#10;UJY1FwvgWyW076JaIZlHSK6qjaOzWG1ZCu7vy9IJT2ROEamPJyZBeR3OZDZlk41lpqp5XwJ7SQnP&#10;MClWa0x6CrVgnpGtrf8KpWpuwUHpBxxU0gGJjCCKYfqMm1XFjIhYkGpnTqS7/xeWf9w9WFIXOc0y&#10;SjRT2PHD44/Dz9+HX98J6pCgxrgJ+q0Mevr2HbQ4Nke9Q2XA3ZZWhS8iImhHevcnekXrCUfl+Dob&#10;jceUcDRdpKOrNNKfPD021vn3AhQJQk4tdi+SynZ3zmMh6Hp0Cbk0LGspYwelJk1OLy/GaXxwsuAL&#10;qfFhgNCVGiTfrtse1xqKPcKy0E2GM3xZY/I75vwDszgKiASXxd/jUUrAJNBLlFRgv/1LH/yxQ2il&#10;pMHRyqn7umVWUCI/aOzd9XA0CrMYL6Px2wwv9tyyPrforboFnN4hrqXhUQz+Xh7F0oL6gjs1D1nR&#10;xDTH3Dn1R/HWdwOPO8nFfB6dcPoM83d6ZXgI3dE533oo68h0oKnjpmcP5y82oN+VMODn9+j19H+Y&#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Mo34k2QAAAAgBAAAPAAAAAAAAAAEAIAAAACIAAABk&#10;cnMvZG93bnJldi54bWxQSwECFAAUAAAACACHTuJAO10pST4CAABnBAAADgAAAAAAAAABACAAAAAo&#10;AQAAZHJzL2Uyb0RvYy54bWxQSwUGAAAAAAYABgBZAQAA2AUAAAAA&#10;">
                <v:fill on="f" focussize="0,0"/>
                <v:stroke on="f" weight="0.5pt"/>
                <v:imagedata o:title=""/>
                <o:lock v:ext="edit" aspectratio="f"/>
                <v:textbox>
                  <w:txbxContent>
                    <w:p>
                      <w:pPr>
                        <w:rPr>
                          <w:rFonts w:hint="default" w:eastAsia="宋体"/>
                          <w:sz w:val="15"/>
                          <w:szCs w:val="15"/>
                          <w:lang w:val="en-US" w:eastAsia="zh-CN"/>
                        </w:rPr>
                      </w:pPr>
                      <w:r>
                        <w:rPr>
                          <w:rFonts w:hint="eastAsia"/>
                          <w:sz w:val="15"/>
                          <w:szCs w:val="15"/>
                          <w:lang w:val="en-US" w:eastAsia="zh-CN"/>
                        </w:rPr>
                        <w:t>1408</w:t>
                      </w:r>
                    </w:p>
                  </w:txbxContent>
                </v:textbox>
              </v:shape>
            </w:pict>
          </mc:Fallback>
        </mc:AlternateContent>
      </w: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427355</wp:posOffset>
                </wp:positionH>
                <wp:positionV relativeFrom="paragraph">
                  <wp:posOffset>1613535</wp:posOffset>
                </wp:positionV>
                <wp:extent cx="592455" cy="304800"/>
                <wp:effectExtent l="0" t="0" r="17145" b="0"/>
                <wp:wrapNone/>
                <wp:docPr id="61" name="文本框 61"/>
                <wp:cNvGraphicFramePr/>
                <a:graphic xmlns:a="http://schemas.openxmlformats.org/drawingml/2006/main">
                  <a:graphicData uri="http://schemas.microsoft.com/office/word/2010/wordprocessingShape">
                    <wps:wsp>
                      <wps:cNvSpPr txBox="1"/>
                      <wps:spPr>
                        <a:xfrm>
                          <a:off x="0" y="0"/>
                          <a:ext cx="59245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15"/>
                                <w:szCs w:val="15"/>
                                <w:highlight w:val="none"/>
                              </w:rPr>
                            </w:pPr>
                            <w:r>
                              <w:rPr>
                                <w:rFonts w:hint="eastAsia"/>
                                <w:sz w:val="15"/>
                                <w:szCs w:val="15"/>
                                <w:highlight w:val="none"/>
                              </w:rPr>
                              <w:t>6665.82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65pt;margin-top:127.05pt;height:24pt;width:46.65pt;z-index:251667456;mso-width-relative:page;mso-height-relative:page;" filled="f" stroked="f" coordsize="21600,21600" o:gfxdata="UEsDBAoAAAAAAIdO4kAAAAAAAAAAAAAAAAAEAAAAZHJzL1BLAwQUAAAACACHTuJAThDdEtsAAAAK&#10;AQAADwAAAGRycy9kb3ducmV2LnhtbE2Py07DMBBF90j8gzVI7KidlIYqZFKhSBUSgkVLN+yceJpE&#10;xOMQuw/4etwVLEf36N4zxepsB3GkyfeOEZKZAkHcONNzi7B7X98tQfig2ejBMSF8k4dVeX1V6Ny4&#10;E2/ouA2tiCXsc43QhTDmUvqmI6v9zI3EMdu7yeoQz6mVZtKnWG4HmSqVSat7jgudHqnqqPncHizC&#10;S7V+05s6tcufoXp+3T+NX7uPBeLtTaIeQQQ6hz8YLvpRHcroVLsDGy8GhOxhHkmEdHGfgLgAmcpA&#10;1AhzlSYgy0L+f6H8BVBLAwQUAAAACACHTuJAAz7X6zwCAABnBAAADgAAAGRycy9lMm9Eb2MueG1s&#10;rVTNbhMxEL4j8Q6W73Q3aVLaKJsqNCpCqmilgjg7Xm92Jf9hO9kNDwBv0BMX7jxXn4PP3iSNCoce&#10;uGzGM+OZ+b75nOllpyTZCOcbows6OMkpEZqbstGrgn7+dP3mnBIfmC6ZNFoUdCs8vZy9fjVt7UQM&#10;TW1kKRxBEe0nrS1oHYKdZJnntVDMnxgrNIKVcYoFHN0qKx1rUV3JbJjnZ1lrXGmd4cJ7eBd9kO4q&#10;upcUNFXVcLEwfK2EDn1VJyQLgOTrxno6S9NWleDhtqq8CEQWFEhD+qIJ7GX8ZrMpm6wcs3XDdyOw&#10;l4zwDJNijUbTQ6kFC4ysXfNXKdVwZ7ypwgk3KuuBJEaAYpA/4+a+ZlYkLKDa2wPp/v+V5R83d440&#10;ZUHPBpRoprDxx4cfjz9/P/76TuADQa31E+TdW2SG7p3pIJu938MZcXeVU/EXiAjioHd7oFd0gXA4&#10;xxfD0XhMCUfoNB+d54n+7OmydT68F0aRaBTUYXuJVLa58QGDIHWfEntpc91ImTYoNWkB4XScpwuH&#10;CG5IjYsRQj9qtEK37Ha4lqbcApYzvTK85dcNmt8wH+6YgxSABI8l3OJTSYMmZmdRUhv37V/+mI8N&#10;IUpJC2kV1H9dMycokR80dncxGI2iFtNhNH47xMEdR5bHEb1WVwbqxXowXTJjfpB7s3JGfcGbmseu&#10;CDHN0bugYW9ehV7weJNczOcpCeqzLNzoe8tj6Z7O+TqYqklMR5p6bnbsQX9pAbu3EgV+fE5ZT/8P&#10;s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OEN0S2wAAAAoBAAAPAAAAAAAAAAEAIAAAACIAAABk&#10;cnMvZG93bnJldi54bWxQSwECFAAUAAAACACHTuJAAz7X6zwCAABnBAAADgAAAAAAAAABACAAAAAq&#10;AQAAZHJzL2Uyb0RvYy54bWxQSwUGAAAAAAYABgBZAQAA2AUAAAAA&#10;">
                <v:fill on="f" focussize="0,0"/>
                <v:stroke on="f" weight="0.5pt"/>
                <v:imagedata o:title=""/>
                <o:lock v:ext="edit" aspectratio="f"/>
                <v:textbox>
                  <w:txbxContent>
                    <w:p>
                      <w:pPr>
                        <w:rPr>
                          <w:rFonts w:hint="eastAsia"/>
                          <w:sz w:val="15"/>
                          <w:szCs w:val="15"/>
                          <w:highlight w:val="none"/>
                        </w:rPr>
                      </w:pPr>
                      <w:r>
                        <w:rPr>
                          <w:rFonts w:hint="eastAsia"/>
                          <w:sz w:val="15"/>
                          <w:szCs w:val="15"/>
                          <w:highlight w:val="none"/>
                        </w:rPr>
                        <w:t>6665.82</w:t>
                      </w:r>
                    </w:p>
                  </w:txbxContent>
                </v:textbox>
              </v:shape>
            </w:pict>
          </mc:Fallback>
        </mc:AlternateContent>
      </w:r>
    </w:p>
    <w:p>
      <w:pPr>
        <w:snapToGrid w:val="0"/>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图3.7-1                    钻井施工期水平衡图</w:t>
      </w:r>
    </w:p>
    <w:bookmarkEnd w:id="448"/>
    <w:p>
      <w:pPr>
        <w:pStyle w:val="7"/>
        <w:keepNext w:val="0"/>
        <w:keepLines w:val="0"/>
        <w:widowControl w:val="0"/>
        <w:rPr>
          <w:b/>
          <w:color w:val="auto"/>
          <w:w w:val="99"/>
          <w:kern w:val="2"/>
          <w:sz w:val="24"/>
          <w:szCs w:val="24"/>
          <w:highlight w:val="none"/>
        </w:rPr>
      </w:pPr>
      <w:bookmarkStart w:id="449" w:name="_Toc74812328"/>
      <w:bookmarkStart w:id="450" w:name="_Toc13059819"/>
      <w:bookmarkStart w:id="451" w:name="_Toc80105157"/>
      <w:bookmarkStart w:id="452" w:name="_Toc69690824"/>
      <w:bookmarkStart w:id="453" w:name="_Toc5710034"/>
      <w:bookmarkStart w:id="454" w:name="_Toc67523606"/>
      <w:bookmarkStart w:id="455" w:name="_Toc71371957"/>
      <w:bookmarkStart w:id="456" w:name="_Toc77667301"/>
      <w:bookmarkStart w:id="457" w:name="_Toc61597234"/>
      <w:r>
        <w:rPr>
          <w:b/>
          <w:color w:val="auto"/>
          <w:w w:val="99"/>
          <w:kern w:val="2"/>
          <w:sz w:val="24"/>
          <w:szCs w:val="24"/>
          <w:highlight w:val="none"/>
        </w:rPr>
        <w:t>3.7.2供电工程</w:t>
      </w:r>
      <w:bookmarkEnd w:id="449"/>
      <w:bookmarkEnd w:id="450"/>
      <w:bookmarkEnd w:id="451"/>
      <w:bookmarkEnd w:id="452"/>
      <w:bookmarkEnd w:id="453"/>
      <w:bookmarkEnd w:id="454"/>
      <w:bookmarkEnd w:id="455"/>
      <w:bookmarkEnd w:id="456"/>
      <w:bookmarkEnd w:id="457"/>
    </w:p>
    <w:p>
      <w:pPr>
        <w:widowControl w:val="0"/>
        <w:tabs>
          <w:tab w:val="left" w:pos="5262"/>
        </w:tabs>
        <w:spacing w:line="500" w:lineRule="exact"/>
        <w:ind w:firstLine="474" w:firstLineChars="200"/>
        <w:rPr>
          <w:rFonts w:ascii="Times New Roman" w:hAnsi="Times New Roman" w:cs="Times New Roman" w:eastAsiaTheme="minorEastAsia"/>
          <w:color w:val="auto"/>
          <w:w w:val="99"/>
          <w:kern w:val="21"/>
          <w:highlight w:val="none"/>
        </w:rPr>
      </w:pPr>
      <w:bookmarkStart w:id="458" w:name="_Toc13059820"/>
      <w:bookmarkStart w:id="459" w:name="_Toc5710035"/>
      <w:r>
        <w:rPr>
          <w:rFonts w:ascii="Times New Roman" w:hAnsi="Times New Roman" w:cs="Times New Roman" w:eastAsiaTheme="minorEastAsia"/>
          <w:color w:val="auto"/>
          <w:w w:val="99"/>
          <w:kern w:val="21"/>
          <w:highlight w:val="none"/>
        </w:rPr>
        <w:t>本项目井场供电由自备柴油发电机组发电供给。</w:t>
      </w:r>
    </w:p>
    <w:p>
      <w:pPr>
        <w:pStyle w:val="7"/>
        <w:keepNext w:val="0"/>
        <w:keepLines w:val="0"/>
        <w:widowControl w:val="0"/>
        <w:rPr>
          <w:b/>
          <w:color w:val="auto"/>
          <w:w w:val="99"/>
          <w:kern w:val="2"/>
          <w:sz w:val="24"/>
          <w:szCs w:val="24"/>
          <w:highlight w:val="none"/>
        </w:rPr>
      </w:pPr>
      <w:bookmarkStart w:id="460" w:name="_Toc74812329"/>
      <w:bookmarkStart w:id="461" w:name="_Toc69690825"/>
      <w:bookmarkStart w:id="462" w:name="_Toc67523607"/>
      <w:bookmarkStart w:id="463" w:name="_Toc61597235"/>
      <w:bookmarkStart w:id="464" w:name="_Toc80105158"/>
      <w:bookmarkStart w:id="465" w:name="_Toc71371958"/>
      <w:bookmarkStart w:id="466" w:name="_Toc77667302"/>
      <w:r>
        <w:rPr>
          <w:b/>
          <w:color w:val="auto"/>
          <w:w w:val="99"/>
          <w:kern w:val="2"/>
          <w:sz w:val="24"/>
          <w:szCs w:val="24"/>
          <w:highlight w:val="none"/>
        </w:rPr>
        <w:t>3.7.3采暖工程</w:t>
      </w:r>
      <w:bookmarkEnd w:id="458"/>
      <w:bookmarkEnd w:id="459"/>
      <w:bookmarkEnd w:id="460"/>
      <w:bookmarkEnd w:id="461"/>
      <w:bookmarkEnd w:id="462"/>
      <w:bookmarkEnd w:id="463"/>
      <w:bookmarkEnd w:id="464"/>
      <w:bookmarkEnd w:id="465"/>
      <w:bookmarkEnd w:id="466"/>
    </w:p>
    <w:p>
      <w:pPr>
        <w:widowControl w:val="0"/>
        <w:spacing w:line="500" w:lineRule="exact"/>
        <w:ind w:firstLine="474" w:firstLineChars="200"/>
        <w:rPr>
          <w:rFonts w:ascii="Times New Roman" w:hAnsi="Times New Roman" w:cs="Times New Roman" w:eastAsiaTheme="minorEastAsia"/>
          <w:color w:val="auto"/>
          <w:w w:val="99"/>
          <w:kern w:val="21"/>
          <w:highlight w:val="none"/>
        </w:rPr>
      </w:pPr>
      <w:bookmarkStart w:id="467" w:name="_Toc11047796"/>
      <w:r>
        <w:rPr>
          <w:rFonts w:ascii="Times New Roman" w:hAnsi="Times New Roman" w:cs="Times New Roman" w:eastAsiaTheme="minorEastAsia"/>
          <w:bCs/>
          <w:color w:val="auto"/>
          <w:w w:val="99"/>
          <w:kern w:val="21"/>
          <w:highlight w:val="none"/>
        </w:rPr>
        <w:t>本项目</w:t>
      </w:r>
      <w:r>
        <w:rPr>
          <w:rFonts w:hint="eastAsia" w:ascii="Times New Roman" w:hAnsi="Times New Roman" w:cs="Times New Roman" w:eastAsiaTheme="minorEastAsia"/>
          <w:bCs/>
          <w:color w:val="auto"/>
          <w:w w:val="99"/>
          <w:kern w:val="21"/>
          <w:highlight w:val="none"/>
        </w:rPr>
        <w:t>冬季施工采用</w:t>
      </w:r>
      <w:r>
        <w:rPr>
          <w:rFonts w:ascii="Times New Roman" w:hAnsi="Times New Roman" w:cs="Times New Roman" w:eastAsiaTheme="minorEastAsia"/>
          <w:bCs/>
          <w:color w:val="auto"/>
          <w:w w:val="99"/>
          <w:kern w:val="21"/>
          <w:highlight w:val="none"/>
        </w:rPr>
        <w:t>电取暖</w:t>
      </w:r>
      <w:r>
        <w:rPr>
          <w:rFonts w:ascii="Times New Roman" w:hAnsi="Times New Roman" w:cs="Times New Roman" w:eastAsiaTheme="minorEastAsia"/>
          <w:color w:val="auto"/>
          <w:w w:val="99"/>
          <w:kern w:val="21"/>
          <w:highlight w:val="none"/>
        </w:rPr>
        <w:t>。</w:t>
      </w:r>
      <w:bookmarkEnd w:id="467"/>
    </w:p>
    <w:p>
      <w:pPr>
        <w:pStyle w:val="5"/>
        <w:keepNext w:val="0"/>
        <w:keepLines w:val="0"/>
        <w:widowControl w:val="0"/>
        <w:rPr>
          <w:rFonts w:ascii="Times New Roman" w:hAnsi="Times New Roman"/>
          <w:b/>
          <w:snapToGrid w:val="0"/>
          <w:color w:val="auto"/>
          <w:w w:val="99"/>
          <w:highlight w:val="none"/>
        </w:rPr>
      </w:pPr>
      <w:bookmarkStart w:id="468" w:name="_Toc80105159"/>
      <w:r>
        <w:rPr>
          <w:rFonts w:ascii="Times New Roman" w:hAnsi="Times New Roman"/>
          <w:b/>
          <w:snapToGrid w:val="0"/>
          <w:color w:val="auto"/>
          <w:w w:val="99"/>
          <w:highlight w:val="none"/>
        </w:rPr>
        <w:t>3.8钻井物料消耗</w:t>
      </w:r>
      <w:bookmarkEnd w:id="468"/>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生产用水消耗：由公用工程可知，</w:t>
      </w:r>
      <w:r>
        <w:rPr>
          <w:rFonts w:ascii="Times New Roman" w:hAnsi="Times New Roman" w:cs="Times New Roman" w:eastAsiaTheme="minorEastAsia"/>
          <w:color w:val="auto"/>
          <w:w w:val="99"/>
          <w:kern w:val="2"/>
          <w:highlight w:val="none"/>
        </w:rPr>
        <w:t>本项目生产用水消耗总量为</w:t>
      </w:r>
      <w:r>
        <w:rPr>
          <w:rFonts w:hint="eastAsia" w:ascii="Times New Roman" w:hAnsi="Times New Roman" w:cs="Times New Roman" w:eastAsiaTheme="minorEastAsia"/>
          <w:color w:val="auto"/>
          <w:w w:val="99"/>
          <w:kern w:val="21"/>
          <w:highlight w:val="none"/>
        </w:rPr>
        <w:t>5680.22</w:t>
      </w:r>
      <w:r>
        <w:rPr>
          <w:rFonts w:ascii="Times New Roman" w:hAnsi="Times New Roman" w:cs="Times New Roman" w:eastAsiaTheme="minorEastAsia"/>
          <w:color w:val="auto"/>
          <w:w w:val="99"/>
          <w:kern w:val="21"/>
          <w:highlight w:val="none"/>
        </w:rPr>
        <w:t>m</w:t>
      </w:r>
      <w:r>
        <w:rPr>
          <w:rFonts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
          <w:highlight w:val="none"/>
        </w:rPr>
        <w:t>；</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生活用水消耗：由公用工程可知，</w:t>
      </w:r>
      <w:r>
        <w:rPr>
          <w:rFonts w:ascii="Times New Roman" w:hAnsi="Times New Roman" w:cs="Times New Roman" w:eastAsiaTheme="minorEastAsia"/>
          <w:color w:val="auto"/>
          <w:w w:val="99"/>
          <w:kern w:val="2"/>
          <w:highlight w:val="none"/>
        </w:rPr>
        <w:t>本项目</w:t>
      </w:r>
      <w:r>
        <w:rPr>
          <w:rFonts w:ascii="Times New Roman" w:hAnsi="Times New Roman" w:cs="Times New Roman" w:eastAsiaTheme="minorEastAsia"/>
          <w:color w:val="auto"/>
          <w:w w:val="99"/>
          <w:kern w:val="21"/>
          <w:highlight w:val="none"/>
        </w:rPr>
        <w:t>生活用水</w:t>
      </w:r>
      <w:r>
        <w:rPr>
          <w:rFonts w:ascii="Times New Roman" w:hAnsi="Times New Roman" w:cs="Times New Roman" w:eastAsiaTheme="minorEastAsia"/>
          <w:color w:val="auto"/>
          <w:w w:val="99"/>
          <w:kern w:val="2"/>
          <w:highlight w:val="none"/>
        </w:rPr>
        <w:t>消耗总量为</w:t>
      </w:r>
      <w:r>
        <w:rPr>
          <w:rFonts w:hint="eastAsia" w:ascii="Times New Roman" w:hAnsi="Times New Roman" w:cs="Times New Roman" w:eastAsiaTheme="minorEastAsia"/>
          <w:color w:val="auto"/>
          <w:w w:val="99"/>
          <w:kern w:val="21"/>
          <w:highlight w:val="none"/>
          <w:lang w:val="en-US" w:eastAsia="zh-CN"/>
        </w:rPr>
        <w:t>985.6</w:t>
      </w:r>
      <w:r>
        <w:rPr>
          <w:rFonts w:ascii="Times New Roman" w:hAnsi="Times New Roman" w:cs="Times New Roman" w:eastAsiaTheme="minorEastAsia"/>
          <w:color w:val="auto"/>
          <w:w w:val="99"/>
          <w:kern w:val="21"/>
          <w:highlight w:val="none"/>
        </w:rPr>
        <w:t>m</w:t>
      </w:r>
      <w:r>
        <w:rPr>
          <w:rFonts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
          <w:highlight w:val="none"/>
        </w:rPr>
        <w:t>；</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钻井液消耗：根据钻井液用量表可知，本项目单口井钻井液用量</w:t>
      </w:r>
      <w:r>
        <w:rPr>
          <w:rFonts w:hint="eastAsia" w:ascii="Times New Roman" w:hAnsi="Times New Roman" w:cs="Times New Roman" w:eastAsiaTheme="minorEastAsia"/>
          <w:color w:val="auto"/>
          <w:w w:val="99"/>
          <w:kern w:val="21"/>
          <w:highlight w:val="none"/>
        </w:rPr>
        <w:t>224m</w:t>
      </w:r>
      <w:r>
        <w:rPr>
          <w:rFonts w:hint="eastAsia"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，本工程新钻油井</w:t>
      </w:r>
      <w:r>
        <w:rPr>
          <w:rFonts w:hint="eastAsia" w:ascii="Times New Roman" w:hAnsi="Times New Roman" w:cs="Times New Roman" w:eastAsiaTheme="minorEastAsia"/>
          <w:color w:val="auto"/>
          <w:w w:val="99"/>
          <w:kern w:val="21"/>
          <w:highlight w:val="none"/>
        </w:rPr>
        <w:t>4</w:t>
      </w:r>
      <w:r>
        <w:rPr>
          <w:rFonts w:hint="eastAsia" w:ascii="Times New Roman" w:hAnsi="Times New Roman" w:cs="Times New Roman" w:eastAsiaTheme="minorEastAsia"/>
          <w:color w:val="auto"/>
          <w:w w:val="99"/>
          <w:kern w:val="21"/>
          <w:highlight w:val="none"/>
          <w:lang w:val="en-US" w:eastAsia="zh-CN"/>
        </w:rPr>
        <w:t>4</w:t>
      </w:r>
      <w:r>
        <w:rPr>
          <w:rFonts w:hint="eastAsia" w:ascii="Times New Roman" w:hAnsi="Times New Roman" w:cs="Times New Roman" w:eastAsiaTheme="minorEastAsia"/>
          <w:color w:val="auto"/>
          <w:w w:val="99"/>
          <w:kern w:val="21"/>
          <w:highlight w:val="none"/>
        </w:rPr>
        <w:t>口</w:t>
      </w:r>
      <w:r>
        <w:rPr>
          <w:rFonts w:ascii="Times New Roman" w:hAnsi="Times New Roman" w:cs="Times New Roman" w:eastAsiaTheme="minorEastAsia"/>
          <w:color w:val="auto"/>
          <w:w w:val="99"/>
          <w:kern w:val="21"/>
          <w:highlight w:val="none"/>
        </w:rPr>
        <w:t>，则钻井液用量为</w:t>
      </w:r>
      <w:r>
        <w:rPr>
          <w:rFonts w:hint="eastAsia" w:ascii="Times New Roman" w:hAnsi="Times New Roman" w:cs="Times New Roman" w:eastAsiaTheme="minorEastAsia"/>
          <w:color w:val="auto"/>
          <w:w w:val="99"/>
          <w:kern w:val="21"/>
          <w:highlight w:val="none"/>
        </w:rPr>
        <w:t>9856m</w:t>
      </w:r>
      <w:r>
        <w:rPr>
          <w:rFonts w:hint="eastAsia"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水泥消耗：根据固井水泥用量表，本工程单井固井水泥用量为</w:t>
      </w:r>
      <w:r>
        <w:rPr>
          <w:rFonts w:hint="eastAsia" w:ascii="Times New Roman" w:hAnsi="Times New Roman" w:cs="Times New Roman" w:eastAsiaTheme="minorEastAsia"/>
          <w:color w:val="auto"/>
          <w:w w:val="99"/>
          <w:kern w:val="21"/>
          <w:highlight w:val="none"/>
        </w:rPr>
        <w:t>80t</w:t>
      </w:r>
      <w:r>
        <w:rPr>
          <w:rFonts w:ascii="Times New Roman" w:hAnsi="Times New Roman" w:cs="Times New Roman" w:eastAsiaTheme="minorEastAsia"/>
          <w:color w:val="auto"/>
          <w:w w:val="99"/>
          <w:kern w:val="21"/>
          <w:highlight w:val="none"/>
        </w:rPr>
        <w:t>，项目固井水泥合计用量为</w:t>
      </w:r>
      <w:r>
        <w:rPr>
          <w:rFonts w:hint="eastAsia" w:ascii="Times New Roman" w:hAnsi="Times New Roman" w:cs="Times New Roman" w:eastAsiaTheme="minorEastAsia"/>
          <w:color w:val="auto"/>
          <w:w w:val="99"/>
          <w:kern w:val="21"/>
          <w:highlight w:val="none"/>
        </w:rPr>
        <w:t>3520t</w:t>
      </w:r>
      <w:r>
        <w:rPr>
          <w:rFonts w:ascii="Times New Roman" w:hAnsi="Times New Roman" w:cs="Times New Roman" w:eastAsiaTheme="minorEastAsia"/>
          <w:color w:val="auto"/>
          <w:w w:val="99"/>
          <w:kern w:val="21"/>
          <w:highlight w:val="none"/>
        </w:rPr>
        <w:t>；</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柴油消耗：本工程钻机用电使用柴油发电机，钻井每进尺1000m，柴油用量20t，则柴油总用量约为</w:t>
      </w:r>
      <w:r>
        <w:rPr>
          <w:rFonts w:hint="eastAsia" w:ascii="Times New Roman" w:hAnsi="Times New Roman" w:cs="Times New Roman" w:eastAsiaTheme="minorEastAsia"/>
          <w:color w:val="auto"/>
          <w:w w:val="99"/>
          <w:kern w:val="21"/>
          <w:highlight w:val="none"/>
        </w:rPr>
        <w:t>1582.22</w:t>
      </w:r>
      <w:r>
        <w:rPr>
          <w:rFonts w:ascii="Times New Roman" w:hAnsi="Times New Roman" w:cs="Times New Roman" w:eastAsiaTheme="minorEastAsia"/>
          <w:color w:val="auto"/>
          <w:w w:val="99"/>
          <w:kern w:val="21"/>
          <w:highlight w:val="none"/>
        </w:rPr>
        <w:t>t；</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射孔液消耗：根据施工单位以往经验，单口井射孔一般需要射孔液40m</w:t>
      </w:r>
      <w:r>
        <w:rPr>
          <w:rFonts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，本工程共</w:t>
      </w:r>
      <w:r>
        <w:rPr>
          <w:rFonts w:hint="eastAsia" w:ascii="Times New Roman" w:hAnsi="Times New Roman" w:cs="Times New Roman" w:eastAsiaTheme="minorEastAsia"/>
          <w:color w:val="auto"/>
          <w:w w:val="99"/>
          <w:kern w:val="21"/>
          <w:highlight w:val="none"/>
        </w:rPr>
        <w:t>4</w:t>
      </w:r>
      <w:r>
        <w:rPr>
          <w:rFonts w:hint="eastAsia" w:ascii="Times New Roman" w:hAnsi="Times New Roman" w:cs="Times New Roman" w:eastAsiaTheme="minorEastAsia"/>
          <w:color w:val="auto"/>
          <w:w w:val="99"/>
          <w:kern w:val="21"/>
          <w:highlight w:val="none"/>
          <w:lang w:val="en-US" w:eastAsia="zh-CN"/>
        </w:rPr>
        <w:t>4</w:t>
      </w:r>
      <w:r>
        <w:rPr>
          <w:rFonts w:hint="eastAsia" w:ascii="Times New Roman" w:hAnsi="Times New Roman" w:cs="Times New Roman" w:eastAsiaTheme="minorEastAsia"/>
          <w:color w:val="auto"/>
          <w:w w:val="99"/>
          <w:kern w:val="21"/>
          <w:highlight w:val="none"/>
        </w:rPr>
        <w:t>口</w:t>
      </w:r>
      <w:r>
        <w:rPr>
          <w:rFonts w:ascii="Times New Roman" w:hAnsi="Times New Roman" w:cs="Times New Roman" w:eastAsiaTheme="minorEastAsia"/>
          <w:color w:val="auto"/>
          <w:w w:val="99"/>
          <w:kern w:val="21"/>
          <w:highlight w:val="none"/>
        </w:rPr>
        <w:t>油井需射孔，则射孔液用量为</w:t>
      </w:r>
      <w:r>
        <w:rPr>
          <w:rFonts w:hint="eastAsia" w:ascii="Times New Roman" w:hAnsi="Times New Roman" w:cs="Times New Roman" w:eastAsiaTheme="minorEastAsia"/>
          <w:color w:val="auto"/>
          <w:w w:val="99"/>
          <w:kern w:val="21"/>
          <w:highlight w:val="none"/>
        </w:rPr>
        <w:t>1760m</w:t>
      </w:r>
      <w:r>
        <w:rPr>
          <w:rFonts w:hint="eastAsia"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w:t>
      </w:r>
    </w:p>
    <w:p>
      <w:pPr>
        <w:widowControl w:val="0"/>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本工程主要消耗物料具体见下表：</w:t>
      </w:r>
    </w:p>
    <w:p>
      <w:pPr>
        <w:widowControl w:val="0"/>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b/>
          <w:bCs/>
          <w:color w:val="auto"/>
          <w:w w:val="99"/>
          <w:highlight w:val="none"/>
        </w:rPr>
        <w:t>表3.8-1                   本工程主要物料消耗</w:t>
      </w:r>
    </w:p>
    <w:tbl>
      <w:tblPr>
        <w:tblStyle w:val="82"/>
        <w:tblW w:w="907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1362"/>
        <w:gridCol w:w="1500"/>
        <w:gridCol w:w="1248"/>
        <w:gridCol w:w="1050"/>
        <w:gridCol w:w="1390"/>
        <w:gridCol w:w="13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3"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项目</w:t>
            </w:r>
          </w:p>
        </w:tc>
        <w:tc>
          <w:tcPr>
            <w:tcW w:w="2862" w:type="dxa"/>
            <w:gridSpan w:val="2"/>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清水（m</w:t>
            </w:r>
            <w:r>
              <w:rPr>
                <w:rFonts w:ascii="Times New Roman" w:hAnsi="Times New Roman" w:cs="Times New Roman" w:eastAsiaTheme="minorEastAsia"/>
                <w:color w:val="auto"/>
                <w:w w:val="99"/>
                <w:sz w:val="21"/>
                <w:szCs w:val="21"/>
                <w:highlight w:val="none"/>
                <w:vertAlign w:val="superscript"/>
              </w:rPr>
              <w:t>3</w:t>
            </w:r>
            <w:r>
              <w:rPr>
                <w:rFonts w:ascii="Times New Roman" w:hAnsi="Times New Roman" w:cs="Times New Roman" w:eastAsiaTheme="minorEastAsia"/>
                <w:color w:val="auto"/>
                <w:w w:val="99"/>
                <w:sz w:val="21"/>
                <w:szCs w:val="21"/>
                <w:highlight w:val="none"/>
              </w:rPr>
              <w:t>）</w:t>
            </w:r>
          </w:p>
        </w:tc>
        <w:tc>
          <w:tcPr>
            <w:tcW w:w="1248"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钻井液(m</w:t>
            </w:r>
            <w:r>
              <w:rPr>
                <w:rFonts w:ascii="Times New Roman" w:hAnsi="Times New Roman" w:cs="Times New Roman" w:eastAsiaTheme="minorEastAsia"/>
                <w:color w:val="auto"/>
                <w:w w:val="99"/>
                <w:sz w:val="21"/>
                <w:szCs w:val="21"/>
                <w:highlight w:val="none"/>
                <w:vertAlign w:val="superscript"/>
              </w:rPr>
              <w:t>3</w:t>
            </w:r>
            <w:r>
              <w:rPr>
                <w:rFonts w:ascii="Times New Roman" w:hAnsi="Times New Roman" w:cs="Times New Roman" w:eastAsiaTheme="minorEastAsia"/>
                <w:color w:val="auto"/>
                <w:w w:val="99"/>
                <w:sz w:val="21"/>
                <w:szCs w:val="21"/>
                <w:highlight w:val="none"/>
              </w:rPr>
              <w:t>)</w:t>
            </w:r>
          </w:p>
        </w:tc>
        <w:tc>
          <w:tcPr>
            <w:tcW w:w="1050"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水泥（t）</w:t>
            </w:r>
          </w:p>
        </w:tc>
        <w:tc>
          <w:tcPr>
            <w:tcW w:w="1390"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柴油(t)</w:t>
            </w:r>
          </w:p>
        </w:tc>
        <w:tc>
          <w:tcPr>
            <w:tcW w:w="1388"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射孔液（t）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3"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1362"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生产用水</w:t>
            </w:r>
          </w:p>
        </w:tc>
        <w:tc>
          <w:tcPr>
            <w:tcW w:w="1500"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生活用水</w:t>
            </w:r>
          </w:p>
        </w:tc>
        <w:tc>
          <w:tcPr>
            <w:tcW w:w="1248"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1050"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1390"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1388"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3"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单井</w:t>
            </w:r>
          </w:p>
        </w:tc>
        <w:tc>
          <w:tcPr>
            <w:tcW w:w="1362" w:type="dxa"/>
            <w:vAlign w:val="center"/>
          </w:tcPr>
          <w:p>
            <w:pPr>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129.1</w:t>
            </w:r>
          </w:p>
        </w:tc>
        <w:tc>
          <w:tcPr>
            <w:tcW w:w="1500"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22.4</w:t>
            </w:r>
          </w:p>
        </w:tc>
        <w:tc>
          <w:tcPr>
            <w:tcW w:w="1248"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2</w:t>
            </w:r>
            <w:r>
              <w:rPr>
                <w:rFonts w:hint="eastAsia" w:ascii="Times New Roman" w:hAnsi="Times New Roman" w:cs="Times New Roman" w:eastAsiaTheme="minorEastAsia"/>
                <w:color w:val="auto"/>
                <w:w w:val="99"/>
                <w:kern w:val="2"/>
                <w:sz w:val="21"/>
                <w:szCs w:val="21"/>
                <w:highlight w:val="none"/>
              </w:rPr>
              <w:t>24</w:t>
            </w:r>
          </w:p>
        </w:tc>
        <w:tc>
          <w:tcPr>
            <w:tcW w:w="1050"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80</w:t>
            </w:r>
          </w:p>
        </w:tc>
        <w:tc>
          <w:tcPr>
            <w:tcW w:w="1390" w:type="dxa"/>
            <w:vAlign w:val="center"/>
          </w:tcPr>
          <w:p>
            <w:pPr>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36</w:t>
            </w:r>
          </w:p>
        </w:tc>
        <w:tc>
          <w:tcPr>
            <w:tcW w:w="1388" w:type="dxa"/>
            <w:vAlign w:val="center"/>
          </w:tcPr>
          <w:p>
            <w:pPr>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3"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合计</w:t>
            </w:r>
          </w:p>
        </w:tc>
        <w:tc>
          <w:tcPr>
            <w:tcW w:w="1362"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1"/>
                <w:highlight w:val="none"/>
              </w:rPr>
              <w:t>5680.22</w:t>
            </w:r>
          </w:p>
        </w:tc>
        <w:tc>
          <w:tcPr>
            <w:tcW w:w="1500"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1"/>
                <w:highlight w:val="none"/>
                <w:lang w:val="en-US" w:eastAsia="zh-CN"/>
              </w:rPr>
              <w:t>985.6</w:t>
            </w:r>
          </w:p>
        </w:tc>
        <w:tc>
          <w:tcPr>
            <w:tcW w:w="1248"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1"/>
                <w:highlight w:val="none"/>
              </w:rPr>
              <w:t>9856</w:t>
            </w:r>
          </w:p>
        </w:tc>
        <w:tc>
          <w:tcPr>
            <w:tcW w:w="1050"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1"/>
                <w:highlight w:val="none"/>
              </w:rPr>
              <w:t>3520</w:t>
            </w:r>
          </w:p>
        </w:tc>
        <w:tc>
          <w:tcPr>
            <w:tcW w:w="1390"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1"/>
                <w:highlight w:val="none"/>
              </w:rPr>
              <w:t>1582.22</w:t>
            </w:r>
          </w:p>
        </w:tc>
        <w:tc>
          <w:tcPr>
            <w:tcW w:w="1388"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1"/>
                <w:highlight w:val="none"/>
              </w:rPr>
              <w:t>1760</w:t>
            </w:r>
          </w:p>
        </w:tc>
      </w:tr>
    </w:tbl>
    <w:p>
      <w:pPr>
        <w:pStyle w:val="5"/>
        <w:keepNext w:val="0"/>
        <w:keepLines w:val="0"/>
        <w:widowControl w:val="0"/>
        <w:rPr>
          <w:rFonts w:ascii="Times New Roman" w:hAnsi="Times New Roman"/>
          <w:b/>
          <w:snapToGrid w:val="0"/>
          <w:color w:val="auto"/>
          <w:w w:val="99"/>
          <w:highlight w:val="none"/>
        </w:rPr>
      </w:pPr>
      <w:bookmarkStart w:id="469" w:name="_Toc80105160"/>
      <w:bookmarkStart w:id="470" w:name="_Toc70050189"/>
      <w:r>
        <w:rPr>
          <w:rFonts w:ascii="Times New Roman" w:hAnsi="Times New Roman"/>
          <w:b/>
          <w:snapToGrid w:val="0"/>
          <w:color w:val="auto"/>
          <w:w w:val="99"/>
          <w:highlight w:val="none"/>
        </w:rPr>
        <w:t>3.9现有区块开发情况回顾</w:t>
      </w:r>
      <w:bookmarkEnd w:id="469"/>
      <w:bookmarkEnd w:id="470"/>
    </w:p>
    <w:p>
      <w:pPr>
        <w:pStyle w:val="7"/>
        <w:keepNext w:val="0"/>
        <w:keepLines w:val="0"/>
        <w:widowControl w:val="0"/>
        <w:rPr>
          <w:b/>
          <w:color w:val="auto"/>
          <w:w w:val="99"/>
          <w:kern w:val="2"/>
          <w:sz w:val="24"/>
          <w:szCs w:val="24"/>
          <w:highlight w:val="none"/>
        </w:rPr>
      </w:pPr>
      <w:bookmarkStart w:id="471" w:name="_Toc80105161"/>
      <w:bookmarkStart w:id="472" w:name="_Toc71371961"/>
      <w:bookmarkStart w:id="473" w:name="_Toc77667305"/>
      <w:bookmarkStart w:id="474" w:name="_Toc74812332"/>
      <w:bookmarkStart w:id="475" w:name="_Toc70050190"/>
      <w:bookmarkStart w:id="476" w:name="_Toc67860143"/>
      <w:r>
        <w:rPr>
          <w:b/>
          <w:color w:val="auto"/>
          <w:w w:val="99"/>
          <w:kern w:val="2"/>
          <w:sz w:val="24"/>
          <w:szCs w:val="24"/>
          <w:highlight w:val="none"/>
        </w:rPr>
        <w:t>3.9.1现有区块开发情况</w:t>
      </w:r>
      <w:bookmarkEnd w:id="471"/>
      <w:bookmarkEnd w:id="472"/>
      <w:bookmarkEnd w:id="473"/>
      <w:bookmarkEnd w:id="474"/>
      <w:bookmarkEnd w:id="475"/>
      <w:bookmarkEnd w:id="476"/>
    </w:p>
    <w:p>
      <w:pPr>
        <w:pStyle w:val="32"/>
        <w:widowControl w:val="0"/>
        <w:spacing w:line="500" w:lineRule="exact"/>
        <w:ind w:firstLine="474" w:firstLineChars="200"/>
        <w:rPr>
          <w:rFonts w:ascii="Times New Roman" w:hAnsi="Times New Roman" w:eastAsiaTheme="minorEastAsia"/>
          <w:bCs/>
          <w:color w:val="auto"/>
          <w:w w:val="99"/>
          <w:highlight w:val="none"/>
        </w:rPr>
      </w:pPr>
      <w:r>
        <w:rPr>
          <w:rFonts w:hint="eastAsia" w:ascii="Times New Roman" w:hAnsi="Times New Roman" w:eastAsiaTheme="minorEastAsia"/>
          <w:bCs/>
          <w:color w:val="auto"/>
          <w:w w:val="99"/>
          <w:highlight w:val="none"/>
        </w:rPr>
        <w:t>本项目开发位于肇源油田内</w:t>
      </w:r>
      <w:r>
        <w:rPr>
          <w:rFonts w:ascii="Times New Roman" w:hAnsi="Times New Roman" w:eastAsiaTheme="minorEastAsia"/>
          <w:bCs/>
          <w:color w:val="auto"/>
          <w:w w:val="99"/>
          <w:highlight w:val="none"/>
        </w:rPr>
        <w:t>，</w:t>
      </w:r>
      <w:r>
        <w:rPr>
          <w:rFonts w:hint="eastAsia" w:ascii="Times New Roman" w:hAnsi="Times New Roman" w:eastAsiaTheme="minorEastAsia"/>
          <w:bCs/>
          <w:color w:val="auto"/>
          <w:w w:val="99"/>
          <w:highlight w:val="none"/>
        </w:rPr>
        <w:t>肇源油田构造上位于松辽盆地中央坳陷区朝阳沟阶地的肇源鼻状构造上，于1975年投入开发，目前肇源油田内包括：源35区块部署直井44口，（包括代用井4口，首钻井2口，缓钻井11口，正常井27口），共动用含油面积5.14km</w:t>
      </w:r>
      <w:r>
        <w:rPr>
          <w:rFonts w:hint="eastAsia" w:ascii="Times New Roman" w:hAnsi="Times New Roman" w:eastAsiaTheme="minorEastAsia"/>
          <w:bCs/>
          <w:color w:val="auto"/>
          <w:w w:val="99"/>
          <w:highlight w:val="none"/>
          <w:vertAlign w:val="superscript"/>
        </w:rPr>
        <w:t>2</w:t>
      </w:r>
      <w:r>
        <w:rPr>
          <w:rFonts w:hint="eastAsia" w:ascii="Times New Roman" w:hAnsi="Times New Roman" w:eastAsiaTheme="minorEastAsia"/>
          <w:bCs/>
          <w:color w:val="auto"/>
          <w:w w:val="99"/>
          <w:highlight w:val="none"/>
        </w:rPr>
        <w:t>，动用地质储量约217.73×10</w:t>
      </w:r>
      <w:r>
        <w:rPr>
          <w:rFonts w:hint="eastAsia" w:ascii="Times New Roman" w:hAnsi="Times New Roman" w:eastAsiaTheme="minorEastAsia"/>
          <w:bCs/>
          <w:color w:val="auto"/>
          <w:w w:val="99"/>
          <w:highlight w:val="none"/>
          <w:vertAlign w:val="superscript"/>
        </w:rPr>
        <w:t>4</w:t>
      </w:r>
      <w:r>
        <w:rPr>
          <w:rFonts w:hint="eastAsia" w:ascii="Times New Roman" w:hAnsi="Times New Roman" w:eastAsiaTheme="minorEastAsia"/>
          <w:bCs/>
          <w:color w:val="auto"/>
          <w:w w:val="99"/>
          <w:highlight w:val="none"/>
        </w:rPr>
        <w:t>t，平均有效厚度8.6m，第一年产量2.5t/d，产能2.93×10</w:t>
      </w:r>
      <w:r>
        <w:rPr>
          <w:rFonts w:hint="eastAsia" w:ascii="Times New Roman" w:hAnsi="Times New Roman" w:eastAsiaTheme="minorEastAsia"/>
          <w:bCs/>
          <w:color w:val="auto"/>
          <w:w w:val="99"/>
          <w:highlight w:val="none"/>
          <w:vertAlign w:val="superscript"/>
        </w:rPr>
        <w:t>4</w:t>
      </w:r>
      <w:r>
        <w:rPr>
          <w:rFonts w:hint="eastAsia" w:ascii="Times New Roman" w:hAnsi="Times New Roman" w:eastAsiaTheme="minorEastAsia"/>
          <w:bCs/>
          <w:color w:val="auto"/>
          <w:w w:val="99"/>
          <w:highlight w:val="none"/>
        </w:rPr>
        <w:t>t。</w:t>
      </w:r>
    </w:p>
    <w:p>
      <w:pPr>
        <w:pStyle w:val="32"/>
        <w:widowControl w:val="0"/>
        <w:spacing w:line="500" w:lineRule="exact"/>
        <w:ind w:firstLine="474" w:firstLineChars="200"/>
        <w:rPr>
          <w:rFonts w:ascii="Times New Roman" w:hAnsi="Times New Roman" w:eastAsiaTheme="minorEastAsia"/>
          <w:b/>
          <w:bCs/>
          <w:color w:val="auto"/>
          <w:w w:val="99"/>
          <w:highlight w:val="none"/>
        </w:rPr>
      </w:pPr>
      <w:r>
        <w:rPr>
          <w:rFonts w:hint="eastAsia" w:ascii="Times New Roman" w:hAnsi="Times New Roman"/>
          <w:b/>
          <w:bCs/>
          <w:color w:val="auto"/>
          <w:w w:val="99"/>
          <w:szCs w:val="24"/>
          <w:highlight w:val="none"/>
        </w:rPr>
        <w:t>表</w:t>
      </w:r>
      <w:r>
        <w:rPr>
          <w:rFonts w:ascii="Times New Roman" w:hAnsi="Times New Roman"/>
          <w:b/>
          <w:bCs/>
          <w:color w:val="auto"/>
          <w:w w:val="99"/>
          <w:szCs w:val="24"/>
          <w:highlight w:val="none"/>
        </w:rPr>
        <w:t>3</w:t>
      </w:r>
      <w:r>
        <w:rPr>
          <w:rFonts w:hint="eastAsia" w:ascii="Times New Roman" w:hAnsi="Times New Roman"/>
          <w:b/>
          <w:bCs/>
          <w:color w:val="auto"/>
          <w:w w:val="99"/>
          <w:szCs w:val="24"/>
          <w:highlight w:val="none"/>
        </w:rPr>
        <w:t>.9</w:t>
      </w:r>
      <w:r>
        <w:rPr>
          <w:rFonts w:ascii="Times New Roman" w:hAnsi="Times New Roman"/>
          <w:b/>
          <w:bCs/>
          <w:color w:val="auto"/>
          <w:w w:val="99"/>
          <w:szCs w:val="24"/>
          <w:highlight w:val="none"/>
        </w:rPr>
        <w:t>-1</w:t>
      </w:r>
      <w:r>
        <w:rPr>
          <w:rFonts w:hint="eastAsia" w:ascii="Times New Roman" w:hAnsi="Times New Roman"/>
          <w:b/>
          <w:bCs/>
          <w:color w:val="auto"/>
          <w:w w:val="99"/>
          <w:szCs w:val="24"/>
          <w:highlight w:val="none"/>
        </w:rPr>
        <w:t xml:space="preserve">    </w:t>
      </w:r>
      <w:r>
        <w:rPr>
          <w:rFonts w:ascii="Times New Roman" w:hAnsi="Times New Roman"/>
          <w:b/>
          <w:bCs/>
          <w:color w:val="auto"/>
          <w:w w:val="99"/>
          <w:szCs w:val="24"/>
          <w:highlight w:val="none"/>
        </w:rPr>
        <w:t xml:space="preserve">   </w:t>
      </w:r>
      <w:r>
        <w:rPr>
          <w:rFonts w:hint="eastAsia" w:ascii="Times New Roman" w:hAnsi="Times New Roman"/>
          <w:b/>
          <w:bCs/>
          <w:color w:val="auto"/>
          <w:w w:val="99"/>
          <w:szCs w:val="24"/>
          <w:highlight w:val="none"/>
        </w:rPr>
        <w:t>本项目拟建井</w:t>
      </w:r>
      <w:r>
        <w:rPr>
          <w:rFonts w:ascii="Times New Roman" w:hAnsi="Times New Roman"/>
          <w:b/>
          <w:bCs/>
          <w:color w:val="auto"/>
          <w:w w:val="99"/>
          <w:szCs w:val="24"/>
          <w:highlight w:val="none"/>
        </w:rPr>
        <w:t>所在区块基本</w:t>
      </w:r>
      <w:r>
        <w:rPr>
          <w:rFonts w:hint="eastAsia" w:ascii="Times New Roman" w:hAnsi="Times New Roman"/>
          <w:b/>
          <w:bCs/>
          <w:color w:val="auto"/>
          <w:w w:val="99"/>
          <w:szCs w:val="24"/>
          <w:highlight w:val="none"/>
        </w:rPr>
        <w:t>情况统计表</w:t>
      </w:r>
    </w:p>
    <w:tbl>
      <w:tblPr>
        <w:tblStyle w:val="82"/>
        <w:tblW w:w="53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01"/>
        <w:gridCol w:w="694"/>
        <w:gridCol w:w="632"/>
        <w:gridCol w:w="513"/>
        <w:gridCol w:w="777"/>
        <w:gridCol w:w="899"/>
        <w:gridCol w:w="899"/>
        <w:gridCol w:w="1031"/>
        <w:gridCol w:w="1054"/>
        <w:gridCol w:w="1031"/>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414" w:type="pct"/>
            <w:vMerge w:val="restar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区块</w:t>
            </w:r>
          </w:p>
        </w:tc>
        <w:tc>
          <w:tcPr>
            <w:tcW w:w="358" w:type="pct"/>
            <w:vMerge w:val="restar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代用井（口）</w:t>
            </w:r>
          </w:p>
        </w:tc>
        <w:tc>
          <w:tcPr>
            <w:tcW w:w="992" w:type="pct"/>
            <w:gridSpan w:val="3"/>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新设计井数（口）</w:t>
            </w:r>
          </w:p>
        </w:tc>
        <w:tc>
          <w:tcPr>
            <w:tcW w:w="464" w:type="pct"/>
            <w:vMerge w:val="restar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井数合计</w:t>
            </w:r>
          </w:p>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（口）</w:t>
            </w:r>
          </w:p>
        </w:tc>
        <w:tc>
          <w:tcPr>
            <w:tcW w:w="464" w:type="pct"/>
            <w:vMerge w:val="restart"/>
            <w:tcMar>
              <w:top w:w="0" w:type="dxa"/>
              <w:left w:w="0" w:type="dxa"/>
              <w:bottom w:w="0" w:type="dxa"/>
              <w:right w:w="0" w:type="dxa"/>
            </w:tcMar>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rPr>
              <w:t>含油面积</w:t>
            </w:r>
          </w:p>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(km</w:t>
            </w:r>
            <w:r>
              <w:rPr>
                <w:rFonts w:hint="eastAsia" w:ascii="Times New Roman" w:hAnsi="Times New Roman" w:cs="Times New Roman" w:eastAsiaTheme="minorEastAsia"/>
                <w:color w:val="auto"/>
                <w:w w:val="99"/>
                <w:sz w:val="21"/>
                <w:szCs w:val="21"/>
                <w:highlight w:val="none"/>
                <w:vertAlign w:val="superscript"/>
              </w:rPr>
              <w:t>2</w:t>
            </w:r>
            <w:r>
              <w:rPr>
                <w:rFonts w:hint="eastAsia" w:ascii="Times New Roman" w:hAnsi="Times New Roman" w:cs="Times New Roman" w:eastAsiaTheme="minorEastAsia"/>
                <w:color w:val="auto"/>
                <w:w w:val="99"/>
                <w:sz w:val="21"/>
                <w:szCs w:val="21"/>
                <w:highlight w:val="none"/>
              </w:rPr>
              <w:t>)</w:t>
            </w:r>
          </w:p>
        </w:tc>
        <w:tc>
          <w:tcPr>
            <w:tcW w:w="532" w:type="pct"/>
            <w:vMerge w:val="restart"/>
            <w:tcMar>
              <w:top w:w="0" w:type="dxa"/>
              <w:left w:w="0" w:type="dxa"/>
              <w:bottom w:w="0" w:type="dxa"/>
              <w:right w:w="0" w:type="dxa"/>
            </w:tcMar>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rPr>
              <w:t>有效厚度</w:t>
            </w:r>
          </w:p>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(m)</w:t>
            </w:r>
          </w:p>
        </w:tc>
        <w:tc>
          <w:tcPr>
            <w:tcW w:w="544" w:type="pct"/>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初期产量（t/d）</w:t>
            </w:r>
          </w:p>
        </w:tc>
        <w:tc>
          <w:tcPr>
            <w:tcW w:w="532" w:type="pct"/>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设计产能</w:t>
            </w:r>
          </w:p>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w:t>
            </w:r>
            <w:r>
              <w:rPr>
                <w:rFonts w:hint="eastAsia" w:ascii="Times New Roman" w:hAnsi="Times New Roman" w:cs="Times New Roman" w:eastAsiaTheme="minorEastAsia"/>
                <w:color w:val="auto"/>
                <w:w w:val="99"/>
                <w:sz w:val="21"/>
                <w:szCs w:val="21"/>
                <w:highlight w:val="none"/>
                <w:vertAlign w:val="superscript"/>
              </w:rPr>
              <w:t>4</w:t>
            </w:r>
            <w:r>
              <w:rPr>
                <w:rFonts w:hint="eastAsia" w:ascii="Times New Roman" w:hAnsi="Times New Roman" w:cs="Times New Roman" w:eastAsiaTheme="minorEastAsia"/>
                <w:color w:val="auto"/>
                <w:w w:val="99"/>
                <w:sz w:val="21"/>
                <w:szCs w:val="21"/>
                <w:highlight w:val="none"/>
              </w:rPr>
              <w:t>t）</w:t>
            </w:r>
          </w:p>
        </w:tc>
        <w:tc>
          <w:tcPr>
            <w:tcW w:w="696" w:type="pct"/>
            <w:vMerge w:val="restar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动用地质储量</w:t>
            </w:r>
          </w:p>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w:t>
            </w:r>
            <w:r>
              <w:rPr>
                <w:rFonts w:hint="eastAsia" w:ascii="Times New Roman" w:hAnsi="Times New Roman" w:cs="Times New Roman" w:eastAsiaTheme="minorEastAsia"/>
                <w:color w:val="auto"/>
                <w:w w:val="99"/>
                <w:sz w:val="21"/>
                <w:szCs w:val="21"/>
                <w:highlight w:val="none"/>
                <w:vertAlign w:val="superscript"/>
              </w:rPr>
              <w:t>4</w:t>
            </w:r>
            <w:r>
              <w:rPr>
                <w:rFonts w:hint="eastAsia" w:ascii="Times New Roman" w:hAnsi="Times New Roman" w:cs="Times New Roman" w:eastAsiaTheme="minorEastAsia"/>
                <w:color w:val="auto"/>
                <w:w w:val="99"/>
                <w:sz w:val="21"/>
                <w:szCs w:val="21"/>
                <w:highlight w:val="non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414" w:type="pct"/>
            <w:vMerge w:val="continue"/>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358" w:type="pct"/>
            <w:vMerge w:val="continue"/>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326"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首钻</w:t>
            </w:r>
          </w:p>
        </w:tc>
        <w:tc>
          <w:tcPr>
            <w:tcW w:w="265"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正常</w:t>
            </w:r>
          </w:p>
        </w:tc>
        <w:tc>
          <w:tcPr>
            <w:tcW w:w="399"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缓钻</w:t>
            </w:r>
          </w:p>
        </w:tc>
        <w:tc>
          <w:tcPr>
            <w:tcW w:w="464" w:type="pct"/>
            <w:vMerge w:val="continue"/>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464" w:type="pct"/>
            <w:vMerge w:val="continue"/>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532" w:type="pct"/>
            <w:vMerge w:val="continue"/>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544" w:type="pct"/>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532" w:type="pct"/>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696" w:type="pct"/>
            <w:vMerge w:val="continue"/>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414"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源35</w:t>
            </w:r>
          </w:p>
        </w:tc>
        <w:tc>
          <w:tcPr>
            <w:tcW w:w="358"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w:t>
            </w:r>
          </w:p>
        </w:tc>
        <w:tc>
          <w:tcPr>
            <w:tcW w:w="326"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w:t>
            </w:r>
          </w:p>
        </w:tc>
        <w:tc>
          <w:tcPr>
            <w:tcW w:w="265"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27</w:t>
            </w:r>
          </w:p>
        </w:tc>
        <w:tc>
          <w:tcPr>
            <w:tcW w:w="399"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11</w:t>
            </w:r>
          </w:p>
        </w:tc>
        <w:tc>
          <w:tcPr>
            <w:tcW w:w="464"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44</w:t>
            </w:r>
          </w:p>
        </w:tc>
        <w:tc>
          <w:tcPr>
            <w:tcW w:w="464"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5.14</w:t>
            </w:r>
          </w:p>
        </w:tc>
        <w:tc>
          <w:tcPr>
            <w:tcW w:w="532"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8.6</w:t>
            </w:r>
          </w:p>
        </w:tc>
        <w:tc>
          <w:tcPr>
            <w:tcW w:w="544"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2.5</w:t>
            </w:r>
          </w:p>
        </w:tc>
        <w:tc>
          <w:tcPr>
            <w:tcW w:w="53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2.93</w:t>
            </w:r>
          </w:p>
        </w:tc>
        <w:tc>
          <w:tcPr>
            <w:tcW w:w="696"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217.73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414"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合计</w:t>
            </w:r>
          </w:p>
        </w:tc>
        <w:tc>
          <w:tcPr>
            <w:tcW w:w="694" w:type="dxa"/>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w:t>
            </w:r>
          </w:p>
        </w:tc>
        <w:tc>
          <w:tcPr>
            <w:tcW w:w="632" w:type="dxa"/>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w:t>
            </w:r>
          </w:p>
        </w:tc>
        <w:tc>
          <w:tcPr>
            <w:tcW w:w="513" w:type="dxa"/>
            <w:tcMar>
              <w:top w:w="0" w:type="dxa"/>
              <w:left w:w="0" w:type="dxa"/>
              <w:bottom w:w="0" w:type="dxa"/>
              <w:right w:w="0" w:type="dxa"/>
            </w:tcMar>
            <w:vAlign w:val="center"/>
          </w:tcPr>
          <w:p>
            <w:pPr>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rPr>
              <w:t>27</w:t>
            </w:r>
          </w:p>
        </w:tc>
        <w:tc>
          <w:tcPr>
            <w:tcW w:w="777" w:type="dxa"/>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11</w:t>
            </w:r>
          </w:p>
        </w:tc>
        <w:tc>
          <w:tcPr>
            <w:tcW w:w="899" w:type="dxa"/>
            <w:tcMar>
              <w:top w:w="0" w:type="dxa"/>
              <w:left w:w="0" w:type="dxa"/>
              <w:bottom w:w="0" w:type="dxa"/>
              <w:right w:w="0" w:type="dxa"/>
            </w:tcMar>
            <w:vAlign w:val="center"/>
          </w:tcPr>
          <w:p>
            <w:pPr>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rPr>
              <w:t>44</w:t>
            </w:r>
          </w:p>
        </w:tc>
        <w:tc>
          <w:tcPr>
            <w:tcW w:w="899" w:type="dxa"/>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5.14</w:t>
            </w:r>
          </w:p>
        </w:tc>
        <w:tc>
          <w:tcPr>
            <w:tcW w:w="1031" w:type="dxa"/>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8.6</w:t>
            </w:r>
          </w:p>
        </w:tc>
        <w:tc>
          <w:tcPr>
            <w:tcW w:w="1054"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2.5</w:t>
            </w:r>
          </w:p>
        </w:tc>
        <w:tc>
          <w:tcPr>
            <w:tcW w:w="1031"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2.93</w:t>
            </w:r>
          </w:p>
        </w:tc>
        <w:tc>
          <w:tcPr>
            <w:tcW w:w="1348" w:type="dxa"/>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217.73</w:t>
            </w:r>
          </w:p>
        </w:tc>
      </w:tr>
    </w:tbl>
    <w:p>
      <w:pPr>
        <w:pStyle w:val="7"/>
        <w:keepNext w:val="0"/>
        <w:keepLines w:val="0"/>
        <w:widowControl w:val="0"/>
        <w:rPr>
          <w:b/>
          <w:color w:val="auto"/>
          <w:w w:val="99"/>
          <w:kern w:val="2"/>
          <w:sz w:val="24"/>
          <w:szCs w:val="24"/>
          <w:highlight w:val="none"/>
        </w:rPr>
      </w:pPr>
      <w:bookmarkStart w:id="477" w:name="_Toc80105162"/>
      <w:bookmarkStart w:id="478" w:name="_Toc74812333"/>
      <w:bookmarkStart w:id="479" w:name="_Toc77667306"/>
      <w:bookmarkStart w:id="480" w:name="_Toc71371962"/>
      <w:r>
        <w:rPr>
          <w:b/>
          <w:color w:val="auto"/>
          <w:w w:val="99"/>
          <w:kern w:val="2"/>
          <w:sz w:val="24"/>
          <w:szCs w:val="24"/>
          <w:highlight w:val="none"/>
        </w:rPr>
        <w:t>3.9.2</w:t>
      </w:r>
      <w:bookmarkEnd w:id="477"/>
      <w:bookmarkEnd w:id="478"/>
      <w:bookmarkEnd w:id="479"/>
      <w:bookmarkEnd w:id="480"/>
      <w:bookmarkStart w:id="481" w:name="_Toc61597239"/>
      <w:bookmarkStart w:id="482" w:name="_Toc67523611"/>
      <w:bookmarkStart w:id="483" w:name="_Toc77667307"/>
      <w:bookmarkStart w:id="484" w:name="_Toc71371963"/>
      <w:bookmarkStart w:id="485" w:name="_Toc80105163"/>
      <w:bookmarkStart w:id="486" w:name="_Toc74812334"/>
      <w:bookmarkStart w:id="487" w:name="_Toc69690829"/>
      <w:bookmarkStart w:id="488" w:name="_Toc502736480"/>
      <w:r>
        <w:rPr>
          <w:b/>
          <w:color w:val="auto"/>
          <w:w w:val="99"/>
          <w:kern w:val="2"/>
          <w:sz w:val="24"/>
          <w:szCs w:val="24"/>
          <w:highlight w:val="none"/>
        </w:rPr>
        <w:t>现有工程环评及验收情况</w:t>
      </w:r>
      <w:bookmarkEnd w:id="481"/>
      <w:bookmarkEnd w:id="482"/>
      <w:bookmarkEnd w:id="483"/>
      <w:bookmarkEnd w:id="484"/>
      <w:bookmarkEnd w:id="485"/>
      <w:bookmarkEnd w:id="486"/>
      <w:bookmarkEnd w:id="487"/>
    </w:p>
    <w:p>
      <w:pPr>
        <w:widowControl w:val="0"/>
        <w:spacing w:line="500" w:lineRule="exact"/>
        <w:ind w:firstLine="482"/>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现有</w:t>
      </w:r>
      <w:r>
        <w:rPr>
          <w:rFonts w:ascii="Times New Roman" w:hAnsi="Times New Roman" w:cs="Times New Roman" w:eastAsiaTheme="minorEastAsia"/>
          <w:color w:val="auto"/>
          <w:w w:val="99"/>
          <w:kern w:val="21"/>
          <w:szCs w:val="22"/>
          <w:highlight w:val="none"/>
          <w:lang w:bidi="zh-CN"/>
        </w:rPr>
        <w:t>工程</w:t>
      </w:r>
      <w:r>
        <w:rPr>
          <w:rFonts w:ascii="Times New Roman" w:hAnsi="Times New Roman" w:cs="Times New Roman" w:eastAsiaTheme="minorEastAsia"/>
          <w:color w:val="auto"/>
          <w:w w:val="99"/>
          <w:kern w:val="21"/>
          <w:szCs w:val="20"/>
          <w:highlight w:val="none"/>
        </w:rPr>
        <w:t>环评及验收情况见下表。</w:t>
      </w:r>
    </w:p>
    <w:p>
      <w:pPr>
        <w:widowControl w:val="0"/>
        <w:spacing w:line="500" w:lineRule="exact"/>
        <w:ind w:firstLine="482"/>
        <w:rPr>
          <w:rFonts w:ascii="Times New Roman" w:hAnsi="Times New Roman" w:cs="Times New Roman" w:eastAsiaTheme="minorEastAsia"/>
          <w:b/>
          <w:bCs/>
          <w:color w:val="auto"/>
          <w:w w:val="99"/>
          <w:kern w:val="21"/>
          <w:szCs w:val="22"/>
          <w:highlight w:val="none"/>
          <w:lang w:bidi="zh-CN"/>
        </w:rPr>
      </w:pPr>
      <w:r>
        <w:rPr>
          <w:rFonts w:ascii="Times New Roman" w:hAnsi="Times New Roman" w:cs="Times New Roman" w:eastAsiaTheme="minorEastAsia"/>
          <w:b/>
          <w:bCs/>
          <w:color w:val="auto"/>
          <w:w w:val="99"/>
          <w:kern w:val="21"/>
          <w:szCs w:val="22"/>
          <w:highlight w:val="none"/>
          <w:lang w:val="zh-CN" w:bidi="zh-CN"/>
        </w:rPr>
        <w:t>表3.9-2</w:t>
      </w:r>
      <w:r>
        <w:rPr>
          <w:rFonts w:ascii="Times New Roman" w:hAnsi="Times New Roman" w:cs="Times New Roman" w:eastAsiaTheme="minorEastAsia"/>
          <w:b/>
          <w:bCs/>
          <w:color w:val="auto"/>
          <w:w w:val="99"/>
          <w:kern w:val="21"/>
          <w:szCs w:val="22"/>
          <w:highlight w:val="none"/>
          <w:lang w:bidi="zh-CN"/>
        </w:rPr>
        <w:t xml:space="preserve">             现有工程环评及验收情况调查表</w:t>
      </w:r>
    </w:p>
    <w:tbl>
      <w:tblPr>
        <w:tblStyle w:val="8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3174"/>
        <w:gridCol w:w="2777"/>
        <w:gridCol w:w="26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序号</w:t>
            </w:r>
          </w:p>
        </w:tc>
        <w:tc>
          <w:tcPr>
            <w:tcW w:w="170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项目名称</w:t>
            </w:r>
          </w:p>
        </w:tc>
        <w:tc>
          <w:tcPr>
            <w:tcW w:w="1494"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环评批复</w:t>
            </w:r>
          </w:p>
        </w:tc>
        <w:tc>
          <w:tcPr>
            <w:tcW w:w="140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验收情况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w:t>
            </w:r>
          </w:p>
        </w:tc>
        <w:tc>
          <w:tcPr>
            <w:tcW w:w="170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2017年肇源油田源35区块开发首钻井工程</w:t>
            </w:r>
          </w:p>
        </w:tc>
        <w:tc>
          <w:tcPr>
            <w:tcW w:w="1494"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庆环审〔201</w:t>
            </w:r>
            <w:r>
              <w:rPr>
                <w:rFonts w:hint="eastAsia" w:ascii="Times New Roman" w:hAnsi="Times New Roman" w:cs="Times New Roman" w:eastAsiaTheme="minorEastAsia"/>
                <w:color w:val="auto"/>
                <w:w w:val="99"/>
                <w:sz w:val="21"/>
                <w:szCs w:val="21"/>
                <w:highlight w:val="none"/>
              </w:rPr>
              <w:t>9</w:t>
            </w:r>
            <w:r>
              <w:rPr>
                <w:rFonts w:ascii="Times New Roman" w:hAnsi="Times New Roman" w:cs="Times New Roman" w:eastAsiaTheme="minorEastAsia"/>
                <w:color w:val="auto"/>
                <w:w w:val="99"/>
                <w:sz w:val="21"/>
                <w:szCs w:val="21"/>
                <w:highlight w:val="none"/>
              </w:rPr>
              <w:t>〕</w:t>
            </w:r>
            <w:r>
              <w:rPr>
                <w:rFonts w:hint="eastAsia" w:ascii="Times New Roman" w:hAnsi="Times New Roman" w:cs="Times New Roman" w:eastAsiaTheme="minorEastAsia"/>
                <w:color w:val="auto"/>
                <w:w w:val="99"/>
                <w:sz w:val="21"/>
                <w:szCs w:val="21"/>
                <w:highlight w:val="none"/>
              </w:rPr>
              <w:t>16</w:t>
            </w:r>
            <w:r>
              <w:rPr>
                <w:rFonts w:ascii="Times New Roman" w:hAnsi="Times New Roman" w:cs="Times New Roman" w:eastAsiaTheme="minorEastAsia"/>
                <w:color w:val="auto"/>
                <w:w w:val="99"/>
                <w:sz w:val="21"/>
                <w:szCs w:val="21"/>
                <w:highlight w:val="none"/>
              </w:rPr>
              <w:t>号</w:t>
            </w:r>
          </w:p>
        </w:tc>
        <w:tc>
          <w:tcPr>
            <w:tcW w:w="140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正在组织验收</w:t>
            </w:r>
          </w:p>
        </w:tc>
      </w:tr>
    </w:tbl>
    <w:p>
      <w:pPr>
        <w:pStyle w:val="134"/>
        <w:tabs>
          <w:tab w:val="left" w:pos="930"/>
        </w:tabs>
        <w:spacing w:before="60" w:after="60" w:line="440" w:lineRule="exact"/>
        <w:ind w:left="0" w:firstLine="0"/>
        <w:jc w:val="both"/>
        <w:outlineLvl w:val="2"/>
        <w:rPr>
          <w:rFonts w:ascii="Times New Roman" w:hAnsi="Times New Roman" w:eastAsia="黑体" w:cs="Times New Roman"/>
          <w:b/>
          <w:bCs/>
          <w:color w:val="auto"/>
          <w:w w:val="99"/>
          <w:highlight w:val="none"/>
          <w:lang w:val="en-US"/>
        </w:rPr>
      </w:pPr>
      <w:bookmarkStart w:id="489" w:name="_Toc77667308"/>
      <w:bookmarkStart w:id="490" w:name="_Toc74812335"/>
      <w:bookmarkStart w:id="491" w:name="_Toc71371964"/>
      <w:bookmarkStart w:id="492" w:name="_Toc80105164"/>
      <w:bookmarkStart w:id="493" w:name="_Toc61597240"/>
      <w:bookmarkStart w:id="494" w:name="_Toc69690830"/>
      <w:bookmarkStart w:id="495" w:name="_Toc67523612"/>
      <w:r>
        <w:rPr>
          <w:b/>
          <w:color w:val="auto"/>
          <w:w w:val="99"/>
          <w:kern w:val="2"/>
          <w:highlight w:val="none"/>
        </w:rPr>
        <w:t>3.9.</w:t>
      </w:r>
      <w:bookmarkEnd w:id="489"/>
      <w:bookmarkEnd w:id="490"/>
      <w:bookmarkEnd w:id="491"/>
      <w:bookmarkEnd w:id="492"/>
      <w:r>
        <w:rPr>
          <w:b/>
          <w:color w:val="auto"/>
          <w:w w:val="99"/>
          <w:kern w:val="2"/>
          <w:highlight w:val="none"/>
        </w:rPr>
        <w:t>3</w:t>
      </w:r>
      <w:r>
        <w:rPr>
          <w:rFonts w:ascii="Times New Roman" w:hAnsi="Times New Roman" w:eastAsia="黑体" w:cs="Times New Roman"/>
          <w:b/>
          <w:bCs/>
          <w:color w:val="auto"/>
          <w:w w:val="99"/>
          <w:highlight w:val="none"/>
          <w:lang w:val="en-US"/>
        </w:rPr>
        <w:t>现有区块开发环保措施落实和效果回顾调查</w:t>
      </w:r>
    </w:p>
    <w:p>
      <w:pPr>
        <w:spacing w:line="440" w:lineRule="exact"/>
        <w:ind w:firstLine="480"/>
        <w:rPr>
          <w:color w:val="auto"/>
          <w:w w:val="99"/>
          <w:highlight w:val="none"/>
        </w:rPr>
      </w:pPr>
      <w:r>
        <w:rPr>
          <w:rFonts w:hint="eastAsia"/>
          <w:color w:val="auto"/>
          <w:w w:val="99"/>
          <w:highlight w:val="none"/>
        </w:rPr>
        <w:t>通过</w:t>
      </w:r>
      <w:r>
        <w:rPr>
          <w:color w:val="auto"/>
          <w:w w:val="99"/>
          <w:highlight w:val="none"/>
        </w:rPr>
        <w:t>对本项目</w:t>
      </w:r>
      <w:r>
        <w:rPr>
          <w:rFonts w:hint="eastAsia"/>
          <w:color w:val="auto"/>
          <w:w w:val="99"/>
          <w:highlight w:val="none"/>
        </w:rPr>
        <w:t>拟建井所在</w:t>
      </w:r>
      <w:r>
        <w:rPr>
          <w:color w:val="auto"/>
          <w:w w:val="99"/>
          <w:highlight w:val="none"/>
        </w:rPr>
        <w:t>区块现场调查、现状监测以及查阅</w:t>
      </w:r>
      <w:r>
        <w:rPr>
          <w:rFonts w:hint="eastAsia"/>
          <w:color w:val="auto"/>
          <w:w w:val="99"/>
          <w:highlight w:val="none"/>
          <w:lang w:eastAsia="zh-CN"/>
        </w:rPr>
        <w:t>临近区块</w:t>
      </w:r>
      <w:r>
        <w:rPr>
          <w:rFonts w:hint="eastAsia"/>
          <w:bCs/>
          <w:color w:val="auto"/>
          <w:w w:val="99"/>
          <w:highlight w:val="none"/>
        </w:rPr>
        <w:t>《朝阳沟油田源211致密油试验区块2015年产能建设工程竣工环境保护</w:t>
      </w:r>
      <w:r>
        <w:rPr>
          <w:bCs/>
          <w:color w:val="auto"/>
          <w:w w:val="99"/>
          <w:highlight w:val="none"/>
        </w:rPr>
        <w:t>验收调查</w:t>
      </w:r>
      <w:r>
        <w:rPr>
          <w:rFonts w:hint="eastAsia"/>
          <w:bCs/>
          <w:color w:val="auto"/>
          <w:w w:val="99"/>
          <w:highlight w:val="none"/>
        </w:rPr>
        <w:t>报告》</w:t>
      </w:r>
      <w:r>
        <w:rPr>
          <w:color w:val="auto"/>
          <w:w w:val="99"/>
          <w:highlight w:val="none"/>
        </w:rPr>
        <w:t>可知：</w:t>
      </w:r>
    </w:p>
    <w:p>
      <w:pPr>
        <w:adjustRightInd w:val="0"/>
        <w:spacing w:line="440" w:lineRule="exact"/>
        <w:ind w:firstLine="480"/>
        <w:rPr>
          <w:rFonts w:ascii="Times New Roman" w:hAnsi="Times New Roman" w:cs="Times New Roman"/>
          <w:bCs/>
          <w:color w:val="auto"/>
          <w:w w:val="99"/>
          <w:highlight w:val="none"/>
        </w:rPr>
      </w:pPr>
      <w:r>
        <w:rPr>
          <w:rFonts w:ascii="Times New Roman" w:hAnsi="Times New Roman" w:cs="Times New Roman"/>
          <w:bCs/>
          <w:color w:val="auto"/>
          <w:w w:val="99"/>
          <w:highlight w:val="none"/>
        </w:rPr>
        <w:t>（1）废气污染防治措施调查结论</w:t>
      </w:r>
    </w:p>
    <w:p>
      <w:pPr>
        <w:spacing w:line="440" w:lineRule="exact"/>
        <w:rPr>
          <w:rFonts w:ascii="Times New Roman" w:hAnsi="Times New Roman" w:cs="Times New Roman"/>
          <w:color w:val="auto"/>
          <w:w w:val="99"/>
          <w:highlight w:val="none"/>
        </w:rPr>
      </w:pPr>
      <w:r>
        <w:rPr>
          <w:rFonts w:ascii="Times New Roman" w:hAnsi="Times New Roman" w:cs="Times New Roman"/>
          <w:color w:val="auto"/>
          <w:w w:val="99"/>
          <w:highlight w:val="none"/>
        </w:rPr>
        <w:t xml:space="preserve">    油田生产采用</w:t>
      </w:r>
      <w:r>
        <w:rPr>
          <w:rFonts w:hint="eastAsia" w:ascii="Times New Roman" w:hAnsi="Times New Roman" w:cs="Times New Roman"/>
          <w:color w:val="auto"/>
          <w:w w:val="99"/>
          <w:highlight w:val="none"/>
        </w:rPr>
        <w:t>管道密闭</w:t>
      </w:r>
      <w:r>
        <w:rPr>
          <w:rFonts w:ascii="Times New Roman" w:hAnsi="Times New Roman" w:cs="Times New Roman"/>
          <w:color w:val="auto"/>
          <w:w w:val="99"/>
          <w:highlight w:val="none"/>
        </w:rPr>
        <w:t>集输工艺，井口全部密闭，设备阀门进行密封、防腐</w:t>
      </w:r>
      <w:r>
        <w:rPr>
          <w:rFonts w:hint="eastAsia" w:ascii="Times New Roman" w:hAnsi="Times New Roman" w:cs="Times New Roman"/>
          <w:color w:val="auto"/>
          <w:w w:val="99"/>
          <w:highlight w:val="none"/>
        </w:rPr>
        <w:t>处理</w:t>
      </w:r>
      <w:r>
        <w:rPr>
          <w:rFonts w:ascii="Times New Roman" w:hAnsi="Times New Roman" w:cs="Times New Roman"/>
          <w:color w:val="auto"/>
          <w:w w:val="99"/>
          <w:highlight w:val="none"/>
        </w:rPr>
        <w:t>，确保了特征污染物非甲烷总烃挥发量将至最低；定期对设备和管道进行</w:t>
      </w:r>
      <w:r>
        <w:rPr>
          <w:rFonts w:hint="eastAsia" w:ascii="Times New Roman" w:hAnsi="Times New Roman" w:cs="Times New Roman"/>
          <w:color w:val="auto"/>
          <w:w w:val="99"/>
          <w:highlight w:val="none"/>
        </w:rPr>
        <w:t>检查</w:t>
      </w:r>
      <w:r>
        <w:rPr>
          <w:rFonts w:ascii="Times New Roman" w:hAnsi="Times New Roman" w:cs="Times New Roman"/>
          <w:color w:val="auto"/>
          <w:w w:val="99"/>
          <w:highlight w:val="none"/>
        </w:rPr>
        <w:t>和</w:t>
      </w:r>
      <w:r>
        <w:rPr>
          <w:rFonts w:hint="eastAsia" w:ascii="Times New Roman" w:hAnsi="Times New Roman" w:cs="Times New Roman"/>
          <w:color w:val="auto"/>
          <w:w w:val="99"/>
          <w:highlight w:val="none"/>
        </w:rPr>
        <w:t>维护</w:t>
      </w:r>
      <w:r>
        <w:rPr>
          <w:rFonts w:ascii="Times New Roman" w:hAnsi="Times New Roman" w:cs="Times New Roman"/>
          <w:color w:val="auto"/>
          <w:w w:val="99"/>
          <w:highlight w:val="none"/>
        </w:rPr>
        <w:t>，</w:t>
      </w:r>
      <w:r>
        <w:rPr>
          <w:rFonts w:hint="eastAsia" w:ascii="Times New Roman" w:hAnsi="Times New Roman" w:cs="Times New Roman"/>
          <w:color w:val="auto"/>
          <w:w w:val="99"/>
          <w:highlight w:val="none"/>
        </w:rPr>
        <w:t>依托</w:t>
      </w:r>
      <w:r>
        <w:rPr>
          <w:rFonts w:ascii="Times New Roman" w:hAnsi="Times New Roman" w:cs="Times New Roman"/>
          <w:color w:val="auto"/>
          <w:w w:val="99"/>
          <w:highlight w:val="none"/>
        </w:rPr>
        <w:t>场站采用了清洁能源</w:t>
      </w:r>
      <w:r>
        <w:rPr>
          <w:rFonts w:hint="eastAsia" w:ascii="Times New Roman" w:hAnsi="Times New Roman" w:cs="Times New Roman"/>
          <w:color w:val="auto"/>
          <w:w w:val="99"/>
          <w:highlight w:val="none"/>
        </w:rPr>
        <w:t>（天然气）</w:t>
      </w:r>
      <w:r>
        <w:rPr>
          <w:rFonts w:ascii="Times New Roman" w:hAnsi="Times New Roman" w:cs="Times New Roman"/>
          <w:color w:val="auto"/>
          <w:w w:val="99"/>
          <w:highlight w:val="none"/>
        </w:rPr>
        <w:t>作为燃料。井场、场站无组织排放的非甲烷总烃满足《大气污染物综合排放标准》 (GB16397-1996)中表 2 无组织排放限值要求；</w:t>
      </w:r>
      <w:r>
        <w:rPr>
          <w:rFonts w:hint="eastAsia" w:ascii="Times New Roman" w:hAnsi="Times New Roman" w:cs="Times New Roman"/>
          <w:color w:val="auto"/>
          <w:w w:val="99"/>
          <w:highlight w:val="none"/>
        </w:rPr>
        <w:t>区块转油站</w:t>
      </w:r>
      <w:r>
        <w:rPr>
          <w:rFonts w:ascii="Times New Roman" w:hAnsi="Times New Roman" w:cs="Times New Roman"/>
          <w:color w:val="auto"/>
          <w:w w:val="99"/>
          <w:highlight w:val="none"/>
        </w:rPr>
        <w:t>加热炉均使用油田伴生气作燃料，排放的废气污染物</w:t>
      </w:r>
      <w:r>
        <w:rPr>
          <w:rFonts w:hint="eastAsia" w:ascii="Times New Roman" w:hAnsi="Times New Roman" w:cs="Times New Roman"/>
          <w:color w:val="auto"/>
          <w:w w:val="99"/>
          <w:highlight w:val="none"/>
        </w:rPr>
        <w:t>满足</w:t>
      </w:r>
      <w:r>
        <w:rPr>
          <w:rFonts w:ascii="Times New Roman" w:hAnsi="Times New Roman" w:cs="Times New Roman"/>
          <w:color w:val="auto"/>
          <w:w w:val="99"/>
          <w:highlight w:val="none"/>
        </w:rPr>
        <w:t>《锅炉大气污染物排放标准》（GB13271-2014）在用燃气锅炉标准</w:t>
      </w:r>
      <w:r>
        <w:rPr>
          <w:rFonts w:hint="eastAsia" w:ascii="Times New Roman" w:hAnsi="Times New Roman" w:cs="Times New Roman"/>
          <w:color w:val="auto"/>
          <w:w w:val="99"/>
          <w:highlight w:val="none"/>
        </w:rPr>
        <w:t>。</w:t>
      </w:r>
    </w:p>
    <w:p>
      <w:pPr>
        <w:adjustRightInd w:val="0"/>
        <w:spacing w:line="440" w:lineRule="exact"/>
        <w:ind w:left="120" w:leftChars="50" w:firstLine="355" w:firstLineChars="150"/>
        <w:rPr>
          <w:rFonts w:ascii="Times New Roman" w:hAnsi="Times New Roman" w:cs="Times New Roman"/>
          <w:bCs/>
          <w:color w:val="auto"/>
          <w:w w:val="99"/>
          <w:highlight w:val="none"/>
        </w:rPr>
      </w:pPr>
      <w:r>
        <w:rPr>
          <w:rFonts w:ascii="Times New Roman" w:hAnsi="Times New Roman" w:cs="Times New Roman"/>
          <w:bCs/>
          <w:color w:val="auto"/>
          <w:w w:val="99"/>
          <w:highlight w:val="none"/>
        </w:rPr>
        <w:t>（2）废水污染防治措施调查结论</w:t>
      </w:r>
    </w:p>
    <w:p>
      <w:pPr>
        <w:adjustRightInd w:val="0"/>
        <w:spacing w:line="440" w:lineRule="exact"/>
        <w:ind w:firstLine="474" w:firstLineChars="200"/>
        <w:rPr>
          <w:rFonts w:ascii="Times New Roman" w:hAnsi="Times New Roman" w:cs="Times New Roman"/>
          <w:bCs/>
          <w:color w:val="auto"/>
          <w:w w:val="99"/>
          <w:highlight w:val="none"/>
        </w:rPr>
      </w:pPr>
      <w:r>
        <w:rPr>
          <w:rFonts w:ascii="Times New Roman" w:hAnsi="Times New Roman" w:cs="Times New Roman"/>
          <w:bCs/>
          <w:color w:val="auto"/>
          <w:w w:val="99"/>
          <w:highlight w:val="none"/>
        </w:rPr>
        <w:t>根据验收</w:t>
      </w:r>
      <w:r>
        <w:rPr>
          <w:rFonts w:hint="eastAsia" w:ascii="Times New Roman" w:hAnsi="Times New Roman" w:cs="Times New Roman"/>
          <w:bCs/>
          <w:color w:val="auto"/>
          <w:w w:val="99"/>
          <w:highlight w:val="none"/>
        </w:rPr>
        <w:t>调查</w:t>
      </w:r>
      <w:r>
        <w:rPr>
          <w:rFonts w:ascii="Times New Roman" w:hAnsi="Times New Roman" w:cs="Times New Roman"/>
          <w:bCs/>
          <w:color w:val="auto"/>
          <w:w w:val="99"/>
          <w:highlight w:val="none"/>
        </w:rPr>
        <w:t>报告，</w:t>
      </w:r>
      <w:r>
        <w:rPr>
          <w:rFonts w:hint="eastAsia" w:ascii="Times New Roman" w:hAnsi="Times New Roman" w:cs="Times New Roman"/>
          <w:bCs/>
          <w:color w:val="auto"/>
          <w:w w:val="99"/>
          <w:highlight w:val="none"/>
        </w:rPr>
        <w:t>朝一联含油污水处理站处理后</w:t>
      </w:r>
      <w:r>
        <w:rPr>
          <w:rFonts w:ascii="Times New Roman" w:hAnsi="Times New Roman" w:cs="Times New Roman"/>
          <w:bCs/>
          <w:color w:val="auto"/>
          <w:w w:val="99"/>
          <w:highlight w:val="none"/>
        </w:rPr>
        <w:t>水质可以满足《大庆油田地面工程建设设计规定》（Q/SYDQ0639-2015）中的</w:t>
      </w:r>
      <w:r>
        <w:rPr>
          <w:rFonts w:hint="eastAsia" w:ascii="Times New Roman" w:hAnsi="Times New Roman" w:cs="Times New Roman"/>
          <w:bCs/>
          <w:color w:val="auto"/>
          <w:w w:val="99"/>
          <w:highlight w:val="none"/>
        </w:rPr>
        <w:t>标准</w:t>
      </w:r>
      <w:r>
        <w:rPr>
          <w:rFonts w:ascii="Times New Roman" w:hAnsi="Times New Roman" w:cs="Times New Roman"/>
          <w:bCs/>
          <w:color w:val="auto"/>
          <w:w w:val="99"/>
          <w:highlight w:val="none"/>
        </w:rPr>
        <w:t>要求。</w:t>
      </w:r>
    </w:p>
    <w:p>
      <w:pPr>
        <w:adjustRightInd w:val="0"/>
        <w:spacing w:line="440" w:lineRule="exact"/>
        <w:rPr>
          <w:rFonts w:ascii="Times New Roman" w:hAnsi="Times New Roman" w:cs="Times New Roman"/>
          <w:bCs/>
          <w:color w:val="auto"/>
          <w:w w:val="99"/>
          <w:highlight w:val="none"/>
        </w:rPr>
      </w:pPr>
      <w:r>
        <w:rPr>
          <w:rFonts w:ascii="Times New Roman" w:hAnsi="Times New Roman" w:cs="Times New Roman"/>
          <w:bCs/>
          <w:color w:val="auto"/>
          <w:w w:val="99"/>
          <w:highlight w:val="none"/>
        </w:rPr>
        <w:t xml:space="preserve">    （3）噪声污染防治措施调查结论</w:t>
      </w:r>
    </w:p>
    <w:p>
      <w:pPr>
        <w:spacing w:line="440" w:lineRule="exact"/>
        <w:ind w:firstLine="474" w:firstLineChars="200"/>
        <w:rPr>
          <w:rFonts w:ascii="Times New Roman" w:hAnsi="Times New Roman" w:cs="Times New Roman"/>
          <w:bCs/>
          <w:color w:val="auto"/>
          <w:w w:val="99"/>
          <w:highlight w:val="none"/>
        </w:rPr>
      </w:pPr>
      <w:r>
        <w:rPr>
          <w:rFonts w:ascii="Times New Roman" w:hAnsi="Times New Roman" w:cs="Times New Roman"/>
          <w:bCs/>
          <w:color w:val="auto"/>
          <w:w w:val="99"/>
          <w:highlight w:val="none"/>
        </w:rPr>
        <w:t>在开发建设过程中，尽可能地选用了低噪声设备，并对噪声较大的设备统一布置在室内，并加装了隔声门窗，</w:t>
      </w:r>
      <w:r>
        <w:rPr>
          <w:rFonts w:hint="eastAsia" w:ascii="Times New Roman" w:hAnsi="Times New Roman" w:cs="Times New Roman"/>
          <w:bCs/>
          <w:color w:val="auto"/>
          <w:w w:val="99"/>
          <w:highlight w:val="none"/>
        </w:rPr>
        <w:t>对设备</w:t>
      </w:r>
      <w:r>
        <w:rPr>
          <w:rFonts w:ascii="Times New Roman" w:hAnsi="Times New Roman" w:cs="Times New Roman"/>
          <w:bCs/>
          <w:color w:val="auto"/>
          <w:w w:val="99"/>
          <w:highlight w:val="none"/>
        </w:rPr>
        <w:t>进行维护保养，保证设备保持在最佳运行状态，降低噪声源</w:t>
      </w:r>
      <w:r>
        <w:rPr>
          <w:rFonts w:hint="eastAsia" w:ascii="Times New Roman" w:hAnsi="Times New Roman" w:cs="Times New Roman"/>
          <w:bCs/>
          <w:color w:val="auto"/>
          <w:w w:val="99"/>
          <w:highlight w:val="none"/>
        </w:rPr>
        <w:t>强度</w:t>
      </w:r>
      <w:r>
        <w:rPr>
          <w:rFonts w:ascii="Times New Roman" w:hAnsi="Times New Roman" w:cs="Times New Roman"/>
          <w:bCs/>
          <w:color w:val="auto"/>
          <w:w w:val="99"/>
          <w:highlight w:val="none"/>
        </w:rPr>
        <w:t>，噪声对外界影响较小。</w:t>
      </w:r>
      <w:r>
        <w:rPr>
          <w:rFonts w:hint="eastAsia" w:ascii="Times New Roman" w:hAnsi="Times New Roman" w:cs="Times New Roman"/>
          <w:bCs/>
          <w:color w:val="auto"/>
          <w:w w:val="99"/>
          <w:highlight w:val="none"/>
        </w:rPr>
        <w:t>根据验收</w:t>
      </w:r>
      <w:r>
        <w:rPr>
          <w:rFonts w:ascii="Times New Roman" w:hAnsi="Times New Roman" w:cs="Times New Roman"/>
          <w:bCs/>
          <w:color w:val="auto"/>
          <w:w w:val="99"/>
          <w:highlight w:val="none"/>
        </w:rPr>
        <w:t>监测报告</w:t>
      </w:r>
      <w:r>
        <w:rPr>
          <w:rFonts w:hint="eastAsia" w:ascii="Times New Roman" w:hAnsi="Times New Roman" w:cs="Times New Roman"/>
          <w:bCs/>
          <w:color w:val="auto"/>
          <w:w w:val="99"/>
          <w:highlight w:val="none"/>
        </w:rPr>
        <w:t>，场</w:t>
      </w:r>
      <w:r>
        <w:rPr>
          <w:rFonts w:ascii="Times New Roman" w:hAnsi="Times New Roman" w:cs="Times New Roman"/>
          <w:bCs/>
          <w:color w:val="auto"/>
          <w:w w:val="99"/>
          <w:highlight w:val="none"/>
        </w:rPr>
        <w:t>站厂界噪声均可满足《工业企业厂界环境噪声排放标准》（GB12348-2008）2类标准，落实了环评及批复中的噪声污染防治措施，对区域声环境影响不大。</w:t>
      </w:r>
    </w:p>
    <w:p>
      <w:pPr>
        <w:adjustRightInd w:val="0"/>
        <w:spacing w:line="440" w:lineRule="exact"/>
        <w:ind w:firstLine="355" w:firstLineChars="150"/>
        <w:rPr>
          <w:rFonts w:ascii="Times New Roman" w:hAnsi="Times New Roman" w:cs="Times New Roman"/>
          <w:bCs/>
          <w:color w:val="auto"/>
          <w:w w:val="99"/>
          <w:highlight w:val="none"/>
        </w:rPr>
      </w:pPr>
      <w:r>
        <w:rPr>
          <w:rFonts w:ascii="Times New Roman" w:hAnsi="Times New Roman" w:cs="Times New Roman"/>
          <w:bCs/>
          <w:color w:val="auto"/>
          <w:w w:val="99"/>
          <w:highlight w:val="none"/>
        </w:rPr>
        <w:t>（4）固体废物污染防治措施调查结论</w:t>
      </w:r>
    </w:p>
    <w:p>
      <w:pPr>
        <w:spacing w:line="440" w:lineRule="exact"/>
        <w:ind w:firstLine="474" w:firstLineChars="200"/>
        <w:rPr>
          <w:rFonts w:ascii="Times New Roman" w:hAnsi="Times New Roman" w:cs="Times New Roman"/>
          <w:bCs/>
          <w:color w:val="auto"/>
          <w:w w:val="99"/>
          <w:highlight w:val="none"/>
        </w:rPr>
      </w:pPr>
      <w:r>
        <w:rPr>
          <w:rFonts w:ascii="Times New Roman" w:hAnsi="Times New Roman" w:cs="Times New Roman"/>
          <w:bCs/>
          <w:color w:val="auto"/>
          <w:w w:val="99"/>
          <w:highlight w:val="none"/>
        </w:rPr>
        <w:t>区块开发产生的固体废物废钻井泥浆、落地油和油泥油砂等，区块废钻井泥浆全部进行集中固化，根据</w:t>
      </w:r>
      <w:r>
        <w:rPr>
          <w:rFonts w:hint="eastAsia"/>
          <w:bCs/>
          <w:color w:val="auto"/>
          <w:w w:val="99"/>
          <w:highlight w:val="none"/>
        </w:rPr>
        <w:t>《朝阳沟油田源211致密油试验区块2015年产能建设工程竣工环境保护</w:t>
      </w:r>
      <w:r>
        <w:rPr>
          <w:bCs/>
          <w:color w:val="auto"/>
          <w:w w:val="99"/>
          <w:highlight w:val="none"/>
        </w:rPr>
        <w:t>验收调查</w:t>
      </w:r>
      <w:r>
        <w:rPr>
          <w:rFonts w:hint="eastAsia"/>
          <w:bCs/>
          <w:color w:val="auto"/>
          <w:w w:val="99"/>
          <w:highlight w:val="none"/>
        </w:rPr>
        <w:t>报告》</w:t>
      </w:r>
      <w:r>
        <w:rPr>
          <w:rFonts w:ascii="Times New Roman" w:hAnsi="Times New Roman" w:cs="Times New Roman"/>
          <w:bCs/>
          <w:color w:val="auto"/>
          <w:w w:val="99"/>
          <w:highlight w:val="none"/>
        </w:rPr>
        <w:t>对泥浆集中固化点取样分析</w:t>
      </w:r>
      <w:r>
        <w:rPr>
          <w:rFonts w:hint="eastAsia" w:ascii="Times New Roman" w:hAnsi="Times New Roman" w:cs="Times New Roman"/>
          <w:bCs/>
          <w:color w:val="auto"/>
          <w:w w:val="99"/>
          <w:highlight w:val="none"/>
        </w:rPr>
        <w:t>结果</w:t>
      </w:r>
      <w:r>
        <w:rPr>
          <w:rFonts w:ascii="Times New Roman" w:hAnsi="Times New Roman" w:cs="Times New Roman"/>
          <w:bCs/>
          <w:color w:val="auto"/>
          <w:w w:val="99"/>
          <w:highlight w:val="none"/>
        </w:rPr>
        <w:t>可知，泥浆固化质量符合《废弃钻井液处理规范》（DB23/T693-2000）废弃钻井液处理技术指标要求。生产过程中生产的油泥、油砂统一送</w:t>
      </w:r>
      <w:r>
        <w:rPr>
          <w:rFonts w:hint="eastAsia" w:ascii="Times New Roman" w:hAnsi="Times New Roman" w:cs="Times New Roman"/>
          <w:bCs/>
          <w:color w:val="auto"/>
          <w:w w:val="99"/>
          <w:highlight w:val="none"/>
        </w:rPr>
        <w:t>朝阳沟油田含油污泥处理站</w:t>
      </w:r>
      <w:r>
        <w:rPr>
          <w:rFonts w:ascii="Times New Roman" w:hAnsi="Times New Roman" w:cs="Times New Roman"/>
          <w:bCs/>
          <w:color w:val="auto"/>
          <w:w w:val="99"/>
          <w:highlight w:val="none"/>
        </w:rPr>
        <w:t>进行无害化处理，处理后污泥满足《油田含油污泥综合利用污染控制标准》（ DB23/T1413-2010）中垫井场、通井路污染控制指标要求（即石油类≤20000mg/kg干污泥）用于垫井场、铺路，固体废物的污染防治措施符合环评文件及其批复的要求。</w:t>
      </w:r>
    </w:p>
    <w:p>
      <w:pPr>
        <w:adjustRightInd w:val="0"/>
        <w:spacing w:line="440" w:lineRule="exact"/>
        <w:ind w:firstLine="474" w:firstLineChars="200"/>
        <w:rPr>
          <w:rFonts w:ascii="Times New Roman" w:hAnsi="Times New Roman" w:cs="Times New Roman"/>
          <w:bCs/>
          <w:color w:val="auto"/>
          <w:w w:val="99"/>
          <w:highlight w:val="none"/>
        </w:rPr>
      </w:pPr>
      <w:r>
        <w:rPr>
          <w:rFonts w:ascii="Times New Roman" w:hAnsi="Times New Roman" w:cs="Times New Roman"/>
          <w:bCs/>
          <w:color w:val="auto"/>
          <w:w w:val="99"/>
          <w:highlight w:val="none"/>
        </w:rPr>
        <w:t>（5）生态影响调查结论</w:t>
      </w:r>
    </w:p>
    <w:p>
      <w:pPr>
        <w:adjustRightInd w:val="0"/>
        <w:spacing w:line="440" w:lineRule="exact"/>
        <w:ind w:firstLine="474" w:firstLineChars="200"/>
        <w:rPr>
          <w:rFonts w:ascii="Times New Roman" w:hAnsi="Times New Roman" w:cs="Times New Roman"/>
          <w:bCs/>
          <w:color w:val="auto"/>
          <w:w w:val="99"/>
          <w:highlight w:val="none"/>
        </w:rPr>
      </w:pPr>
      <w:r>
        <w:rPr>
          <w:rFonts w:ascii="Times New Roman" w:hAnsi="Times New Roman" w:cs="Times New Roman"/>
          <w:bCs/>
          <w:color w:val="auto"/>
          <w:w w:val="99"/>
          <w:highlight w:val="none"/>
        </w:rPr>
        <w:t>各区块按照</w:t>
      </w:r>
      <w:r>
        <w:rPr>
          <w:rFonts w:hint="eastAsia" w:ascii="Times New Roman" w:hAnsi="Times New Roman" w:cs="Times New Roman"/>
          <w:bCs/>
          <w:color w:val="auto"/>
          <w:w w:val="99"/>
          <w:highlight w:val="none"/>
        </w:rPr>
        <w:t>相关</w:t>
      </w:r>
      <w:r>
        <w:rPr>
          <w:rFonts w:ascii="Times New Roman" w:hAnsi="Times New Roman" w:cs="Times New Roman"/>
          <w:bCs/>
          <w:color w:val="auto"/>
          <w:w w:val="99"/>
          <w:highlight w:val="none"/>
        </w:rPr>
        <w:t>要求采取了一系列生态保护和恢复措施，没有改变项目区的生态系统结构与功能，项目区的生态组分及生物多样性未受影响，生态格局变化不大；本项目除了占地</w:t>
      </w:r>
      <w:r>
        <w:rPr>
          <w:rFonts w:hint="eastAsia" w:ascii="Times New Roman" w:hAnsi="Times New Roman" w:cs="Times New Roman"/>
          <w:bCs/>
          <w:color w:val="auto"/>
          <w:w w:val="99"/>
          <w:highlight w:val="none"/>
        </w:rPr>
        <w:t>影响生物量</w:t>
      </w:r>
      <w:r>
        <w:rPr>
          <w:rFonts w:ascii="Times New Roman" w:hAnsi="Times New Roman" w:cs="Times New Roman"/>
          <w:bCs/>
          <w:color w:val="auto"/>
          <w:w w:val="99"/>
          <w:highlight w:val="none"/>
        </w:rPr>
        <w:t>外，对生态的影响较小。</w:t>
      </w:r>
    </w:p>
    <w:p>
      <w:pPr>
        <w:spacing w:line="440" w:lineRule="exact"/>
        <w:ind w:firstLine="474" w:firstLineChars="200"/>
        <w:jc w:val="both"/>
        <w:rPr>
          <w:rFonts w:ascii="Times New Roman" w:hAnsi="Times New Roman" w:cs="Times New Roman"/>
          <w:color w:val="auto"/>
          <w:w w:val="99"/>
          <w:highlight w:val="none"/>
        </w:rPr>
      </w:pPr>
      <w:r>
        <w:rPr>
          <w:rFonts w:hint="eastAsia" w:ascii="Times New Roman" w:hAnsi="Times New Roman" w:cs="Times New Roman"/>
          <w:color w:val="auto"/>
          <w:w w:val="99"/>
          <w:highlight w:val="none"/>
        </w:rPr>
        <w:t>根据</w:t>
      </w:r>
      <w:r>
        <w:rPr>
          <w:rFonts w:ascii="Times New Roman" w:hAnsi="Times New Roman" w:cs="Times New Roman"/>
          <w:color w:val="auto"/>
          <w:w w:val="99"/>
          <w:highlight w:val="none"/>
        </w:rPr>
        <w:t>本项目现场调查，参照</w:t>
      </w:r>
      <w:r>
        <w:rPr>
          <w:rFonts w:hint="eastAsia"/>
          <w:bCs/>
          <w:color w:val="auto"/>
          <w:w w:val="99"/>
          <w:highlight w:val="none"/>
        </w:rPr>
        <w:t>《朝阳沟油田源211致密油试验区块2015年产能建设工程竣工环境保护</w:t>
      </w:r>
      <w:r>
        <w:rPr>
          <w:bCs/>
          <w:color w:val="auto"/>
          <w:w w:val="99"/>
          <w:highlight w:val="none"/>
        </w:rPr>
        <w:t>验收调查</w:t>
      </w:r>
      <w:r>
        <w:rPr>
          <w:rFonts w:hint="eastAsia"/>
          <w:bCs/>
          <w:color w:val="auto"/>
          <w:w w:val="99"/>
          <w:highlight w:val="none"/>
        </w:rPr>
        <w:t>报告》</w:t>
      </w:r>
      <w:r>
        <w:rPr>
          <w:rFonts w:ascii="Times New Roman" w:hAnsi="Times New Roman" w:cs="Times New Roman"/>
          <w:color w:val="auto"/>
          <w:w w:val="99"/>
          <w:highlight w:val="none"/>
        </w:rPr>
        <w:t>，评价区域内</w:t>
      </w:r>
      <w:r>
        <w:rPr>
          <w:rFonts w:hint="eastAsia" w:ascii="Times New Roman" w:hAnsi="Times New Roman" w:cs="Times New Roman"/>
          <w:color w:val="auto"/>
          <w:w w:val="99"/>
          <w:highlight w:val="none"/>
        </w:rPr>
        <w:t>井场和</w:t>
      </w:r>
      <w:r>
        <w:rPr>
          <w:rFonts w:ascii="Times New Roman" w:hAnsi="Times New Roman" w:cs="Times New Roman"/>
          <w:color w:val="auto"/>
          <w:w w:val="99"/>
          <w:highlight w:val="none"/>
        </w:rPr>
        <w:t>场站永久占地土壤中</w:t>
      </w:r>
      <w:r>
        <w:rPr>
          <w:rFonts w:hint="eastAsia" w:ascii="Times New Roman" w:hAnsi="Times New Roman" w:cs="Times New Roman"/>
          <w:color w:val="auto"/>
          <w:w w:val="99"/>
          <w:highlight w:val="none"/>
        </w:rPr>
        <w:t>P</w:t>
      </w:r>
      <w:r>
        <w:rPr>
          <w:rFonts w:ascii="Times New Roman" w:hAnsi="Times New Roman" w:cs="Times New Roman"/>
          <w:color w:val="auto"/>
          <w:w w:val="99"/>
          <w:highlight w:val="none"/>
        </w:rPr>
        <w:t>b、</w:t>
      </w:r>
      <w:r>
        <w:rPr>
          <w:rFonts w:hint="eastAsia" w:ascii="Times New Roman" w:hAnsi="Times New Roman" w:cs="Times New Roman"/>
          <w:color w:val="auto"/>
          <w:w w:val="99"/>
          <w:highlight w:val="none"/>
        </w:rPr>
        <w:t>H</w:t>
      </w:r>
      <w:r>
        <w:rPr>
          <w:rFonts w:ascii="Times New Roman" w:hAnsi="Times New Roman" w:cs="Times New Roman"/>
          <w:color w:val="auto"/>
          <w:w w:val="99"/>
          <w:highlight w:val="none"/>
        </w:rPr>
        <w:t>g、</w:t>
      </w:r>
      <w:r>
        <w:rPr>
          <w:rFonts w:hint="eastAsia" w:ascii="Times New Roman" w:hAnsi="Times New Roman" w:cs="Times New Roman"/>
          <w:color w:val="auto"/>
          <w:w w:val="99"/>
          <w:highlight w:val="none"/>
        </w:rPr>
        <w:t>A</w:t>
      </w:r>
      <w:r>
        <w:rPr>
          <w:rFonts w:ascii="Times New Roman" w:hAnsi="Times New Roman" w:cs="Times New Roman"/>
          <w:color w:val="auto"/>
          <w:w w:val="99"/>
          <w:highlight w:val="none"/>
        </w:rPr>
        <w:t>s、石油烃等污染物满足《土壤环境质量 建设用地土壤污染风险管控标准（试行）》（GB36600-2018）筛选值中第二类用地标准，以及表2（其他项目）中第二类用地</w:t>
      </w:r>
      <w:r>
        <w:rPr>
          <w:rFonts w:hint="eastAsia" w:ascii="Times New Roman" w:hAnsi="Times New Roman" w:cs="Times New Roman"/>
          <w:color w:val="auto"/>
          <w:w w:val="99"/>
          <w:highlight w:val="none"/>
        </w:rPr>
        <w:t>石油烃</w:t>
      </w:r>
      <w:r>
        <w:rPr>
          <w:rFonts w:ascii="Times New Roman" w:hAnsi="Times New Roman" w:cs="Times New Roman"/>
          <w:color w:val="auto"/>
          <w:w w:val="99"/>
          <w:highlight w:val="none"/>
        </w:rPr>
        <w:t>筛选值标准；</w:t>
      </w:r>
      <w:r>
        <w:rPr>
          <w:rFonts w:hint="eastAsia" w:ascii="Times New Roman" w:hAnsi="Times New Roman" w:cs="Times New Roman"/>
          <w:color w:val="auto"/>
          <w:w w:val="99"/>
          <w:highlight w:val="none"/>
        </w:rPr>
        <w:t>永久占地外</w:t>
      </w:r>
      <w:r>
        <w:rPr>
          <w:rFonts w:ascii="Times New Roman" w:hAnsi="Times New Roman" w:cs="Times New Roman"/>
          <w:color w:val="auto"/>
          <w:w w:val="99"/>
          <w:highlight w:val="none"/>
        </w:rPr>
        <w:t>耕地土壤</w:t>
      </w:r>
      <w:r>
        <w:rPr>
          <w:rFonts w:hint="eastAsia" w:ascii="Times New Roman" w:hAnsi="Times New Roman" w:cs="Times New Roman"/>
          <w:color w:val="auto"/>
          <w:w w:val="99"/>
          <w:highlight w:val="none"/>
        </w:rPr>
        <w:t>P</w:t>
      </w:r>
      <w:r>
        <w:rPr>
          <w:rFonts w:ascii="Times New Roman" w:hAnsi="Times New Roman" w:cs="Times New Roman"/>
          <w:color w:val="auto"/>
          <w:w w:val="99"/>
          <w:highlight w:val="none"/>
        </w:rPr>
        <w:t>b、</w:t>
      </w:r>
      <w:r>
        <w:rPr>
          <w:rFonts w:hint="eastAsia" w:ascii="Times New Roman" w:hAnsi="Times New Roman" w:cs="Times New Roman"/>
          <w:color w:val="auto"/>
          <w:w w:val="99"/>
          <w:highlight w:val="none"/>
        </w:rPr>
        <w:t>H</w:t>
      </w:r>
      <w:r>
        <w:rPr>
          <w:rFonts w:ascii="Times New Roman" w:hAnsi="Times New Roman" w:cs="Times New Roman"/>
          <w:color w:val="auto"/>
          <w:w w:val="99"/>
          <w:highlight w:val="none"/>
        </w:rPr>
        <w:t>g、</w:t>
      </w:r>
      <w:r>
        <w:rPr>
          <w:rFonts w:hint="eastAsia" w:ascii="Times New Roman" w:hAnsi="Times New Roman" w:cs="Times New Roman"/>
          <w:color w:val="auto"/>
          <w:w w:val="99"/>
          <w:highlight w:val="none"/>
        </w:rPr>
        <w:t>C</w:t>
      </w:r>
      <w:r>
        <w:rPr>
          <w:rFonts w:ascii="Times New Roman" w:hAnsi="Times New Roman" w:cs="Times New Roman"/>
          <w:color w:val="auto"/>
          <w:w w:val="99"/>
          <w:highlight w:val="none"/>
        </w:rPr>
        <w:t>r、</w:t>
      </w:r>
      <w:r>
        <w:rPr>
          <w:rFonts w:hint="eastAsia" w:ascii="Times New Roman" w:hAnsi="Times New Roman" w:cs="Times New Roman"/>
          <w:color w:val="auto"/>
          <w:w w:val="99"/>
          <w:highlight w:val="none"/>
        </w:rPr>
        <w:t>A</w:t>
      </w:r>
      <w:r>
        <w:rPr>
          <w:rFonts w:ascii="Times New Roman" w:hAnsi="Times New Roman" w:cs="Times New Roman"/>
          <w:color w:val="auto"/>
          <w:w w:val="99"/>
          <w:highlight w:val="none"/>
        </w:rPr>
        <w:t>s满足《土壤环境质量 农用地土壤污染风险管控标准（试行）》（GB15618-2018）筛选值标准</w:t>
      </w:r>
      <w:r>
        <w:rPr>
          <w:rFonts w:hint="eastAsia" w:ascii="Times New Roman" w:hAnsi="Times New Roman" w:cs="Times New Roman"/>
          <w:color w:val="auto"/>
          <w:w w:val="99"/>
          <w:highlight w:val="none"/>
        </w:rPr>
        <w:t>，油田</w:t>
      </w:r>
      <w:r>
        <w:rPr>
          <w:rFonts w:ascii="Times New Roman" w:hAnsi="Times New Roman" w:cs="Times New Roman"/>
          <w:color w:val="auto"/>
          <w:w w:val="99"/>
          <w:highlight w:val="none"/>
        </w:rPr>
        <w:t>特征污染物石油类及挥发酚的监测值均低于</w:t>
      </w:r>
      <w:r>
        <w:rPr>
          <w:rFonts w:hint="eastAsia" w:ascii="Times New Roman" w:hAnsi="Times New Roman" w:cs="Times New Roman"/>
          <w:color w:val="auto"/>
          <w:w w:val="99"/>
          <w:highlight w:val="none"/>
        </w:rPr>
        <w:t>参照标准值</w:t>
      </w:r>
      <w:r>
        <w:rPr>
          <w:rFonts w:ascii="Times New Roman" w:hAnsi="Times New Roman" w:cs="Times New Roman"/>
          <w:color w:val="auto"/>
          <w:w w:val="99"/>
          <w:highlight w:val="none"/>
        </w:rPr>
        <w:t>。</w:t>
      </w:r>
    </w:p>
    <w:p>
      <w:pPr>
        <w:pStyle w:val="32"/>
        <w:widowControl w:val="0"/>
        <w:spacing w:line="500" w:lineRule="exact"/>
        <w:ind w:firstLine="474" w:firstLineChars="200"/>
        <w:rPr>
          <w:rFonts w:hint="eastAsia" w:ascii="Times New Roman" w:hAnsi="Times New Roman" w:eastAsia="宋体"/>
          <w:bCs/>
          <w:color w:val="auto"/>
          <w:w w:val="99"/>
          <w:szCs w:val="20"/>
          <w:highlight w:val="none"/>
          <w:lang w:val="en-US" w:eastAsia="zh-CN"/>
        </w:rPr>
      </w:pPr>
      <w:r>
        <w:rPr>
          <w:rFonts w:ascii="Times New Roman" w:hAnsi="Times New Roman"/>
          <w:color w:val="auto"/>
          <w:w w:val="99"/>
          <w:szCs w:val="24"/>
          <w:highlight w:val="none"/>
        </w:rPr>
        <w:t>根据现场调查，项目</w:t>
      </w:r>
      <w:r>
        <w:rPr>
          <w:rFonts w:hint="eastAsia" w:ascii="Times New Roman" w:hAnsi="Times New Roman"/>
          <w:color w:val="auto"/>
          <w:w w:val="99"/>
          <w:szCs w:val="24"/>
          <w:highlight w:val="none"/>
        </w:rPr>
        <w:t>区块</w:t>
      </w:r>
      <w:r>
        <w:rPr>
          <w:rFonts w:ascii="Times New Roman" w:hAnsi="Times New Roman"/>
          <w:color w:val="auto"/>
          <w:w w:val="99"/>
          <w:szCs w:val="24"/>
          <w:highlight w:val="none"/>
        </w:rPr>
        <w:t>内井场和场站进行了规范化管理，</w:t>
      </w:r>
      <w:r>
        <w:rPr>
          <w:rFonts w:hint="eastAsia" w:ascii="Times New Roman" w:hAnsi="Times New Roman"/>
          <w:color w:val="auto"/>
          <w:w w:val="99"/>
          <w:szCs w:val="24"/>
          <w:highlight w:val="none"/>
        </w:rPr>
        <w:t>井场和</w:t>
      </w:r>
      <w:r>
        <w:rPr>
          <w:rFonts w:ascii="Times New Roman" w:hAnsi="Times New Roman"/>
          <w:color w:val="auto"/>
          <w:w w:val="99"/>
          <w:szCs w:val="24"/>
          <w:highlight w:val="none"/>
        </w:rPr>
        <w:t>场站运行过程中</w:t>
      </w:r>
      <w:r>
        <w:rPr>
          <w:rFonts w:hint="eastAsia" w:ascii="Times New Roman" w:hAnsi="Times New Roman"/>
          <w:color w:val="auto"/>
          <w:w w:val="99"/>
          <w:szCs w:val="24"/>
          <w:highlight w:val="none"/>
        </w:rPr>
        <w:t>挥发</w:t>
      </w:r>
      <w:r>
        <w:rPr>
          <w:rFonts w:ascii="Times New Roman" w:hAnsi="Times New Roman"/>
          <w:color w:val="auto"/>
          <w:w w:val="99"/>
          <w:szCs w:val="24"/>
          <w:highlight w:val="none"/>
        </w:rPr>
        <w:t>的非甲烷总烃、</w:t>
      </w:r>
      <w:r>
        <w:rPr>
          <w:rFonts w:hint="eastAsia" w:ascii="Times New Roman" w:hAnsi="Times New Roman"/>
          <w:color w:val="auto"/>
          <w:w w:val="99"/>
          <w:szCs w:val="24"/>
          <w:highlight w:val="none"/>
        </w:rPr>
        <w:t>采油废水、设备噪声和含油污泥</w:t>
      </w:r>
      <w:r>
        <w:rPr>
          <w:rFonts w:ascii="Times New Roman" w:hAnsi="Times New Roman"/>
          <w:color w:val="auto"/>
          <w:w w:val="99"/>
          <w:szCs w:val="24"/>
          <w:highlight w:val="none"/>
        </w:rPr>
        <w:t>等</w:t>
      </w:r>
      <w:r>
        <w:rPr>
          <w:rFonts w:hint="eastAsia" w:ascii="Times New Roman" w:hAnsi="Times New Roman"/>
          <w:color w:val="auto"/>
          <w:w w:val="99"/>
          <w:szCs w:val="24"/>
          <w:highlight w:val="none"/>
        </w:rPr>
        <w:t>固体废物均</w:t>
      </w:r>
      <w:r>
        <w:rPr>
          <w:rFonts w:ascii="Times New Roman" w:hAnsi="Times New Roman"/>
          <w:color w:val="auto"/>
          <w:w w:val="99"/>
          <w:szCs w:val="24"/>
          <w:highlight w:val="none"/>
        </w:rPr>
        <w:t>按</w:t>
      </w:r>
      <w:r>
        <w:rPr>
          <w:rFonts w:hint="eastAsia" w:ascii="Times New Roman" w:hAnsi="Times New Roman"/>
          <w:color w:val="auto"/>
          <w:w w:val="99"/>
          <w:szCs w:val="24"/>
          <w:highlight w:val="none"/>
        </w:rPr>
        <w:t>要求</w:t>
      </w:r>
      <w:r>
        <w:rPr>
          <w:rFonts w:ascii="Times New Roman" w:hAnsi="Times New Roman"/>
          <w:color w:val="auto"/>
          <w:w w:val="99"/>
          <w:szCs w:val="24"/>
          <w:highlight w:val="none"/>
        </w:rPr>
        <w:t>得到了合理处置，</w:t>
      </w:r>
      <w:r>
        <w:rPr>
          <w:rFonts w:hint="eastAsia" w:ascii="Times New Roman" w:hAnsi="Times New Roman"/>
          <w:color w:val="auto"/>
          <w:w w:val="99"/>
          <w:szCs w:val="24"/>
          <w:highlight w:val="none"/>
        </w:rPr>
        <w:t>满足</w:t>
      </w:r>
      <w:r>
        <w:rPr>
          <w:rFonts w:ascii="Times New Roman" w:hAnsi="Times New Roman"/>
          <w:color w:val="auto"/>
          <w:w w:val="99"/>
          <w:szCs w:val="24"/>
          <w:highlight w:val="none"/>
        </w:rPr>
        <w:t>达标</w:t>
      </w:r>
      <w:r>
        <w:rPr>
          <w:rFonts w:hint="eastAsia" w:ascii="Times New Roman" w:hAnsi="Times New Roman"/>
          <w:color w:val="auto"/>
          <w:w w:val="99"/>
          <w:szCs w:val="24"/>
          <w:highlight w:val="none"/>
        </w:rPr>
        <w:t>排放</w:t>
      </w:r>
      <w:r>
        <w:rPr>
          <w:rFonts w:ascii="Times New Roman" w:hAnsi="Times New Roman"/>
          <w:color w:val="auto"/>
          <w:w w:val="99"/>
          <w:szCs w:val="24"/>
          <w:highlight w:val="none"/>
        </w:rPr>
        <w:t>要求，</w:t>
      </w:r>
      <w:r>
        <w:rPr>
          <w:rFonts w:hint="eastAsia" w:ascii="Times New Roman" w:hAnsi="Times New Roman"/>
          <w:color w:val="auto"/>
          <w:w w:val="99"/>
          <w:szCs w:val="24"/>
          <w:highlight w:val="none"/>
        </w:rPr>
        <w:t>井场及</w:t>
      </w:r>
      <w:r>
        <w:rPr>
          <w:rFonts w:ascii="Times New Roman" w:hAnsi="Times New Roman"/>
          <w:color w:val="auto"/>
          <w:w w:val="99"/>
          <w:szCs w:val="24"/>
          <w:highlight w:val="none"/>
        </w:rPr>
        <w:t>管线、道路沿线周边占地生态恢复良好，</w:t>
      </w:r>
      <w:r>
        <w:rPr>
          <w:rFonts w:hint="eastAsia" w:ascii="Times New Roman" w:hAnsi="Times New Roman"/>
          <w:color w:val="auto"/>
          <w:w w:val="99"/>
          <w:szCs w:val="24"/>
          <w:highlight w:val="none"/>
        </w:rPr>
        <w:t>区块内</w:t>
      </w:r>
      <w:r>
        <w:rPr>
          <w:rFonts w:ascii="Times New Roman" w:hAnsi="Times New Roman"/>
          <w:color w:val="auto"/>
          <w:w w:val="99"/>
          <w:szCs w:val="24"/>
          <w:highlight w:val="none"/>
        </w:rPr>
        <w:t>已采取的各项环保措施有效，油田的开发对区域</w:t>
      </w:r>
      <w:r>
        <w:rPr>
          <w:rFonts w:hint="eastAsia" w:ascii="Times New Roman" w:hAnsi="Times New Roman"/>
          <w:color w:val="auto"/>
          <w:w w:val="99"/>
          <w:szCs w:val="24"/>
          <w:highlight w:val="none"/>
        </w:rPr>
        <w:t>环境</w:t>
      </w:r>
      <w:r>
        <w:rPr>
          <w:rFonts w:ascii="Times New Roman" w:hAnsi="Times New Roman"/>
          <w:color w:val="auto"/>
          <w:w w:val="99"/>
          <w:szCs w:val="24"/>
          <w:highlight w:val="none"/>
        </w:rPr>
        <w:t>和生态系统没有造成明显影响</w:t>
      </w:r>
      <w:r>
        <w:rPr>
          <w:rFonts w:hint="eastAsia" w:ascii="Times New Roman" w:hAnsi="Times New Roman"/>
          <w:color w:val="auto"/>
          <w:w w:val="99"/>
          <w:szCs w:val="24"/>
          <w:highlight w:val="none"/>
          <w:lang w:eastAsia="zh-CN"/>
        </w:rPr>
        <w:t>。</w:t>
      </w:r>
    </w:p>
    <w:p>
      <w:pPr>
        <w:pStyle w:val="7"/>
        <w:keepNext w:val="0"/>
        <w:keepLines w:val="0"/>
        <w:widowControl w:val="0"/>
        <w:rPr>
          <w:b/>
          <w:color w:val="auto"/>
          <w:w w:val="99"/>
          <w:kern w:val="2"/>
          <w:sz w:val="24"/>
          <w:szCs w:val="24"/>
          <w:highlight w:val="none"/>
        </w:rPr>
      </w:pPr>
      <w:bookmarkStart w:id="496" w:name="_Toc71371965"/>
      <w:bookmarkStart w:id="497" w:name="_Toc80105165"/>
      <w:bookmarkStart w:id="498" w:name="_Toc74812336"/>
      <w:bookmarkStart w:id="499" w:name="_Toc77667309"/>
      <w:r>
        <w:rPr>
          <w:b/>
          <w:color w:val="auto"/>
          <w:w w:val="99"/>
          <w:kern w:val="2"/>
          <w:sz w:val="24"/>
          <w:szCs w:val="24"/>
          <w:highlight w:val="none"/>
        </w:rPr>
        <w:t>3.9.</w:t>
      </w:r>
      <w:r>
        <w:rPr>
          <w:rFonts w:hint="eastAsia"/>
          <w:b/>
          <w:color w:val="auto"/>
          <w:w w:val="99"/>
          <w:kern w:val="2"/>
          <w:sz w:val="24"/>
          <w:szCs w:val="24"/>
          <w:highlight w:val="none"/>
        </w:rPr>
        <w:t>4</w:t>
      </w:r>
      <w:r>
        <w:rPr>
          <w:b/>
          <w:color w:val="auto"/>
          <w:w w:val="99"/>
          <w:kern w:val="2"/>
          <w:sz w:val="24"/>
          <w:szCs w:val="24"/>
          <w:highlight w:val="none"/>
        </w:rPr>
        <w:t xml:space="preserve"> 现有工程存在的环境问题</w:t>
      </w:r>
      <w:bookmarkEnd w:id="496"/>
      <w:bookmarkEnd w:id="497"/>
      <w:bookmarkEnd w:id="498"/>
      <w:bookmarkEnd w:id="499"/>
    </w:p>
    <w:p>
      <w:pPr>
        <w:spacing w:line="440" w:lineRule="exact"/>
        <w:ind w:firstLine="474" w:firstLineChars="200"/>
        <w:jc w:val="both"/>
        <w:rPr>
          <w:rFonts w:ascii="Times New Roman" w:hAnsi="Times New Roman" w:cs="Times New Roman"/>
          <w:color w:val="auto"/>
          <w:w w:val="99"/>
          <w:highlight w:val="none"/>
        </w:rPr>
      </w:pPr>
      <w:r>
        <w:rPr>
          <w:rFonts w:hint="eastAsia" w:ascii="Times New Roman" w:hAnsi="Times New Roman" w:cs="Times New Roman"/>
          <w:color w:val="auto"/>
          <w:w w:val="99"/>
          <w:highlight w:val="none"/>
        </w:rPr>
        <w:t>本项目拟建</w:t>
      </w:r>
      <w:r>
        <w:rPr>
          <w:rFonts w:ascii="Times New Roman" w:hAnsi="Times New Roman" w:cs="Times New Roman"/>
          <w:color w:val="auto"/>
          <w:w w:val="99"/>
          <w:highlight w:val="none"/>
        </w:rPr>
        <w:t>井场位于耕地中，项目区域地面系统建有较为完善的油、气、水、电、路等工程。本项目所在区域内生态环境为</w:t>
      </w:r>
      <w:r>
        <w:rPr>
          <w:rFonts w:hint="eastAsia" w:ascii="Times New Roman" w:hAnsi="Times New Roman" w:cs="Times New Roman"/>
          <w:color w:val="auto"/>
          <w:w w:val="99"/>
          <w:highlight w:val="none"/>
        </w:rPr>
        <w:t>耕地</w:t>
      </w:r>
      <w:r>
        <w:rPr>
          <w:rFonts w:ascii="Times New Roman" w:hAnsi="Times New Roman" w:cs="Times New Roman"/>
          <w:color w:val="auto"/>
          <w:w w:val="99"/>
          <w:highlight w:val="none"/>
        </w:rPr>
        <w:t>生态系统，为保护区域生态环境，采油</w:t>
      </w:r>
      <w:r>
        <w:rPr>
          <w:rFonts w:hint="eastAsia" w:ascii="Times New Roman" w:hAnsi="Times New Roman" w:cs="Times New Roman"/>
          <w:color w:val="auto"/>
          <w:w w:val="99"/>
          <w:highlight w:val="none"/>
        </w:rPr>
        <w:t>十</w:t>
      </w:r>
      <w:r>
        <w:rPr>
          <w:rFonts w:ascii="Times New Roman" w:hAnsi="Times New Roman" w:cs="Times New Roman"/>
          <w:color w:val="auto"/>
          <w:w w:val="99"/>
          <w:highlight w:val="none"/>
        </w:rPr>
        <w:t>厂在</w:t>
      </w:r>
      <w:r>
        <w:rPr>
          <w:rFonts w:hint="eastAsia" w:ascii="Times New Roman" w:hAnsi="Times New Roman" w:cs="Times New Roman"/>
          <w:color w:val="auto"/>
          <w:w w:val="99"/>
          <w:highlight w:val="none"/>
        </w:rPr>
        <w:t>油田开发</w:t>
      </w:r>
      <w:r>
        <w:rPr>
          <w:rFonts w:ascii="Times New Roman" w:hAnsi="Times New Roman" w:cs="Times New Roman"/>
          <w:color w:val="auto"/>
          <w:w w:val="99"/>
          <w:highlight w:val="none"/>
        </w:rPr>
        <w:t>时采取了一系列的生态保护措施保护区域生态系统，例如尽可能增加丛式井比例，严格控制井场的临时及永久占地，井场钻井施工结束后及时进行生态恢复，通过采取了相应生态保护措施后，油田的开发对区域生态系统没有造成明显影响。</w:t>
      </w:r>
    </w:p>
    <w:p>
      <w:pPr>
        <w:pStyle w:val="32"/>
        <w:widowControl w:val="0"/>
        <w:spacing w:line="500" w:lineRule="exact"/>
        <w:ind w:firstLine="474" w:firstLineChars="200"/>
        <w:rPr>
          <w:rFonts w:ascii="Times New Roman" w:hAnsi="Times New Roman"/>
          <w:bCs/>
          <w:color w:val="auto"/>
          <w:w w:val="99"/>
          <w:szCs w:val="20"/>
          <w:highlight w:val="none"/>
        </w:rPr>
      </w:pPr>
      <w:r>
        <w:rPr>
          <w:rFonts w:hint="eastAsia" w:ascii="Times New Roman" w:hAnsi="Times New Roman"/>
          <w:color w:val="auto"/>
          <w:w w:val="99"/>
          <w:szCs w:val="24"/>
          <w:highlight w:val="none"/>
        </w:rPr>
        <w:t>现有工程严格实施 HSE 环境管理体系，第十采油厂逐级落实岗位责任制；各工区小队或场站设专职环保员一名，相应采油工区队长及场站站长为 HSE管理体系的第一负责人，对单位日常生产过程中的相关环境工作进行管理。目前所采取的各项环保措施是有效的，项目区域不存在原有污染问题</w:t>
      </w:r>
      <w:r>
        <w:rPr>
          <w:rFonts w:ascii="Times New Roman" w:hAnsi="Times New Roman"/>
          <w:bCs/>
          <w:color w:val="auto"/>
          <w:w w:val="99"/>
          <w:szCs w:val="20"/>
          <w:highlight w:val="none"/>
        </w:rPr>
        <w:t>。</w:t>
      </w:r>
      <w:r>
        <w:rPr>
          <w:rFonts w:hint="eastAsia" w:ascii="Times New Roman" w:hAnsi="Times New Roman"/>
          <w:bCs/>
          <w:color w:val="auto"/>
          <w:w w:val="99"/>
          <w:szCs w:val="20"/>
          <w:highlight w:val="none"/>
        </w:rPr>
        <w:t>由</w:t>
      </w:r>
      <w:r>
        <w:rPr>
          <w:rFonts w:ascii="Times New Roman" w:hAnsi="Times New Roman"/>
          <w:bCs/>
          <w:color w:val="auto"/>
          <w:w w:val="99"/>
          <w:szCs w:val="20"/>
          <w:highlight w:val="none"/>
        </w:rPr>
        <w:t>以上分析本项目</w:t>
      </w:r>
      <w:r>
        <w:rPr>
          <w:rFonts w:hint="eastAsia" w:ascii="Times New Roman" w:hAnsi="Times New Roman"/>
          <w:bCs/>
          <w:color w:val="auto"/>
          <w:w w:val="99"/>
          <w:szCs w:val="20"/>
          <w:highlight w:val="none"/>
        </w:rPr>
        <w:t>现有</w:t>
      </w:r>
      <w:r>
        <w:rPr>
          <w:rFonts w:ascii="Times New Roman" w:hAnsi="Times New Roman"/>
          <w:bCs/>
          <w:color w:val="auto"/>
          <w:w w:val="99"/>
          <w:szCs w:val="20"/>
          <w:highlight w:val="none"/>
        </w:rPr>
        <w:t>工程</w:t>
      </w:r>
      <w:r>
        <w:rPr>
          <w:rFonts w:hint="eastAsia" w:ascii="Times New Roman" w:hAnsi="Times New Roman"/>
          <w:bCs/>
          <w:color w:val="auto"/>
          <w:w w:val="99"/>
          <w:szCs w:val="20"/>
          <w:highlight w:val="none"/>
        </w:rPr>
        <w:t>各项</w:t>
      </w:r>
      <w:r>
        <w:rPr>
          <w:rFonts w:ascii="Times New Roman" w:hAnsi="Times New Roman"/>
          <w:bCs/>
          <w:color w:val="auto"/>
          <w:w w:val="99"/>
          <w:szCs w:val="20"/>
          <w:highlight w:val="none"/>
        </w:rPr>
        <w:t>污染</w:t>
      </w:r>
      <w:r>
        <w:rPr>
          <w:rFonts w:hint="eastAsia" w:ascii="Times New Roman" w:hAnsi="Times New Roman"/>
          <w:bCs/>
          <w:color w:val="auto"/>
          <w:w w:val="99"/>
          <w:szCs w:val="20"/>
          <w:highlight w:val="none"/>
        </w:rPr>
        <w:t>防治</w:t>
      </w:r>
      <w:r>
        <w:rPr>
          <w:rFonts w:ascii="Times New Roman" w:hAnsi="Times New Roman"/>
          <w:bCs/>
          <w:color w:val="auto"/>
          <w:w w:val="99"/>
          <w:szCs w:val="20"/>
          <w:highlight w:val="none"/>
        </w:rPr>
        <w:t>措施均有效落实</w:t>
      </w:r>
      <w:r>
        <w:rPr>
          <w:rFonts w:hint="eastAsia" w:ascii="Times New Roman" w:hAnsi="Times New Roman"/>
          <w:bCs/>
          <w:color w:val="auto"/>
          <w:w w:val="99"/>
          <w:szCs w:val="20"/>
          <w:highlight w:val="none"/>
        </w:rPr>
        <w:t>，</w:t>
      </w:r>
      <w:r>
        <w:rPr>
          <w:rFonts w:ascii="Times New Roman" w:hAnsi="Times New Roman"/>
          <w:bCs/>
          <w:color w:val="auto"/>
          <w:w w:val="99"/>
          <w:szCs w:val="20"/>
          <w:highlight w:val="none"/>
        </w:rPr>
        <w:t>现有工程不存在环境问题。</w:t>
      </w:r>
    </w:p>
    <w:p>
      <w:pPr>
        <w:pStyle w:val="7"/>
        <w:keepNext w:val="0"/>
        <w:keepLines w:val="0"/>
        <w:widowControl w:val="0"/>
        <w:rPr>
          <w:b/>
          <w:color w:val="auto"/>
          <w:w w:val="99"/>
          <w:kern w:val="2"/>
          <w:sz w:val="24"/>
          <w:szCs w:val="24"/>
          <w:highlight w:val="none"/>
        </w:rPr>
      </w:pPr>
      <w:bookmarkStart w:id="500" w:name="_Toc71371966"/>
      <w:bookmarkStart w:id="501" w:name="_Toc77667310"/>
      <w:bookmarkStart w:id="502" w:name="_Toc74812337"/>
      <w:bookmarkStart w:id="503" w:name="_Toc80105166"/>
      <w:r>
        <w:rPr>
          <w:b/>
          <w:color w:val="auto"/>
          <w:w w:val="99"/>
          <w:kern w:val="2"/>
          <w:sz w:val="24"/>
          <w:szCs w:val="24"/>
          <w:highlight w:val="none"/>
        </w:rPr>
        <w:t xml:space="preserve">3.9.6 </w:t>
      </w:r>
      <w:bookmarkEnd w:id="500"/>
      <w:r>
        <w:rPr>
          <w:rFonts w:hint="eastAsia"/>
          <w:b/>
          <w:color w:val="auto"/>
          <w:w w:val="99"/>
          <w:kern w:val="2"/>
          <w:sz w:val="24"/>
          <w:szCs w:val="24"/>
          <w:highlight w:val="none"/>
        </w:rPr>
        <w:t>建议</w:t>
      </w:r>
      <w:bookmarkEnd w:id="501"/>
      <w:bookmarkEnd w:id="502"/>
      <w:bookmarkEnd w:id="503"/>
    </w:p>
    <w:p>
      <w:pPr>
        <w:pStyle w:val="32"/>
        <w:widowControl w:val="0"/>
        <w:spacing w:line="500" w:lineRule="exact"/>
        <w:ind w:firstLine="474" w:firstLineChars="200"/>
        <w:jc w:val="both"/>
        <w:rPr>
          <w:rFonts w:ascii="Times New Roman" w:hAnsi="Times New Roman"/>
          <w:bCs/>
          <w:color w:val="auto"/>
          <w:w w:val="99"/>
          <w:szCs w:val="20"/>
          <w:highlight w:val="none"/>
        </w:rPr>
      </w:pPr>
      <w:r>
        <w:rPr>
          <w:rFonts w:ascii="Times New Roman" w:hAnsi="Times New Roman"/>
          <w:bCs/>
          <w:color w:val="auto"/>
          <w:w w:val="99"/>
          <w:szCs w:val="20"/>
          <w:highlight w:val="none"/>
        </w:rPr>
        <w:t>（1）为保护区域生态环境，</w:t>
      </w:r>
      <w:r>
        <w:rPr>
          <w:rFonts w:hint="eastAsia" w:ascii="Times New Roman" w:hAnsi="Times New Roman"/>
          <w:bCs/>
          <w:color w:val="auto"/>
          <w:w w:val="99"/>
          <w:szCs w:val="20"/>
          <w:highlight w:val="none"/>
        </w:rPr>
        <w:t>大庆油田有限责任公司第十采油厂</w:t>
      </w:r>
      <w:r>
        <w:rPr>
          <w:rFonts w:ascii="Times New Roman" w:hAnsi="Times New Roman"/>
          <w:bCs/>
          <w:color w:val="auto"/>
          <w:w w:val="99"/>
          <w:szCs w:val="20"/>
          <w:highlight w:val="none"/>
        </w:rPr>
        <w:t>在钻井工程时应采取具体生态保护措施保护区域内耕地生态系统。例如严格控制井场的临时及永久占地，井场钻井工程施工结束后及时对临时占地进行生态恢复，最大力度降低油田开发对区域</w:t>
      </w:r>
      <w:r>
        <w:rPr>
          <w:rFonts w:hint="eastAsia" w:ascii="Times New Roman" w:hAnsi="Times New Roman"/>
          <w:bCs/>
          <w:color w:val="auto"/>
          <w:w w:val="99"/>
          <w:szCs w:val="20"/>
          <w:highlight w:val="none"/>
        </w:rPr>
        <w:t>农田</w:t>
      </w:r>
      <w:r>
        <w:rPr>
          <w:rFonts w:ascii="Times New Roman" w:hAnsi="Times New Roman"/>
          <w:bCs/>
          <w:color w:val="auto"/>
          <w:w w:val="99"/>
          <w:szCs w:val="20"/>
          <w:highlight w:val="none"/>
        </w:rPr>
        <w:t>生态系统的影响。并严格控制该区域油田作业范围，严格运行期管理，尽量减小对区域生态系统的扰动，保证不因油田开发活动加重生态系统的退化、沙化、盐碱化等。</w:t>
      </w:r>
    </w:p>
    <w:p>
      <w:pPr>
        <w:pStyle w:val="32"/>
        <w:widowControl w:val="0"/>
        <w:spacing w:line="500" w:lineRule="exact"/>
        <w:ind w:firstLine="474" w:firstLineChars="200"/>
        <w:jc w:val="both"/>
        <w:rPr>
          <w:rFonts w:ascii="Times New Roman" w:hAnsi="Times New Roman"/>
          <w:bCs/>
          <w:color w:val="auto"/>
          <w:w w:val="99"/>
          <w:szCs w:val="20"/>
          <w:highlight w:val="none"/>
        </w:rPr>
      </w:pPr>
      <w:r>
        <w:rPr>
          <w:rFonts w:ascii="Times New Roman" w:hAnsi="Times New Roman"/>
          <w:bCs/>
          <w:color w:val="auto"/>
          <w:w w:val="99"/>
          <w:szCs w:val="20"/>
          <w:highlight w:val="none"/>
        </w:rPr>
        <w:t>（2）加强</w:t>
      </w:r>
      <w:r>
        <w:rPr>
          <w:rFonts w:hint="eastAsia" w:ascii="Times New Roman" w:hAnsi="Times New Roman"/>
          <w:bCs/>
          <w:color w:val="auto"/>
          <w:w w:val="99"/>
          <w:szCs w:val="20"/>
          <w:highlight w:val="none"/>
        </w:rPr>
        <w:t>临时</w:t>
      </w:r>
      <w:r>
        <w:rPr>
          <w:rFonts w:ascii="Times New Roman" w:hAnsi="Times New Roman"/>
          <w:bCs/>
          <w:color w:val="auto"/>
          <w:w w:val="99"/>
          <w:szCs w:val="20"/>
          <w:highlight w:val="none"/>
        </w:rPr>
        <w:t>占地生态恢复管理力度，提高成活率。</w:t>
      </w:r>
    </w:p>
    <w:p>
      <w:pPr>
        <w:pStyle w:val="32"/>
        <w:widowControl w:val="0"/>
        <w:spacing w:line="500" w:lineRule="exact"/>
        <w:ind w:firstLine="474" w:firstLineChars="200"/>
        <w:jc w:val="both"/>
        <w:rPr>
          <w:rFonts w:ascii="Times New Roman" w:hAnsi="Times New Roman"/>
          <w:bCs/>
          <w:color w:val="auto"/>
          <w:w w:val="99"/>
          <w:szCs w:val="20"/>
          <w:highlight w:val="none"/>
        </w:rPr>
      </w:pPr>
      <w:r>
        <w:rPr>
          <w:rFonts w:ascii="Times New Roman" w:hAnsi="Times New Roman"/>
          <w:bCs/>
          <w:color w:val="auto"/>
          <w:w w:val="99"/>
          <w:szCs w:val="20"/>
          <w:highlight w:val="none"/>
        </w:rPr>
        <w:t>（3）根据《陆上石油天然气开采工业大气污染物排放标准》（GB39728-2020）中5.7.2：在需要采取原油稳定措施的油田或油田区块内，将油井采出的井产物进行汇集、处理、输送至原油稳定装置的全过程应采用密闭工艺流程。</w:t>
      </w:r>
      <w:r>
        <w:rPr>
          <w:rFonts w:hint="eastAsia" w:ascii="Times New Roman" w:hAnsi="Times New Roman"/>
          <w:bCs/>
          <w:color w:val="auto"/>
          <w:w w:val="99"/>
          <w:szCs w:val="20"/>
          <w:highlight w:val="none"/>
        </w:rPr>
        <w:t>建议</w:t>
      </w:r>
      <w:r>
        <w:rPr>
          <w:rFonts w:ascii="Times New Roman" w:hAnsi="Times New Roman"/>
          <w:bCs/>
          <w:color w:val="auto"/>
          <w:w w:val="99"/>
          <w:szCs w:val="20"/>
          <w:highlight w:val="none"/>
        </w:rPr>
        <w:t>在项目的建设过程</w:t>
      </w:r>
      <w:r>
        <w:rPr>
          <w:rFonts w:hint="eastAsia" w:ascii="Times New Roman" w:hAnsi="Times New Roman"/>
          <w:bCs/>
          <w:color w:val="auto"/>
          <w:w w:val="99"/>
          <w:szCs w:val="20"/>
          <w:highlight w:val="none"/>
        </w:rPr>
        <w:t>中</w:t>
      </w:r>
      <w:r>
        <w:rPr>
          <w:rFonts w:ascii="Times New Roman" w:hAnsi="Times New Roman"/>
          <w:bCs/>
          <w:color w:val="auto"/>
          <w:w w:val="99"/>
          <w:szCs w:val="20"/>
          <w:highlight w:val="none"/>
        </w:rPr>
        <w:t>加强油井井口密封垫</w:t>
      </w:r>
      <w:r>
        <w:rPr>
          <w:rFonts w:hint="eastAsia" w:ascii="Times New Roman" w:hAnsi="Times New Roman"/>
          <w:bCs/>
          <w:color w:val="auto"/>
          <w:w w:val="99"/>
          <w:szCs w:val="20"/>
          <w:highlight w:val="none"/>
        </w:rPr>
        <w:t>的</w:t>
      </w:r>
      <w:r>
        <w:rPr>
          <w:rFonts w:ascii="Times New Roman" w:hAnsi="Times New Roman"/>
          <w:bCs/>
          <w:color w:val="auto"/>
          <w:w w:val="99"/>
          <w:szCs w:val="20"/>
          <w:highlight w:val="none"/>
        </w:rPr>
        <w:t>安装</w:t>
      </w:r>
      <w:r>
        <w:rPr>
          <w:rFonts w:hint="eastAsia" w:ascii="Times New Roman" w:hAnsi="Times New Roman"/>
          <w:bCs/>
          <w:color w:val="auto"/>
          <w:w w:val="99"/>
          <w:szCs w:val="20"/>
          <w:highlight w:val="none"/>
        </w:rPr>
        <w:t>，加强</w:t>
      </w:r>
      <w:r>
        <w:rPr>
          <w:rFonts w:ascii="Times New Roman" w:hAnsi="Times New Roman"/>
          <w:bCs/>
          <w:color w:val="auto"/>
          <w:w w:val="99"/>
          <w:szCs w:val="20"/>
          <w:highlight w:val="none"/>
        </w:rPr>
        <w:t>管线各关键接口法兰</w:t>
      </w:r>
      <w:r>
        <w:rPr>
          <w:rFonts w:hint="eastAsia" w:ascii="Times New Roman" w:hAnsi="Times New Roman"/>
          <w:bCs/>
          <w:color w:val="auto"/>
          <w:w w:val="99"/>
          <w:szCs w:val="20"/>
          <w:highlight w:val="none"/>
        </w:rPr>
        <w:t>的</w:t>
      </w:r>
      <w:r>
        <w:rPr>
          <w:rFonts w:ascii="Times New Roman" w:hAnsi="Times New Roman"/>
          <w:bCs/>
          <w:color w:val="auto"/>
          <w:w w:val="99"/>
          <w:szCs w:val="20"/>
          <w:highlight w:val="none"/>
        </w:rPr>
        <w:t>密闭处理，在油气集输过程</w:t>
      </w:r>
      <w:r>
        <w:rPr>
          <w:rFonts w:hint="eastAsia" w:ascii="Times New Roman" w:hAnsi="Times New Roman"/>
          <w:bCs/>
          <w:color w:val="auto"/>
          <w:w w:val="99"/>
          <w:szCs w:val="20"/>
          <w:highlight w:val="none"/>
        </w:rPr>
        <w:t>中</w:t>
      </w:r>
      <w:r>
        <w:rPr>
          <w:rFonts w:ascii="Times New Roman" w:hAnsi="Times New Roman"/>
          <w:bCs/>
          <w:color w:val="auto"/>
          <w:w w:val="99"/>
          <w:szCs w:val="20"/>
          <w:highlight w:val="none"/>
        </w:rPr>
        <w:t>采取全密闭工艺流程，有效控制无组织气体的挥发，</w:t>
      </w:r>
      <w:r>
        <w:rPr>
          <w:rFonts w:hint="eastAsia" w:ascii="Times New Roman" w:hAnsi="Times New Roman"/>
          <w:bCs/>
          <w:color w:val="auto"/>
          <w:w w:val="99"/>
          <w:szCs w:val="20"/>
          <w:highlight w:val="none"/>
        </w:rPr>
        <w:t>确保井场排放</w:t>
      </w:r>
      <w:r>
        <w:rPr>
          <w:rFonts w:ascii="Times New Roman" w:hAnsi="Times New Roman"/>
          <w:bCs/>
          <w:color w:val="auto"/>
          <w:w w:val="99"/>
          <w:szCs w:val="20"/>
          <w:highlight w:val="none"/>
        </w:rPr>
        <w:t>的非甲烷总烃</w:t>
      </w:r>
      <w:r>
        <w:rPr>
          <w:rFonts w:hint="eastAsia" w:ascii="Times New Roman" w:hAnsi="Times New Roman"/>
          <w:bCs/>
          <w:color w:val="auto"/>
          <w:w w:val="99"/>
          <w:szCs w:val="20"/>
          <w:highlight w:val="none"/>
        </w:rPr>
        <w:t>厂界能够</w:t>
      </w:r>
      <w:r>
        <w:rPr>
          <w:rFonts w:ascii="Times New Roman" w:hAnsi="Times New Roman"/>
          <w:bCs/>
          <w:color w:val="auto"/>
          <w:w w:val="99"/>
          <w:szCs w:val="20"/>
          <w:highlight w:val="none"/>
        </w:rPr>
        <w:t>满足</w:t>
      </w:r>
      <w:r>
        <w:rPr>
          <w:rFonts w:hint="eastAsia" w:ascii="Times New Roman" w:hAnsi="Times New Roman"/>
          <w:bCs/>
          <w:color w:val="auto"/>
          <w:w w:val="99"/>
          <w:szCs w:val="20"/>
          <w:highlight w:val="none"/>
        </w:rPr>
        <w:t>《大气污染物综合排放标准》（</w:t>
      </w:r>
      <w:r>
        <w:rPr>
          <w:rFonts w:ascii="Times New Roman" w:hAnsi="Times New Roman"/>
          <w:bCs/>
          <w:color w:val="auto"/>
          <w:w w:val="99"/>
          <w:szCs w:val="20"/>
          <w:highlight w:val="none"/>
        </w:rPr>
        <w:t>GB16297-1996）</w:t>
      </w:r>
      <w:r>
        <w:rPr>
          <w:rFonts w:hint="eastAsia" w:ascii="Times New Roman" w:hAnsi="Times New Roman"/>
          <w:bCs/>
          <w:color w:val="auto"/>
          <w:w w:val="99"/>
          <w:szCs w:val="20"/>
          <w:highlight w:val="none"/>
        </w:rPr>
        <w:t>中无组织排放监控浓度限值，确保依托场站排放</w:t>
      </w:r>
      <w:r>
        <w:rPr>
          <w:rFonts w:ascii="Times New Roman" w:hAnsi="Times New Roman"/>
          <w:bCs/>
          <w:color w:val="auto"/>
          <w:w w:val="99"/>
          <w:szCs w:val="20"/>
          <w:highlight w:val="none"/>
        </w:rPr>
        <w:t>的</w:t>
      </w:r>
      <w:r>
        <w:rPr>
          <w:rFonts w:hint="eastAsia" w:ascii="Times New Roman" w:hAnsi="Times New Roman"/>
          <w:bCs/>
          <w:color w:val="auto"/>
          <w:w w:val="99"/>
          <w:szCs w:val="20"/>
          <w:highlight w:val="none"/>
        </w:rPr>
        <w:t>非甲烷总烃</w:t>
      </w:r>
      <w:r>
        <w:rPr>
          <w:rFonts w:ascii="Times New Roman" w:hAnsi="Times New Roman"/>
          <w:bCs/>
          <w:color w:val="auto"/>
          <w:w w:val="99"/>
          <w:szCs w:val="20"/>
          <w:highlight w:val="none"/>
        </w:rPr>
        <w:t>2023年1月1日</w:t>
      </w:r>
      <w:r>
        <w:rPr>
          <w:rFonts w:hint="eastAsia" w:ascii="Times New Roman" w:hAnsi="Times New Roman"/>
          <w:bCs/>
          <w:color w:val="auto"/>
          <w:w w:val="99"/>
          <w:szCs w:val="20"/>
          <w:highlight w:val="none"/>
        </w:rPr>
        <w:t>前厂界</w:t>
      </w:r>
      <w:r>
        <w:rPr>
          <w:rFonts w:ascii="Times New Roman" w:hAnsi="Times New Roman"/>
          <w:bCs/>
          <w:color w:val="auto"/>
          <w:w w:val="99"/>
          <w:szCs w:val="20"/>
          <w:highlight w:val="none"/>
        </w:rPr>
        <w:t>能够满足</w:t>
      </w:r>
      <w:r>
        <w:rPr>
          <w:rFonts w:hint="eastAsia" w:ascii="Times New Roman" w:hAnsi="Times New Roman"/>
          <w:bCs/>
          <w:color w:val="auto"/>
          <w:w w:val="99"/>
          <w:szCs w:val="20"/>
          <w:highlight w:val="none"/>
        </w:rPr>
        <w:t>《大气污染物综合排放标准》（</w:t>
      </w:r>
      <w:r>
        <w:rPr>
          <w:rFonts w:ascii="Times New Roman" w:hAnsi="Times New Roman"/>
          <w:bCs/>
          <w:color w:val="auto"/>
          <w:w w:val="99"/>
          <w:szCs w:val="20"/>
          <w:highlight w:val="none"/>
        </w:rPr>
        <w:t>GB16297-1996）</w:t>
      </w:r>
      <w:r>
        <w:rPr>
          <w:rFonts w:hint="eastAsia" w:ascii="Times New Roman" w:hAnsi="Times New Roman"/>
          <w:bCs/>
          <w:color w:val="auto"/>
          <w:w w:val="99"/>
          <w:szCs w:val="20"/>
          <w:highlight w:val="none"/>
        </w:rPr>
        <w:t>中无组织排放监控浓度限值，</w:t>
      </w:r>
      <w:r>
        <w:rPr>
          <w:rFonts w:ascii="Times New Roman" w:hAnsi="Times New Roman"/>
          <w:bCs/>
          <w:color w:val="auto"/>
          <w:w w:val="99"/>
          <w:szCs w:val="20"/>
          <w:highlight w:val="none"/>
        </w:rPr>
        <w:t>2023年1月1日起</w:t>
      </w:r>
      <w:r>
        <w:rPr>
          <w:rFonts w:hint="eastAsia" w:ascii="Times New Roman" w:hAnsi="Times New Roman"/>
          <w:bCs/>
          <w:color w:val="auto"/>
          <w:w w:val="99"/>
          <w:szCs w:val="20"/>
          <w:highlight w:val="none"/>
        </w:rPr>
        <w:t>依托</w:t>
      </w:r>
      <w:r>
        <w:rPr>
          <w:rFonts w:ascii="Times New Roman" w:hAnsi="Times New Roman"/>
          <w:bCs/>
          <w:color w:val="auto"/>
          <w:w w:val="99"/>
          <w:szCs w:val="20"/>
          <w:highlight w:val="none"/>
        </w:rPr>
        <w:t>场站</w:t>
      </w:r>
      <w:r>
        <w:rPr>
          <w:rFonts w:hint="eastAsia" w:ascii="Times New Roman" w:hAnsi="Times New Roman"/>
          <w:bCs/>
          <w:color w:val="auto"/>
          <w:w w:val="99"/>
          <w:szCs w:val="20"/>
          <w:highlight w:val="none"/>
        </w:rPr>
        <w:t>边界能够满足</w:t>
      </w:r>
      <w:r>
        <w:rPr>
          <w:rFonts w:ascii="Times New Roman" w:hAnsi="Times New Roman"/>
          <w:bCs/>
          <w:color w:val="auto"/>
          <w:w w:val="99"/>
          <w:szCs w:val="20"/>
          <w:highlight w:val="none"/>
        </w:rPr>
        <w:t>《陆上石油天然气开采工业大气污染物排放标准》（GB39728-2020）5.9中规定要求</w:t>
      </w:r>
      <w:r>
        <w:rPr>
          <w:rFonts w:hint="eastAsia" w:ascii="Times New Roman" w:hAnsi="Times New Roman"/>
          <w:bCs/>
          <w:color w:val="auto"/>
          <w:w w:val="99"/>
          <w:szCs w:val="20"/>
          <w:highlight w:val="none"/>
        </w:rPr>
        <w:t>，</w:t>
      </w:r>
      <w:r>
        <w:rPr>
          <w:rFonts w:ascii="Times New Roman" w:hAnsi="Times New Roman"/>
          <w:bCs/>
          <w:color w:val="auto"/>
          <w:w w:val="99"/>
          <w:szCs w:val="20"/>
          <w:highlight w:val="none"/>
        </w:rPr>
        <w:t>确保</w:t>
      </w:r>
      <w:r>
        <w:rPr>
          <w:rFonts w:ascii="Times New Roman" w:hAnsi="Times New Roman" w:eastAsiaTheme="minorEastAsia"/>
          <w:color w:val="auto"/>
          <w:w w:val="99"/>
          <w:highlight w:val="none"/>
        </w:rPr>
        <w:t>依托场站排放的VOCs（以非甲烷总烃计）厂区内</w:t>
      </w:r>
      <w:r>
        <w:rPr>
          <w:rFonts w:hint="eastAsia" w:ascii="Times New Roman" w:hAnsi="Times New Roman" w:eastAsiaTheme="minorEastAsia"/>
          <w:color w:val="auto"/>
          <w:w w:val="99"/>
          <w:highlight w:val="none"/>
        </w:rPr>
        <w:t>能够满足</w:t>
      </w:r>
      <w:r>
        <w:rPr>
          <w:rFonts w:ascii="Times New Roman" w:hAnsi="Times New Roman" w:eastAsiaTheme="minorEastAsia"/>
          <w:color w:val="auto"/>
          <w:w w:val="99"/>
          <w:highlight w:val="none"/>
        </w:rPr>
        <w:t>《挥发性有机物无组织排放控制标准》（GB 37822-2019）附录A 中VOCs 无组织排放限值要求</w:t>
      </w:r>
      <w:r>
        <w:rPr>
          <w:rFonts w:hint="eastAsia" w:ascii="Times New Roman" w:hAnsi="Times New Roman" w:eastAsiaTheme="minorEastAsia"/>
          <w:color w:val="auto"/>
          <w:w w:val="99"/>
          <w:highlight w:val="none"/>
        </w:rPr>
        <w:t>。</w:t>
      </w:r>
    </w:p>
    <w:bookmarkEnd w:id="493"/>
    <w:bookmarkEnd w:id="494"/>
    <w:bookmarkEnd w:id="495"/>
    <w:p>
      <w:pPr>
        <w:pStyle w:val="5"/>
        <w:keepNext w:val="0"/>
        <w:keepLines w:val="0"/>
        <w:widowControl w:val="0"/>
        <w:spacing w:before="120" w:after="120" w:line="440" w:lineRule="exact"/>
        <w:rPr>
          <w:rFonts w:ascii="Times New Roman" w:hAnsi="Times New Roman" w:eastAsiaTheme="minorEastAsia"/>
          <w:b/>
          <w:snapToGrid w:val="0"/>
          <w:color w:val="auto"/>
          <w:w w:val="99"/>
          <w:highlight w:val="none"/>
        </w:rPr>
      </w:pPr>
      <w:bookmarkStart w:id="504" w:name="_Toc88044446"/>
      <w:bookmarkStart w:id="505" w:name="_Toc80105167"/>
      <w:r>
        <w:rPr>
          <w:rFonts w:ascii="Times New Roman" w:hAnsi="Times New Roman" w:eastAsiaTheme="minorEastAsia"/>
          <w:b/>
          <w:snapToGrid w:val="0"/>
          <w:color w:val="auto"/>
          <w:w w:val="99"/>
          <w:highlight w:val="none"/>
        </w:rPr>
        <w:t>3.10依托工程</w:t>
      </w:r>
      <w:bookmarkEnd w:id="504"/>
    </w:p>
    <w:p>
      <w:pPr>
        <w:widowControl w:val="0"/>
        <w:spacing w:line="44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本项目钻井废水、废钻井液、钻井岩屑依托大庆油田昆仑集团有限公司环保分公司处理，废射孔液依托</w:t>
      </w:r>
      <w:r>
        <w:rPr>
          <w:rFonts w:ascii="Times New Roman" w:hAnsi="Times New Roman" w:cs="Times New Roman" w:eastAsiaTheme="minorEastAsia"/>
          <w:bCs/>
          <w:color w:val="auto"/>
          <w:w w:val="99"/>
          <w:kern w:val="2"/>
          <w:szCs w:val="20"/>
          <w:highlight w:val="none"/>
        </w:rPr>
        <w:t>黑龙江龙之润环保工程有限公司处理，膨润土、纯碱、重晶石粉等废弃包装及废防渗布依托第八采油厂工业固废填埋场处理。</w:t>
      </w:r>
    </w:p>
    <w:p>
      <w:pPr>
        <w:pStyle w:val="7"/>
        <w:widowControl w:val="0"/>
        <w:spacing w:before="60" w:after="60" w:line="440" w:lineRule="exact"/>
        <w:jc w:val="both"/>
        <w:rPr>
          <w:rFonts w:eastAsiaTheme="minorEastAsia"/>
          <w:b/>
          <w:color w:val="auto"/>
          <w:w w:val="99"/>
          <w:kern w:val="2"/>
          <w:sz w:val="24"/>
          <w:szCs w:val="24"/>
          <w:highlight w:val="none"/>
        </w:rPr>
      </w:pPr>
      <w:bookmarkStart w:id="506" w:name="_Toc88044447"/>
      <w:r>
        <w:rPr>
          <w:rFonts w:eastAsiaTheme="minorEastAsia"/>
          <w:b/>
          <w:color w:val="auto"/>
          <w:w w:val="99"/>
          <w:kern w:val="2"/>
          <w:sz w:val="24"/>
          <w:szCs w:val="24"/>
          <w:highlight w:val="none"/>
        </w:rPr>
        <w:t>3.10.1依托工程环评及验收情况</w:t>
      </w:r>
      <w:bookmarkEnd w:id="506"/>
    </w:p>
    <w:p>
      <w:pPr>
        <w:widowControl w:val="0"/>
        <w:spacing w:line="44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本项目依托场站环评及验收情况见表3.10-1，依托场站环评及验收手续见附件4。</w:t>
      </w:r>
    </w:p>
    <w:p>
      <w:pPr>
        <w:widowControl w:val="0"/>
        <w:spacing w:line="440" w:lineRule="exact"/>
        <w:ind w:firstLine="474" w:firstLineChars="200"/>
        <w:rPr>
          <w:rFonts w:ascii="Times New Roman" w:hAnsi="Times New Roman" w:cs="Times New Roman" w:eastAsiaTheme="minorEastAsia"/>
          <w:b/>
          <w:bCs/>
          <w:color w:val="auto"/>
          <w:w w:val="99"/>
          <w:kern w:val="2"/>
          <w:highlight w:val="none"/>
        </w:rPr>
      </w:pPr>
      <w:r>
        <w:rPr>
          <w:rFonts w:ascii="Times New Roman" w:hAnsi="Times New Roman" w:cs="Times New Roman" w:eastAsiaTheme="minorEastAsia"/>
          <w:b/>
          <w:bCs/>
          <w:color w:val="auto"/>
          <w:w w:val="99"/>
          <w:kern w:val="2"/>
          <w:highlight w:val="none"/>
        </w:rPr>
        <w:t>表3.10-1</w:t>
      </w:r>
      <w:r>
        <w:rPr>
          <w:rFonts w:ascii="Times New Roman" w:hAnsi="Times New Roman" w:cs="Times New Roman" w:eastAsiaTheme="minorEastAsia"/>
          <w:b/>
          <w:color w:val="auto"/>
          <w:w w:val="99"/>
          <w:kern w:val="21"/>
          <w:szCs w:val="22"/>
          <w:highlight w:val="none"/>
          <w:lang w:bidi="zh-CN"/>
        </w:rPr>
        <w:t xml:space="preserve">    </w:t>
      </w:r>
      <w:r>
        <w:rPr>
          <w:rFonts w:ascii="Times New Roman" w:hAnsi="Times New Roman" w:cs="Times New Roman" w:eastAsiaTheme="minorEastAsia"/>
          <w:b/>
          <w:bCs/>
          <w:color w:val="auto"/>
          <w:w w:val="99"/>
          <w:kern w:val="2"/>
          <w:highlight w:val="none"/>
        </w:rPr>
        <w:t>依托工程环评验收情况一览表</w:t>
      </w:r>
    </w:p>
    <w:tbl>
      <w:tblPr>
        <w:tblStyle w:val="8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04"/>
        <w:gridCol w:w="1730"/>
        <w:gridCol w:w="2616"/>
        <w:gridCol w:w="2284"/>
        <w:gridCol w:w="1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7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序号</w:t>
            </w:r>
          </w:p>
        </w:tc>
        <w:tc>
          <w:tcPr>
            <w:tcW w:w="94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依托场站</w:t>
            </w:r>
          </w:p>
        </w:tc>
        <w:tc>
          <w:tcPr>
            <w:tcW w:w="1433"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环评项目名称</w:t>
            </w:r>
          </w:p>
        </w:tc>
        <w:tc>
          <w:tcPr>
            <w:tcW w:w="125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环评批复</w:t>
            </w:r>
          </w:p>
        </w:tc>
        <w:tc>
          <w:tcPr>
            <w:tcW w:w="109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7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w:t>
            </w:r>
          </w:p>
        </w:tc>
        <w:tc>
          <w:tcPr>
            <w:tcW w:w="94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大庆油田昆仑集团有限公司环保分公司</w:t>
            </w:r>
          </w:p>
        </w:tc>
        <w:tc>
          <w:tcPr>
            <w:tcW w:w="1433"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大庆油田昆仑集团有限公司环保分公司采油十厂9万m</w:t>
            </w:r>
            <w:r>
              <w:rPr>
                <w:rFonts w:ascii="Times New Roman" w:hAnsi="Times New Roman" w:cs="Times New Roman" w:eastAsiaTheme="minorEastAsia"/>
                <w:color w:val="auto"/>
                <w:w w:val="99"/>
                <w:sz w:val="21"/>
                <w:szCs w:val="21"/>
                <w:highlight w:val="none"/>
                <w:vertAlign w:val="superscript"/>
              </w:rPr>
              <w:t>3</w:t>
            </w:r>
            <w:r>
              <w:rPr>
                <w:rFonts w:ascii="Times New Roman" w:hAnsi="Times New Roman" w:cs="Times New Roman" w:eastAsiaTheme="minorEastAsia"/>
                <w:color w:val="auto"/>
                <w:w w:val="99"/>
                <w:sz w:val="21"/>
                <w:szCs w:val="21"/>
                <w:highlight w:val="none"/>
              </w:rPr>
              <w:t>/a钻井废弃泥浆无害化处理项目</w:t>
            </w:r>
          </w:p>
        </w:tc>
        <w:tc>
          <w:tcPr>
            <w:tcW w:w="125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州环发[2020]4号</w:t>
            </w:r>
          </w:p>
        </w:tc>
        <w:tc>
          <w:tcPr>
            <w:tcW w:w="109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2020年11月完成自主验收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7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w:t>
            </w:r>
          </w:p>
        </w:tc>
        <w:tc>
          <w:tcPr>
            <w:tcW w:w="94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kern w:val="2"/>
                <w:sz w:val="21"/>
                <w:szCs w:val="21"/>
                <w:highlight w:val="none"/>
              </w:rPr>
              <w:t>黑龙江龙之润环保工程有限公司</w:t>
            </w:r>
          </w:p>
        </w:tc>
        <w:tc>
          <w:tcPr>
            <w:tcW w:w="1433" w:type="pct"/>
            <w:vAlign w:val="center"/>
          </w:tcPr>
          <w:p>
            <w:pPr>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红岗区龙之润水基泥浆回收处理项目</w:t>
            </w:r>
          </w:p>
        </w:tc>
        <w:tc>
          <w:tcPr>
            <w:tcW w:w="125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岗环审[2019]016号</w:t>
            </w:r>
          </w:p>
        </w:tc>
        <w:tc>
          <w:tcPr>
            <w:tcW w:w="109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2019年12月完成自主验收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7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w:t>
            </w:r>
          </w:p>
        </w:tc>
        <w:tc>
          <w:tcPr>
            <w:tcW w:w="94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kern w:val="2"/>
                <w:sz w:val="21"/>
                <w:szCs w:val="21"/>
                <w:highlight w:val="none"/>
              </w:rPr>
              <w:t>第八采油厂工业固废填埋场</w:t>
            </w:r>
          </w:p>
        </w:tc>
        <w:tc>
          <w:tcPr>
            <w:tcW w:w="1433" w:type="pct"/>
            <w:vAlign w:val="center"/>
          </w:tcPr>
          <w:p>
            <w:pPr>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kern w:val="2"/>
                <w:sz w:val="21"/>
                <w:szCs w:val="21"/>
                <w:highlight w:val="none"/>
              </w:rPr>
              <w:t>第八采油厂工业固废填埋场工程</w:t>
            </w:r>
          </w:p>
        </w:tc>
        <w:tc>
          <w:tcPr>
            <w:tcW w:w="125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庆环建字[2011]171号</w:t>
            </w:r>
          </w:p>
        </w:tc>
        <w:tc>
          <w:tcPr>
            <w:tcW w:w="109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庆环验[2014]38号</w:t>
            </w:r>
          </w:p>
        </w:tc>
      </w:tr>
    </w:tbl>
    <w:p>
      <w:pPr>
        <w:pStyle w:val="7"/>
        <w:widowControl w:val="0"/>
        <w:spacing w:before="60" w:after="60" w:line="440" w:lineRule="exact"/>
        <w:jc w:val="both"/>
        <w:rPr>
          <w:rFonts w:eastAsiaTheme="minorEastAsia"/>
          <w:b/>
          <w:color w:val="auto"/>
          <w:w w:val="99"/>
          <w:kern w:val="2"/>
          <w:sz w:val="24"/>
          <w:szCs w:val="24"/>
          <w:highlight w:val="none"/>
        </w:rPr>
      </w:pPr>
      <w:bookmarkStart w:id="507" w:name="_Toc88044448"/>
      <w:r>
        <w:rPr>
          <w:rFonts w:eastAsiaTheme="minorEastAsia"/>
          <w:b/>
          <w:color w:val="auto"/>
          <w:w w:val="99"/>
          <w:kern w:val="2"/>
          <w:sz w:val="24"/>
          <w:szCs w:val="24"/>
          <w:highlight w:val="none"/>
        </w:rPr>
        <w:t>3.10.2依托工程能力核实及运行现状分析</w:t>
      </w:r>
      <w:bookmarkEnd w:id="507"/>
    </w:p>
    <w:p>
      <w:pPr>
        <w:widowControl w:val="0"/>
        <w:spacing w:line="44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（1）大庆油田昆仑集团有限公司环保分公司</w:t>
      </w:r>
    </w:p>
    <w:p>
      <w:pPr>
        <w:pStyle w:val="109"/>
        <w:widowControl w:val="0"/>
        <w:spacing w:line="440" w:lineRule="exact"/>
        <w:ind w:firstLine="473"/>
        <w:jc w:val="both"/>
        <w:rPr>
          <w:rFonts w:ascii="Times New Roman" w:hAnsi="Times New Roman" w:eastAsiaTheme="minorEastAsia"/>
          <w:color w:val="auto"/>
          <w:w w:val="99"/>
          <w:kern w:val="2"/>
          <w:highlight w:val="none"/>
        </w:rPr>
      </w:pPr>
      <w:r>
        <w:rPr>
          <w:rFonts w:ascii="Times New Roman" w:hAnsi="Times New Roman" w:eastAsiaTheme="minorEastAsia"/>
          <w:color w:val="auto"/>
          <w:w w:val="99"/>
          <w:highlight w:val="none"/>
        </w:rPr>
        <w:t>大庆油田昆仑集团有限公司环保分公司位于黑龙江省大庆市肇州县朝阳沟镇长林村路东，采用“集中压滤无害化处理”，处理后的压滤水定期由罐车拉运至朝一联含油污水处理站处理</w:t>
      </w:r>
      <w:r>
        <w:rPr>
          <w:rFonts w:ascii="Times New Roman" w:hAnsi="Times New Roman" w:eastAsiaTheme="minorEastAsia"/>
          <w:bCs/>
          <w:color w:val="auto"/>
          <w:w w:val="99"/>
          <w:highlight w:val="none"/>
        </w:rPr>
        <w:t>满足《大庆油田地面工程建设设计规定》（Q/SYDQ0639-2015）中“含油量≤5mg/L、悬浮固体含量≤1mg/L、粒径中值≤1μm”规定后回注油层，压滤泥饼满足《废弃钻井液处理规范》（DB23/T693-2000）表1要求后用于铺垫井场及通井路</w:t>
      </w:r>
      <w:r>
        <w:rPr>
          <w:rFonts w:ascii="Times New Roman" w:hAnsi="Times New Roman" w:eastAsiaTheme="minorEastAsia"/>
          <w:color w:val="auto"/>
          <w:w w:val="99"/>
          <w:kern w:val="2"/>
          <w:highlight w:val="none"/>
        </w:rPr>
        <w:t>。</w:t>
      </w:r>
      <w:r>
        <w:rPr>
          <w:rFonts w:ascii="Times New Roman" w:hAnsi="Times New Roman" w:eastAsiaTheme="minorEastAsia"/>
          <w:color w:val="auto"/>
          <w:w w:val="99"/>
          <w:highlight w:val="none"/>
        </w:rPr>
        <w:t>大庆油田昆仑集团有限公司环保分公司</w:t>
      </w:r>
      <w:r>
        <w:rPr>
          <w:rFonts w:ascii="Times New Roman" w:hAnsi="Times New Roman" w:eastAsiaTheme="minorEastAsia"/>
          <w:color w:val="auto"/>
          <w:w w:val="99"/>
          <w:kern w:val="2"/>
          <w:szCs w:val="20"/>
          <w:highlight w:val="none"/>
          <w:lang w:bidi="zh-CN"/>
        </w:rPr>
        <w:t>工艺流程图见图3.10-1。</w:t>
      </w:r>
    </w:p>
    <w:p>
      <w:pPr>
        <w:widowControl w:val="0"/>
        <w:autoSpaceDE w:val="0"/>
        <w:autoSpaceDN w:val="0"/>
        <w:jc w:val="center"/>
        <w:rPr>
          <w:rFonts w:ascii="Times New Roman" w:hAnsi="Times New Roman" w:cs="Times New Roman" w:eastAsiaTheme="minorEastAsia"/>
          <w:color w:val="auto"/>
          <w:spacing w:val="-10"/>
          <w:w w:val="99"/>
          <w:highlight w:val="none"/>
          <w:lang w:val="zh-CN" w:bidi="zh-CN"/>
        </w:rPr>
      </w:pPr>
      <w:r>
        <w:rPr>
          <w:rFonts w:ascii="Times New Roman" w:hAnsi="Times New Roman" w:cs="Times New Roman"/>
          <w:color w:val="auto"/>
          <w:w w:val="99"/>
          <w:kern w:val="2"/>
          <w:highlight w:val="none"/>
        </w:rPr>
        <w:drawing>
          <wp:inline distT="0" distB="0" distL="0" distR="0">
            <wp:extent cx="3569970" cy="3735070"/>
            <wp:effectExtent l="0" t="0" r="11430" b="1778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580934" cy="3746558"/>
                    </a:xfrm>
                    <a:prstGeom prst="rect">
                      <a:avLst/>
                    </a:prstGeom>
                    <a:noFill/>
                    <a:ln>
                      <a:noFill/>
                    </a:ln>
                  </pic:spPr>
                </pic:pic>
              </a:graphicData>
            </a:graphic>
          </wp:inline>
        </w:drawing>
      </w:r>
    </w:p>
    <w:p>
      <w:pPr>
        <w:pStyle w:val="109"/>
        <w:widowControl w:val="0"/>
        <w:spacing w:line="440" w:lineRule="exact"/>
        <w:ind w:firstLine="0" w:firstLineChars="0"/>
        <w:jc w:val="center"/>
        <w:rPr>
          <w:rFonts w:ascii="Times New Roman" w:hAnsi="Times New Roman" w:eastAsiaTheme="minorEastAsia"/>
          <w:b/>
          <w:snapToGrid w:val="0"/>
          <w:color w:val="auto"/>
          <w:w w:val="99"/>
          <w:highlight w:val="none"/>
        </w:rPr>
      </w:pPr>
      <w:r>
        <w:rPr>
          <w:rFonts w:ascii="Times New Roman" w:hAnsi="Times New Roman" w:eastAsiaTheme="minorEastAsia"/>
          <w:b/>
          <w:snapToGrid w:val="0"/>
          <w:color w:val="auto"/>
          <w:w w:val="99"/>
          <w:highlight w:val="none"/>
        </w:rPr>
        <w:t>图3.10-1    大庆油田昆仑集团有限公司环保分公司工艺流程图</w:t>
      </w:r>
    </w:p>
    <w:p>
      <w:pPr>
        <w:pStyle w:val="109"/>
        <w:widowControl w:val="0"/>
        <w:spacing w:line="440" w:lineRule="exact"/>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大庆油田昆仑集团有限公司环保分公司设计处理规模为</w:t>
      </w:r>
      <w:r>
        <w:rPr>
          <w:rFonts w:hint="eastAsia" w:ascii="Times New Roman" w:hAnsi="Times New Roman" w:eastAsiaTheme="minorEastAsia"/>
          <w:color w:val="auto"/>
          <w:w w:val="99"/>
          <w:highlight w:val="none"/>
          <w:lang w:val="en-US" w:eastAsia="zh-CN"/>
        </w:rPr>
        <w:t>5</w:t>
      </w:r>
      <w:r>
        <w:rPr>
          <w:rFonts w:ascii="Times New Roman" w:hAnsi="Times New Roman" w:eastAsiaTheme="minorEastAsia"/>
          <w:color w:val="auto"/>
          <w:w w:val="99"/>
          <w:highlight w:val="none"/>
        </w:rPr>
        <w:t>00m</w:t>
      </w:r>
      <w:r>
        <w:rPr>
          <w:rFonts w:ascii="Times New Roman" w:hAnsi="Times New Roman" w:eastAsiaTheme="minorEastAsia"/>
          <w:color w:val="auto"/>
          <w:w w:val="99"/>
          <w:highlight w:val="none"/>
          <w:vertAlign w:val="superscript"/>
        </w:rPr>
        <w:t>3</w:t>
      </w:r>
      <w:r>
        <w:rPr>
          <w:rFonts w:ascii="Times New Roman" w:hAnsi="Times New Roman" w:eastAsiaTheme="minorEastAsia"/>
          <w:color w:val="auto"/>
          <w:w w:val="99"/>
          <w:highlight w:val="none"/>
        </w:rPr>
        <w:t>/d，现实际处理量为150m</w:t>
      </w:r>
      <w:r>
        <w:rPr>
          <w:rFonts w:ascii="Times New Roman" w:hAnsi="Times New Roman" w:eastAsiaTheme="minorEastAsia"/>
          <w:color w:val="auto"/>
          <w:w w:val="99"/>
          <w:highlight w:val="none"/>
          <w:vertAlign w:val="superscript"/>
        </w:rPr>
        <w:t>3</w:t>
      </w:r>
      <w:r>
        <w:rPr>
          <w:rFonts w:ascii="Times New Roman" w:hAnsi="Times New Roman" w:eastAsiaTheme="minorEastAsia"/>
          <w:color w:val="auto"/>
          <w:w w:val="99"/>
          <w:highlight w:val="none"/>
        </w:rPr>
        <w:t>/d，</w:t>
      </w:r>
      <w:r>
        <w:rPr>
          <w:rFonts w:ascii="Times New Roman" w:hAnsi="Times New Roman" w:eastAsiaTheme="minorEastAsia"/>
          <w:bCs/>
          <w:color w:val="auto"/>
          <w:w w:val="99"/>
          <w:highlight w:val="none"/>
        </w:rPr>
        <w:t>本项目2个钻井队同时施工，废弃泥浆产生量为</w:t>
      </w:r>
      <w:r>
        <w:rPr>
          <w:rFonts w:hint="eastAsia" w:ascii="Times New Roman" w:hAnsi="Times New Roman" w:eastAsiaTheme="minorEastAsia"/>
          <w:bCs/>
          <w:color w:val="auto"/>
          <w:w w:val="99"/>
          <w:highlight w:val="none"/>
          <w:lang w:val="en-US" w:eastAsia="zh-CN"/>
        </w:rPr>
        <w:t>123.83</w:t>
      </w:r>
      <w:r>
        <w:rPr>
          <w:rFonts w:ascii="Times New Roman" w:hAnsi="Times New Roman" w:eastAsiaTheme="minorEastAsia"/>
          <w:bCs/>
          <w:color w:val="auto"/>
          <w:w w:val="99"/>
          <w:highlight w:val="none"/>
        </w:rPr>
        <w:t>m</w:t>
      </w:r>
      <w:r>
        <w:rPr>
          <w:rFonts w:ascii="Times New Roman" w:hAnsi="Times New Roman" w:eastAsiaTheme="minorEastAsia"/>
          <w:bCs/>
          <w:color w:val="auto"/>
          <w:w w:val="99"/>
          <w:highlight w:val="none"/>
          <w:vertAlign w:val="superscript"/>
        </w:rPr>
        <w:t>3</w:t>
      </w:r>
      <w:r>
        <w:rPr>
          <w:rFonts w:ascii="Times New Roman" w:hAnsi="Times New Roman" w:eastAsiaTheme="minorEastAsia"/>
          <w:bCs/>
          <w:color w:val="auto"/>
          <w:w w:val="99"/>
          <w:highlight w:val="none"/>
        </w:rPr>
        <w:t>/d，新增本项目后负荷率为</w:t>
      </w:r>
      <w:r>
        <w:rPr>
          <w:rFonts w:hint="eastAsia" w:ascii="Times New Roman" w:hAnsi="Times New Roman" w:eastAsiaTheme="minorEastAsia"/>
          <w:bCs/>
          <w:color w:val="auto"/>
          <w:w w:val="99"/>
          <w:highlight w:val="none"/>
          <w:lang w:val="en-US" w:eastAsia="zh-CN"/>
        </w:rPr>
        <w:t>54.7</w:t>
      </w:r>
      <w:r>
        <w:rPr>
          <w:rFonts w:ascii="Times New Roman" w:hAnsi="Times New Roman" w:eastAsiaTheme="minorEastAsia"/>
          <w:bCs/>
          <w:color w:val="auto"/>
          <w:w w:val="99"/>
          <w:highlight w:val="none"/>
        </w:rPr>
        <w:t>%，</w:t>
      </w:r>
      <w:r>
        <w:rPr>
          <w:rFonts w:ascii="Times New Roman" w:hAnsi="Times New Roman" w:eastAsiaTheme="minorEastAsia"/>
          <w:color w:val="auto"/>
          <w:w w:val="99"/>
          <w:highlight w:val="none"/>
        </w:rPr>
        <w:t>能够满足本工程废弃泥浆处理要求，本项目依托可行。</w:t>
      </w:r>
    </w:p>
    <w:p>
      <w:pPr>
        <w:widowControl w:val="0"/>
        <w:spacing w:line="44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（2）</w:t>
      </w:r>
      <w:r>
        <w:rPr>
          <w:rFonts w:ascii="Times New Roman" w:hAnsi="Times New Roman" w:cs="Times New Roman" w:eastAsiaTheme="minorEastAsia"/>
          <w:bCs/>
          <w:color w:val="auto"/>
          <w:w w:val="99"/>
          <w:kern w:val="2"/>
          <w:highlight w:val="none"/>
        </w:rPr>
        <w:t>黑龙江龙之润环保工程有限公司</w:t>
      </w:r>
    </w:p>
    <w:p>
      <w:pPr>
        <w:widowControl w:val="0"/>
        <w:spacing w:line="440" w:lineRule="exact"/>
        <w:ind w:firstLine="474" w:firstLineChars="200"/>
        <w:jc w:val="both"/>
        <w:rPr>
          <w:rFonts w:ascii="Times New Roman" w:hAnsi="Times New Roman" w:cs="Times New Roman"/>
          <w:iCs/>
          <w:color w:val="auto"/>
          <w:w w:val="99"/>
          <w:kern w:val="2"/>
          <w:highlight w:val="none"/>
        </w:rPr>
      </w:pPr>
      <w:r>
        <w:rPr>
          <w:rFonts w:ascii="Times New Roman" w:hAnsi="Times New Roman" w:cs="Times New Roman" w:eastAsiaTheme="minorEastAsia"/>
          <w:color w:val="auto"/>
          <w:w w:val="99"/>
          <w:kern w:val="2"/>
          <w:highlight w:val="none"/>
        </w:rPr>
        <w:t>本项目产生的废射孔液委托</w:t>
      </w:r>
      <w:r>
        <w:rPr>
          <w:rFonts w:ascii="Times New Roman" w:hAnsi="Times New Roman" w:cs="Times New Roman" w:eastAsiaTheme="minorEastAsia"/>
          <w:bCs/>
          <w:color w:val="auto"/>
          <w:w w:val="99"/>
          <w:kern w:val="2"/>
          <w:highlight w:val="none"/>
        </w:rPr>
        <w:t>黑龙江龙之润环保工程有限公司</w:t>
      </w:r>
      <w:r>
        <w:rPr>
          <w:rFonts w:ascii="Times New Roman" w:hAnsi="Times New Roman" w:cs="Times New Roman" w:eastAsiaTheme="minorEastAsia"/>
          <w:color w:val="auto"/>
          <w:w w:val="99"/>
          <w:kern w:val="2"/>
          <w:highlight w:val="none"/>
        </w:rPr>
        <w:t>处理。</w:t>
      </w:r>
      <w:r>
        <w:rPr>
          <w:rFonts w:ascii="Times New Roman" w:hAnsi="Times New Roman" w:cs="Times New Roman"/>
          <w:iCs/>
          <w:color w:val="auto"/>
          <w:w w:val="99"/>
          <w:kern w:val="2"/>
          <w:highlight w:val="none"/>
        </w:rPr>
        <w:t>黑龙江龙之润环保工程有限公司位于红岗区铁人工业园区兴隆产业园（租赁大庆亚东无纺新材料股份有限公司闲置厂房及办公楼），占地面积6000m</w:t>
      </w:r>
      <w:r>
        <w:rPr>
          <w:rFonts w:ascii="Times New Roman" w:hAnsi="Times New Roman" w:cs="Times New Roman"/>
          <w:iCs/>
          <w:color w:val="auto"/>
          <w:w w:val="99"/>
          <w:kern w:val="2"/>
          <w:highlight w:val="none"/>
          <w:vertAlign w:val="superscript"/>
        </w:rPr>
        <w:t>2</w:t>
      </w:r>
      <w:r>
        <w:rPr>
          <w:rFonts w:ascii="Times New Roman" w:hAnsi="Times New Roman" w:cs="Times New Roman"/>
          <w:iCs/>
          <w:color w:val="auto"/>
          <w:w w:val="99"/>
          <w:kern w:val="2"/>
          <w:highlight w:val="none"/>
        </w:rPr>
        <w:t>，建筑面积3277.13m</w:t>
      </w:r>
      <w:r>
        <w:rPr>
          <w:rFonts w:ascii="Times New Roman" w:hAnsi="Times New Roman" w:cs="Times New Roman"/>
          <w:iCs/>
          <w:color w:val="auto"/>
          <w:w w:val="99"/>
          <w:kern w:val="2"/>
          <w:highlight w:val="none"/>
          <w:vertAlign w:val="superscript"/>
        </w:rPr>
        <w:t>2</w:t>
      </w:r>
      <w:r>
        <w:rPr>
          <w:rFonts w:ascii="Times New Roman" w:hAnsi="Times New Roman" w:cs="Times New Roman"/>
          <w:iCs/>
          <w:color w:val="auto"/>
          <w:w w:val="99"/>
          <w:kern w:val="2"/>
          <w:highlight w:val="none"/>
        </w:rPr>
        <w:t>。该企业主要处理水基泥浆，处理工艺采用“分离、除砂、离心、絮凝、压滤”等工序，处理工艺流程图见图3.10-2。</w:t>
      </w:r>
    </w:p>
    <w:p>
      <w:pPr>
        <w:jc w:val="center"/>
        <w:rPr>
          <w:rFonts w:ascii="Times New Roman" w:hAnsi="Times New Roman" w:cs="Times New Roman"/>
          <w:iCs/>
          <w:color w:val="auto"/>
          <w:w w:val="99"/>
          <w:kern w:val="2"/>
          <w:highlight w:val="none"/>
        </w:rPr>
      </w:pPr>
      <w:r>
        <w:rPr>
          <w:rFonts w:ascii="Times New Roman" w:hAnsi="Times New Roman" w:cs="Times New Roman"/>
          <w:iCs/>
          <w:color w:val="auto"/>
          <w:w w:val="99"/>
          <w:kern w:val="2"/>
          <w:highlight w:val="none"/>
        </w:rPr>
        <w:drawing>
          <wp:inline distT="0" distB="0" distL="0" distR="0">
            <wp:extent cx="4505325" cy="2486025"/>
            <wp:effectExtent l="0" t="0" r="9525" b="9525"/>
            <wp:docPr id="69" name="图片 69" descr="微信图片_2020091408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微信图片_202009140827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505325" cy="2486025"/>
                    </a:xfrm>
                    <a:prstGeom prst="rect">
                      <a:avLst/>
                    </a:prstGeom>
                    <a:noFill/>
                    <a:ln>
                      <a:noFill/>
                    </a:ln>
                  </pic:spPr>
                </pic:pic>
              </a:graphicData>
            </a:graphic>
          </wp:inline>
        </w:drawing>
      </w:r>
    </w:p>
    <w:p>
      <w:pPr>
        <w:pStyle w:val="109"/>
        <w:widowControl w:val="0"/>
        <w:spacing w:line="440" w:lineRule="exact"/>
        <w:ind w:firstLine="0" w:firstLineChars="0"/>
        <w:jc w:val="center"/>
        <w:rPr>
          <w:rFonts w:ascii="Times New Roman" w:hAnsi="Times New Roman" w:eastAsiaTheme="minorEastAsia"/>
          <w:b/>
          <w:snapToGrid w:val="0"/>
          <w:color w:val="auto"/>
          <w:w w:val="99"/>
          <w:highlight w:val="none"/>
        </w:rPr>
      </w:pPr>
      <w:r>
        <w:rPr>
          <w:rFonts w:ascii="Times New Roman" w:hAnsi="Times New Roman" w:eastAsiaTheme="minorEastAsia"/>
          <w:b/>
          <w:snapToGrid w:val="0"/>
          <w:color w:val="auto"/>
          <w:w w:val="99"/>
          <w:highlight w:val="none"/>
        </w:rPr>
        <w:t>图3.10-2    黑龙江龙之润环保工程有限公司工艺流程图</w:t>
      </w:r>
    </w:p>
    <w:p>
      <w:pPr>
        <w:widowControl w:val="0"/>
        <w:spacing w:line="44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iCs/>
          <w:color w:val="auto"/>
          <w:w w:val="99"/>
          <w:kern w:val="2"/>
          <w:highlight w:val="none"/>
        </w:rPr>
        <w:t>黑龙江龙之润环保工程有限公司处理能力为500m</w:t>
      </w:r>
      <w:r>
        <w:rPr>
          <w:rFonts w:ascii="Times New Roman" w:hAnsi="Times New Roman" w:cs="Times New Roman"/>
          <w:iCs/>
          <w:color w:val="auto"/>
          <w:w w:val="99"/>
          <w:kern w:val="2"/>
          <w:highlight w:val="none"/>
          <w:vertAlign w:val="superscript"/>
        </w:rPr>
        <w:t>3</w:t>
      </w:r>
      <w:r>
        <w:rPr>
          <w:rFonts w:ascii="Times New Roman" w:hAnsi="Times New Roman" w:cs="Times New Roman"/>
          <w:iCs/>
          <w:color w:val="auto"/>
          <w:w w:val="99"/>
          <w:kern w:val="2"/>
          <w:highlight w:val="none"/>
        </w:rPr>
        <w:t>/d，年回收处理水基泥浆15万m</w:t>
      </w:r>
      <w:r>
        <w:rPr>
          <w:rFonts w:ascii="Times New Roman" w:hAnsi="Times New Roman" w:cs="Times New Roman"/>
          <w:iCs/>
          <w:color w:val="auto"/>
          <w:w w:val="99"/>
          <w:kern w:val="2"/>
          <w:highlight w:val="none"/>
          <w:vertAlign w:val="superscript"/>
        </w:rPr>
        <w:t>3</w:t>
      </w:r>
      <w:r>
        <w:rPr>
          <w:rFonts w:ascii="Times New Roman" w:hAnsi="Times New Roman" w:cs="Times New Roman"/>
          <w:iCs/>
          <w:color w:val="auto"/>
          <w:w w:val="99"/>
          <w:kern w:val="2"/>
          <w:highlight w:val="none"/>
        </w:rPr>
        <w:t>，目前年处理量为2万m</w:t>
      </w:r>
      <w:r>
        <w:rPr>
          <w:rFonts w:ascii="Times New Roman" w:hAnsi="Times New Roman" w:cs="Times New Roman"/>
          <w:iCs/>
          <w:color w:val="auto"/>
          <w:w w:val="99"/>
          <w:kern w:val="2"/>
          <w:highlight w:val="none"/>
          <w:vertAlign w:val="superscript"/>
        </w:rPr>
        <w:t>3</w:t>
      </w:r>
      <w:r>
        <w:rPr>
          <w:rFonts w:ascii="Times New Roman" w:hAnsi="Times New Roman" w:cs="Times New Roman"/>
          <w:iCs/>
          <w:color w:val="auto"/>
          <w:w w:val="99"/>
          <w:kern w:val="2"/>
          <w:highlight w:val="none"/>
        </w:rPr>
        <w:t>，年剩余处理量为13万m</w:t>
      </w:r>
      <w:r>
        <w:rPr>
          <w:rFonts w:ascii="Times New Roman" w:hAnsi="Times New Roman" w:cs="Times New Roman"/>
          <w:iCs/>
          <w:color w:val="auto"/>
          <w:w w:val="99"/>
          <w:kern w:val="2"/>
          <w:highlight w:val="none"/>
          <w:vertAlign w:val="superscript"/>
        </w:rPr>
        <w:t>3</w:t>
      </w:r>
      <w:r>
        <w:rPr>
          <w:rFonts w:ascii="Times New Roman" w:hAnsi="Times New Roman" w:cs="Times New Roman"/>
          <w:iCs/>
          <w:color w:val="auto"/>
          <w:w w:val="99"/>
          <w:kern w:val="2"/>
          <w:highlight w:val="none"/>
        </w:rPr>
        <w:t>，本项目废射孔液产生量为</w:t>
      </w:r>
      <w:r>
        <w:rPr>
          <w:rFonts w:hint="eastAsia" w:ascii="Times New Roman" w:hAnsi="Times New Roman" w:cs="Times New Roman" w:eastAsiaTheme="minorEastAsia"/>
          <w:color w:val="auto"/>
          <w:w w:val="99"/>
          <w:kern w:val="2"/>
          <w:highlight w:val="none"/>
          <w:lang w:val="en-US" w:eastAsia="zh-CN"/>
        </w:rPr>
        <w:t>1760</w:t>
      </w:r>
      <w:r>
        <w:rPr>
          <w:rFonts w:hint="eastAsia" w:ascii="Times New Roman" w:hAnsi="Times New Roman" w:cs="Times New Roman" w:eastAsiaTheme="minorEastAsia"/>
          <w:color w:val="auto"/>
          <w:w w:val="99"/>
          <w:kern w:val="2"/>
          <w:highlight w:val="none"/>
        </w:rPr>
        <w:t>m</w:t>
      </w:r>
      <w:r>
        <w:rPr>
          <w:rFonts w:hint="eastAsia" w:ascii="Times New Roman" w:hAnsi="Times New Roman" w:cs="Times New Roman" w:eastAsiaTheme="minorEastAsia"/>
          <w:color w:val="auto"/>
          <w:w w:val="99"/>
          <w:kern w:val="2"/>
          <w:highlight w:val="none"/>
          <w:vertAlign w:val="superscript"/>
        </w:rPr>
        <w:t>3</w:t>
      </w:r>
      <w:r>
        <w:rPr>
          <w:rFonts w:ascii="Times New Roman" w:hAnsi="Times New Roman" w:cs="Times New Roman"/>
          <w:iCs/>
          <w:color w:val="auto"/>
          <w:w w:val="99"/>
          <w:kern w:val="2"/>
          <w:highlight w:val="none"/>
        </w:rPr>
        <w:t>，</w:t>
      </w:r>
      <w:r>
        <w:rPr>
          <w:rFonts w:ascii="Times New Roman" w:hAnsi="Times New Roman" w:cs="Times New Roman"/>
          <w:bCs/>
          <w:iCs/>
          <w:color w:val="auto"/>
          <w:w w:val="99"/>
          <w:kern w:val="2"/>
          <w:highlight w:val="none"/>
        </w:rPr>
        <w:t>该站剩余能力满足本项目的需求。</w:t>
      </w:r>
      <w:r>
        <w:rPr>
          <w:rFonts w:ascii="Times New Roman" w:hAnsi="Times New Roman" w:cs="Times New Roman"/>
          <w:iCs/>
          <w:color w:val="auto"/>
          <w:w w:val="99"/>
          <w:kern w:val="2"/>
          <w:highlight w:val="none"/>
        </w:rPr>
        <w:t>处理后的压滤水拉运至第五采油厂杏十五一联合站处理满足《大庆油田地面工程建设设计规定》（Q/SYDQ0639-2015）限值要求：“含油量≤8mg/L、悬浮固体含量≤3mg/L、粒径中值≤2μm”回注油层，</w:t>
      </w:r>
      <w:r>
        <w:rPr>
          <w:rFonts w:ascii="Times New Roman" w:hAnsi="Times New Roman" w:cs="Times New Roman" w:eastAsiaTheme="minorEastAsia"/>
          <w:bCs/>
          <w:color w:val="auto"/>
          <w:w w:val="99"/>
          <w:highlight w:val="none"/>
        </w:rPr>
        <w:t>泥饼满足《废弃钻井液处理规范》（DB23/T693-2000）表1要求后用于铺垫井场及通井路</w:t>
      </w:r>
      <w:r>
        <w:rPr>
          <w:rFonts w:ascii="Times New Roman" w:hAnsi="Times New Roman" w:cs="Times New Roman"/>
          <w:bCs/>
          <w:iCs/>
          <w:color w:val="auto"/>
          <w:w w:val="99"/>
          <w:kern w:val="2"/>
          <w:highlight w:val="none"/>
        </w:rPr>
        <w:t>。</w:t>
      </w:r>
    </w:p>
    <w:p>
      <w:pPr>
        <w:widowControl w:val="0"/>
        <w:spacing w:line="44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（3）</w:t>
      </w:r>
      <w:r>
        <w:rPr>
          <w:rFonts w:ascii="Times New Roman" w:hAnsi="Times New Roman" w:cs="Times New Roman" w:eastAsiaTheme="minorEastAsia"/>
          <w:color w:val="auto"/>
          <w:w w:val="99"/>
          <w:kern w:val="2"/>
          <w:highlight w:val="none"/>
          <w:lang w:bidi="zh-CN"/>
        </w:rPr>
        <w:t>第八采油厂工业固废填埋场</w:t>
      </w:r>
    </w:p>
    <w:p>
      <w:pPr>
        <w:widowControl w:val="0"/>
        <w:spacing w:line="440" w:lineRule="exact"/>
        <w:ind w:firstLine="474" w:firstLineChars="200"/>
        <w:jc w:val="both"/>
        <w:rPr>
          <w:rFonts w:ascii="Times New Roman" w:hAnsi="Times New Roman" w:cs="Times New Roman" w:eastAsiaTheme="minorEastAsia"/>
          <w:bCs/>
          <w:color w:val="auto"/>
          <w:w w:val="99"/>
          <w:highlight w:val="none"/>
          <w:lang w:bidi="zh-CN"/>
        </w:rPr>
      </w:pPr>
      <w:r>
        <w:rPr>
          <w:rFonts w:ascii="Times New Roman" w:hAnsi="Times New Roman" w:cs="Times New Roman" w:eastAsiaTheme="minorEastAsia"/>
          <w:color w:val="auto"/>
          <w:w w:val="99"/>
          <w:kern w:val="2"/>
          <w:highlight w:val="none"/>
          <w:lang w:bidi="zh-CN"/>
        </w:rPr>
        <w:t>第八采油厂工业固废填埋场位于大庆市肇州县新福乡双龙山北侧1.8km、乐业村东南1.05km处，占地面积1.91hm</w:t>
      </w:r>
      <w:r>
        <w:rPr>
          <w:rFonts w:ascii="Times New Roman" w:hAnsi="Times New Roman" w:cs="Times New Roman" w:eastAsiaTheme="minorEastAsia"/>
          <w:color w:val="auto"/>
          <w:w w:val="99"/>
          <w:kern w:val="2"/>
          <w:highlight w:val="none"/>
          <w:vertAlign w:val="superscript"/>
          <w:lang w:bidi="zh-CN"/>
        </w:rPr>
        <w:t>2</w:t>
      </w:r>
      <w:r>
        <w:rPr>
          <w:rFonts w:ascii="Times New Roman" w:hAnsi="Times New Roman" w:cs="Times New Roman" w:eastAsiaTheme="minorEastAsia"/>
          <w:color w:val="auto"/>
          <w:w w:val="99"/>
          <w:kern w:val="2"/>
          <w:highlight w:val="none"/>
          <w:lang w:bidi="zh-CN"/>
        </w:rPr>
        <w:t>。</w:t>
      </w:r>
      <w:r>
        <w:rPr>
          <w:rFonts w:ascii="Times New Roman" w:hAnsi="Times New Roman" w:cs="Times New Roman" w:eastAsiaTheme="minorEastAsia"/>
          <w:color w:val="auto"/>
          <w:w w:val="99"/>
          <w:highlight w:val="none"/>
          <w:lang w:val="zh-CN" w:bidi="zh-CN"/>
        </w:rPr>
        <w:t>第八采油厂工业固废填埋场现阶段运行稳定，总容量为11624m</w:t>
      </w:r>
      <w:r>
        <w:rPr>
          <w:rFonts w:ascii="Times New Roman" w:hAnsi="Times New Roman" w:cs="Times New Roman" w:eastAsiaTheme="minorEastAsia"/>
          <w:color w:val="auto"/>
          <w:w w:val="99"/>
          <w:highlight w:val="none"/>
          <w:vertAlign w:val="superscript"/>
          <w:lang w:val="zh-CN" w:bidi="zh-CN"/>
        </w:rPr>
        <w:t>3</w:t>
      </w:r>
      <w:r>
        <w:rPr>
          <w:rFonts w:ascii="Times New Roman" w:hAnsi="Times New Roman" w:cs="Times New Roman" w:eastAsiaTheme="minorEastAsia"/>
          <w:color w:val="auto"/>
          <w:w w:val="99"/>
          <w:highlight w:val="none"/>
          <w:lang w:val="zh-CN" w:bidi="zh-CN"/>
        </w:rPr>
        <w:t>，目前实际容纳约8800m</w:t>
      </w:r>
      <w:r>
        <w:rPr>
          <w:rFonts w:ascii="Times New Roman" w:hAnsi="Times New Roman" w:cs="Times New Roman" w:eastAsiaTheme="minorEastAsia"/>
          <w:color w:val="auto"/>
          <w:w w:val="99"/>
          <w:highlight w:val="none"/>
          <w:vertAlign w:val="superscript"/>
          <w:lang w:val="zh-CN" w:bidi="zh-CN"/>
        </w:rPr>
        <w:t>3</w:t>
      </w:r>
      <w:r>
        <w:rPr>
          <w:rFonts w:ascii="Times New Roman" w:hAnsi="Times New Roman" w:cs="Times New Roman" w:eastAsiaTheme="minorEastAsia"/>
          <w:color w:val="auto"/>
          <w:w w:val="99"/>
          <w:highlight w:val="none"/>
          <w:lang w:val="zh-CN" w:bidi="zh-CN"/>
        </w:rPr>
        <w:t>，剩余能力为2824m</w:t>
      </w:r>
      <w:r>
        <w:rPr>
          <w:rFonts w:ascii="Times New Roman" w:hAnsi="Times New Roman" w:cs="Times New Roman" w:eastAsiaTheme="minorEastAsia"/>
          <w:color w:val="auto"/>
          <w:w w:val="99"/>
          <w:highlight w:val="none"/>
          <w:vertAlign w:val="superscript"/>
          <w:lang w:val="zh-CN" w:bidi="zh-CN"/>
        </w:rPr>
        <w:t>3</w:t>
      </w:r>
      <w:r>
        <w:rPr>
          <w:rFonts w:ascii="Times New Roman" w:hAnsi="Times New Roman" w:cs="Times New Roman" w:eastAsiaTheme="minorEastAsia"/>
          <w:color w:val="auto"/>
          <w:w w:val="99"/>
          <w:highlight w:val="none"/>
          <w:lang w:val="zh-CN" w:bidi="zh-CN"/>
        </w:rPr>
        <w:t>/a，</w:t>
      </w:r>
      <w:r>
        <w:rPr>
          <w:rFonts w:ascii="Times New Roman" w:hAnsi="Times New Roman" w:cs="Times New Roman" w:eastAsiaTheme="minorEastAsia"/>
          <w:bCs/>
          <w:color w:val="auto"/>
          <w:w w:val="99"/>
          <w:highlight w:val="none"/>
          <w:lang w:bidi="zh-CN"/>
        </w:rPr>
        <w:t>本项目产生废弃防渗布和</w:t>
      </w:r>
      <w:r>
        <w:rPr>
          <w:rFonts w:ascii="Times New Roman" w:hAnsi="Times New Roman" w:cs="Times New Roman" w:eastAsiaTheme="minorEastAsia"/>
          <w:color w:val="auto"/>
          <w:w w:val="99"/>
          <w:kern w:val="2"/>
          <w:highlight w:val="none"/>
        </w:rPr>
        <w:t>膨润土、纯碱、重晶石粉废包装袋</w:t>
      </w:r>
      <w:r>
        <w:rPr>
          <w:rFonts w:ascii="Times New Roman" w:hAnsi="Times New Roman" w:cs="Times New Roman" w:eastAsiaTheme="minorEastAsia"/>
          <w:bCs/>
          <w:color w:val="auto"/>
          <w:w w:val="99"/>
          <w:highlight w:val="none"/>
          <w:lang w:bidi="zh-CN"/>
        </w:rPr>
        <w:t>共计</w:t>
      </w:r>
      <w:r>
        <w:rPr>
          <w:rFonts w:hint="eastAsia" w:ascii="Times New Roman" w:hAnsi="Times New Roman" w:cs="Times New Roman" w:eastAsiaTheme="minorEastAsia"/>
          <w:bCs/>
          <w:color w:val="auto"/>
          <w:w w:val="99"/>
          <w:highlight w:val="none"/>
          <w:lang w:val="en-US" w:bidi="zh-CN"/>
        </w:rPr>
        <w:t>19.052</w:t>
      </w:r>
      <w:r>
        <w:rPr>
          <w:rFonts w:ascii="Times New Roman" w:hAnsi="Times New Roman" w:cs="Times New Roman" w:eastAsiaTheme="minorEastAsia"/>
          <w:bCs/>
          <w:color w:val="auto"/>
          <w:w w:val="99"/>
          <w:highlight w:val="none"/>
          <w:lang w:bidi="zh-CN"/>
        </w:rPr>
        <w:t>t，填埋场剩余容量能够容纳本项目产生的固体废物，本项目依托可行。</w:t>
      </w:r>
    </w:p>
    <w:p>
      <w:pPr>
        <w:pStyle w:val="5"/>
        <w:keepNext w:val="0"/>
        <w:keepLines w:val="0"/>
        <w:widowControl w:val="0"/>
        <w:rPr>
          <w:rFonts w:ascii="Times New Roman" w:hAnsi="Times New Roman"/>
          <w:b/>
          <w:snapToGrid w:val="0"/>
          <w:color w:val="auto"/>
          <w:w w:val="99"/>
          <w:highlight w:val="none"/>
        </w:rPr>
      </w:pPr>
      <w:r>
        <w:rPr>
          <w:rFonts w:ascii="Times New Roman" w:hAnsi="Times New Roman"/>
          <w:b/>
          <w:snapToGrid w:val="0"/>
          <w:color w:val="auto"/>
          <w:w w:val="99"/>
          <w:highlight w:val="none"/>
        </w:rPr>
        <w:t>3.1</w:t>
      </w:r>
      <w:r>
        <w:rPr>
          <w:rFonts w:hint="eastAsia" w:ascii="Times New Roman" w:hAnsi="Times New Roman"/>
          <w:b/>
          <w:snapToGrid w:val="0"/>
          <w:color w:val="auto"/>
          <w:w w:val="99"/>
          <w:highlight w:val="none"/>
          <w:lang w:val="en-US" w:eastAsia="zh-CN"/>
        </w:rPr>
        <w:t>1</w:t>
      </w:r>
      <w:r>
        <w:rPr>
          <w:rFonts w:ascii="Times New Roman" w:hAnsi="Times New Roman"/>
          <w:b/>
          <w:snapToGrid w:val="0"/>
          <w:color w:val="auto"/>
          <w:w w:val="99"/>
          <w:highlight w:val="none"/>
        </w:rPr>
        <w:t>钻井工艺及产污环节</w:t>
      </w:r>
      <w:bookmarkEnd w:id="488"/>
      <w:bookmarkEnd w:id="505"/>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bookmarkStart w:id="508" w:name="_Toc19619"/>
      <w:r>
        <w:rPr>
          <w:rFonts w:ascii="Times New Roman" w:hAnsi="Times New Roman" w:cs="Times New Roman" w:eastAsiaTheme="minorEastAsia"/>
          <w:color w:val="auto"/>
          <w:w w:val="99"/>
          <w:kern w:val="2"/>
          <w:szCs w:val="20"/>
          <w:highlight w:val="none"/>
        </w:rPr>
        <w:t>钻井工艺包括：钻前准备、钻进、录井、测井、固井、完井。</w:t>
      </w:r>
    </w:p>
    <w:p>
      <w:pPr>
        <w:pStyle w:val="7"/>
        <w:keepNext w:val="0"/>
        <w:keepLines w:val="0"/>
        <w:widowControl w:val="0"/>
        <w:rPr>
          <w:b/>
          <w:color w:val="auto"/>
          <w:w w:val="99"/>
          <w:kern w:val="2"/>
          <w:sz w:val="24"/>
          <w:szCs w:val="24"/>
          <w:highlight w:val="none"/>
        </w:rPr>
      </w:pPr>
      <w:bookmarkStart w:id="509" w:name="_Toc71371968"/>
      <w:bookmarkStart w:id="510" w:name="_Toc61597243"/>
      <w:bookmarkStart w:id="511" w:name="_Toc67523615"/>
      <w:bookmarkStart w:id="512" w:name="_Toc80105168"/>
      <w:bookmarkStart w:id="513" w:name="_Toc77667312"/>
      <w:bookmarkStart w:id="514" w:name="_Toc74812339"/>
      <w:bookmarkStart w:id="515" w:name="_Toc69690833"/>
      <w:r>
        <w:rPr>
          <w:b/>
          <w:color w:val="auto"/>
          <w:w w:val="99"/>
          <w:kern w:val="2"/>
          <w:sz w:val="24"/>
          <w:szCs w:val="24"/>
          <w:highlight w:val="none"/>
        </w:rPr>
        <w:t>3.1</w:t>
      </w:r>
      <w:r>
        <w:rPr>
          <w:rFonts w:hint="eastAsia"/>
          <w:b/>
          <w:color w:val="auto"/>
          <w:w w:val="99"/>
          <w:kern w:val="2"/>
          <w:sz w:val="24"/>
          <w:szCs w:val="24"/>
          <w:highlight w:val="none"/>
          <w:lang w:val="en-US" w:eastAsia="zh-CN"/>
        </w:rPr>
        <w:t>1</w:t>
      </w:r>
      <w:r>
        <w:rPr>
          <w:b/>
          <w:color w:val="auto"/>
          <w:w w:val="99"/>
          <w:kern w:val="2"/>
          <w:sz w:val="24"/>
          <w:szCs w:val="24"/>
          <w:highlight w:val="none"/>
        </w:rPr>
        <w:t>.1钻前准备</w:t>
      </w:r>
      <w:bookmarkEnd w:id="509"/>
      <w:bookmarkEnd w:id="510"/>
      <w:bookmarkEnd w:id="511"/>
      <w:bookmarkEnd w:id="512"/>
      <w:bookmarkEnd w:id="513"/>
      <w:bookmarkEnd w:id="514"/>
      <w:bookmarkEnd w:id="515"/>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（1）钻前整理场地，并保证全套钻井设备达到相关的安装标准；</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（2）在钻机安装的过程中，注意保护井口设备；</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（3）要求天车、转盘、井口三点成一条铅垂线，误差小于10mm；确保在施工过程中不偏磨井口套管及井控设备；</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（4）设备运转正常，安全装置灵活好用，各种仪器仪表准确灵敏好用；</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（5）高压循环系统试压，钻机试压20.0MPa，运转30min 以上，所有管线不渗不漏，油气水路畅通；</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（6）钻具在入井前必须用φ48mm通径规通径，以保证陀螺仪器下入；</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（7）对所有的下井钻具进行外观检查和超声波探伤，准确丈量钻具，钻具记录上注明内外径、扣型，特殊工具要画草图。</w:t>
      </w:r>
    </w:p>
    <w:p>
      <w:pPr>
        <w:pStyle w:val="7"/>
        <w:keepNext w:val="0"/>
        <w:keepLines w:val="0"/>
        <w:widowControl w:val="0"/>
        <w:rPr>
          <w:b/>
          <w:color w:val="auto"/>
          <w:w w:val="99"/>
          <w:kern w:val="2"/>
          <w:sz w:val="24"/>
          <w:szCs w:val="24"/>
          <w:highlight w:val="none"/>
        </w:rPr>
      </w:pPr>
      <w:bookmarkStart w:id="516" w:name="_Toc80105169"/>
      <w:bookmarkStart w:id="517" w:name="_Toc67523616"/>
      <w:bookmarkStart w:id="518" w:name="_Toc74812340"/>
      <w:bookmarkStart w:id="519" w:name="_Toc69690834"/>
      <w:bookmarkStart w:id="520" w:name="_Toc77667313"/>
      <w:bookmarkStart w:id="521" w:name="_Toc61597244"/>
      <w:bookmarkStart w:id="522" w:name="_Toc71371969"/>
      <w:r>
        <w:rPr>
          <w:b/>
          <w:color w:val="auto"/>
          <w:w w:val="99"/>
          <w:kern w:val="2"/>
          <w:sz w:val="24"/>
          <w:szCs w:val="24"/>
          <w:highlight w:val="none"/>
        </w:rPr>
        <w:t>3.1</w:t>
      </w:r>
      <w:r>
        <w:rPr>
          <w:rFonts w:hint="eastAsia"/>
          <w:b/>
          <w:color w:val="auto"/>
          <w:w w:val="99"/>
          <w:kern w:val="2"/>
          <w:sz w:val="24"/>
          <w:szCs w:val="24"/>
          <w:highlight w:val="none"/>
          <w:lang w:val="en-US" w:eastAsia="zh-CN"/>
        </w:rPr>
        <w:t>1</w:t>
      </w:r>
      <w:r>
        <w:rPr>
          <w:b/>
          <w:color w:val="auto"/>
          <w:w w:val="99"/>
          <w:kern w:val="2"/>
          <w:sz w:val="24"/>
          <w:szCs w:val="24"/>
          <w:highlight w:val="none"/>
        </w:rPr>
        <w:t>.2钻进</w:t>
      </w:r>
      <w:bookmarkEnd w:id="516"/>
      <w:bookmarkEnd w:id="517"/>
      <w:bookmarkEnd w:id="518"/>
      <w:bookmarkEnd w:id="519"/>
      <w:bookmarkEnd w:id="520"/>
      <w:bookmarkEnd w:id="521"/>
      <w:bookmarkEnd w:id="522"/>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钻进主要是利用钻头高效率地破碎岩石，钻头上面连接钻柱，钻柱把地面动力传给钻头；洗井主要是利用钻井液将钻进过程中产生的岩屑洗出至地面；接单根是指随着井不断加深钻杆也要随之加长，每次接入一根钻杆称之为接单根。起下钻主要为了更换磨损的钻头；固井主要是为了保护井眼和各地层之间不至有事故情况出现，将套管下入井中，并在井眼与套管之间灌注钻井液，封闭住地层。固井可有效保护地下水含水层不受破坏。</w:t>
      </w:r>
    </w:p>
    <w:p>
      <w:pPr>
        <w:pStyle w:val="7"/>
        <w:keepNext w:val="0"/>
        <w:keepLines w:val="0"/>
        <w:widowControl w:val="0"/>
        <w:rPr>
          <w:b/>
          <w:color w:val="auto"/>
          <w:w w:val="99"/>
          <w:kern w:val="2"/>
          <w:sz w:val="24"/>
          <w:szCs w:val="24"/>
          <w:highlight w:val="none"/>
        </w:rPr>
      </w:pPr>
      <w:bookmarkStart w:id="523" w:name="_Toc69690835"/>
      <w:bookmarkStart w:id="524" w:name="_Toc67523617"/>
      <w:bookmarkStart w:id="525" w:name="_Toc77667314"/>
      <w:bookmarkStart w:id="526" w:name="_Toc74812341"/>
      <w:bookmarkStart w:id="527" w:name="_Toc61597245"/>
      <w:bookmarkStart w:id="528" w:name="_Toc71371970"/>
      <w:bookmarkStart w:id="529" w:name="_Toc80105170"/>
      <w:r>
        <w:rPr>
          <w:b/>
          <w:color w:val="auto"/>
          <w:w w:val="99"/>
          <w:kern w:val="2"/>
          <w:sz w:val="24"/>
          <w:szCs w:val="24"/>
          <w:highlight w:val="none"/>
        </w:rPr>
        <w:t>3.1</w:t>
      </w:r>
      <w:r>
        <w:rPr>
          <w:rFonts w:hint="eastAsia"/>
          <w:b/>
          <w:color w:val="auto"/>
          <w:w w:val="99"/>
          <w:kern w:val="2"/>
          <w:sz w:val="24"/>
          <w:szCs w:val="24"/>
          <w:highlight w:val="none"/>
          <w:lang w:val="en-US" w:eastAsia="zh-CN"/>
        </w:rPr>
        <w:t>1</w:t>
      </w:r>
      <w:r>
        <w:rPr>
          <w:b/>
          <w:color w:val="auto"/>
          <w:w w:val="99"/>
          <w:kern w:val="2"/>
          <w:sz w:val="24"/>
          <w:szCs w:val="24"/>
          <w:highlight w:val="none"/>
        </w:rPr>
        <w:t>.3录井</w:t>
      </w:r>
      <w:bookmarkEnd w:id="523"/>
      <w:bookmarkEnd w:id="524"/>
      <w:bookmarkEnd w:id="525"/>
      <w:bookmarkEnd w:id="526"/>
      <w:bookmarkEnd w:id="527"/>
      <w:bookmarkEnd w:id="528"/>
      <w:bookmarkEnd w:id="529"/>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使用定量荧光技术及定量气测技术，记录、录取钻井过程中的各种相关信息。</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p>
    <w:p>
      <w:pPr>
        <w:pStyle w:val="7"/>
        <w:keepNext w:val="0"/>
        <w:keepLines w:val="0"/>
        <w:widowControl w:val="0"/>
        <w:rPr>
          <w:b/>
          <w:color w:val="auto"/>
          <w:w w:val="99"/>
          <w:kern w:val="2"/>
          <w:sz w:val="24"/>
          <w:szCs w:val="24"/>
          <w:highlight w:val="none"/>
        </w:rPr>
      </w:pPr>
      <w:bookmarkStart w:id="530" w:name="_Toc80105171"/>
      <w:bookmarkStart w:id="531" w:name="_Toc69690836"/>
      <w:bookmarkStart w:id="532" w:name="_Toc71371971"/>
      <w:bookmarkStart w:id="533" w:name="_Toc77667315"/>
      <w:bookmarkStart w:id="534" w:name="_Toc67523618"/>
      <w:bookmarkStart w:id="535" w:name="_Toc74812342"/>
      <w:bookmarkStart w:id="536" w:name="_Toc61597246"/>
      <w:r>
        <w:rPr>
          <w:b/>
          <w:color w:val="auto"/>
          <w:w w:val="99"/>
          <w:kern w:val="2"/>
          <w:sz w:val="24"/>
          <w:szCs w:val="24"/>
          <w:highlight w:val="none"/>
        </w:rPr>
        <w:t>3.1</w:t>
      </w:r>
      <w:r>
        <w:rPr>
          <w:rFonts w:hint="eastAsia"/>
          <w:b/>
          <w:color w:val="auto"/>
          <w:w w:val="99"/>
          <w:kern w:val="2"/>
          <w:sz w:val="24"/>
          <w:szCs w:val="24"/>
          <w:highlight w:val="none"/>
          <w:lang w:val="en-US" w:eastAsia="zh-CN"/>
        </w:rPr>
        <w:t>1</w:t>
      </w:r>
      <w:r>
        <w:rPr>
          <w:b/>
          <w:color w:val="auto"/>
          <w:w w:val="99"/>
          <w:kern w:val="2"/>
          <w:sz w:val="24"/>
          <w:szCs w:val="24"/>
          <w:highlight w:val="none"/>
        </w:rPr>
        <w:t>.4测井</w:t>
      </w:r>
      <w:bookmarkEnd w:id="530"/>
      <w:bookmarkEnd w:id="531"/>
      <w:bookmarkEnd w:id="532"/>
      <w:bookmarkEnd w:id="533"/>
      <w:bookmarkEnd w:id="534"/>
      <w:bookmarkEnd w:id="535"/>
      <w:bookmarkEnd w:id="536"/>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当钻井达到设计井深后，下入测井电缆，由测井仪记录参数。一般在套管时进行裸眼仪器测井，主要测定井下油、气、水层的岩石物理性质，监测各油层的工作情况，检查开发井的技术状况等，是开发井采取作业措施和进行油田开发调整的重要依据，内容有饱和度测井、工程测井，测井过程中不产生污染物。</w:t>
      </w:r>
    </w:p>
    <w:p>
      <w:pPr>
        <w:pStyle w:val="7"/>
        <w:keepNext w:val="0"/>
        <w:keepLines w:val="0"/>
        <w:widowControl w:val="0"/>
        <w:rPr>
          <w:b/>
          <w:color w:val="auto"/>
          <w:w w:val="99"/>
          <w:kern w:val="2"/>
          <w:sz w:val="24"/>
          <w:szCs w:val="24"/>
          <w:highlight w:val="none"/>
        </w:rPr>
      </w:pPr>
      <w:bookmarkStart w:id="537" w:name="_Toc67523619"/>
      <w:bookmarkStart w:id="538" w:name="_Toc61597247"/>
      <w:bookmarkStart w:id="539" w:name="_Toc80105172"/>
      <w:bookmarkStart w:id="540" w:name="_Toc74812343"/>
      <w:bookmarkStart w:id="541" w:name="_Toc69690837"/>
      <w:bookmarkStart w:id="542" w:name="_Toc71371972"/>
      <w:bookmarkStart w:id="543" w:name="_Toc77667316"/>
      <w:r>
        <w:rPr>
          <w:b/>
          <w:color w:val="auto"/>
          <w:w w:val="99"/>
          <w:kern w:val="2"/>
          <w:sz w:val="24"/>
          <w:szCs w:val="24"/>
          <w:highlight w:val="none"/>
        </w:rPr>
        <w:t>3.1</w:t>
      </w:r>
      <w:r>
        <w:rPr>
          <w:rFonts w:hint="eastAsia"/>
          <w:b/>
          <w:color w:val="auto"/>
          <w:w w:val="99"/>
          <w:kern w:val="2"/>
          <w:sz w:val="24"/>
          <w:szCs w:val="24"/>
          <w:highlight w:val="none"/>
          <w:lang w:val="en-US" w:eastAsia="zh-CN"/>
        </w:rPr>
        <w:t>1</w:t>
      </w:r>
      <w:r>
        <w:rPr>
          <w:b/>
          <w:color w:val="auto"/>
          <w:w w:val="99"/>
          <w:kern w:val="2"/>
          <w:sz w:val="24"/>
          <w:szCs w:val="24"/>
          <w:highlight w:val="none"/>
        </w:rPr>
        <w:t>.5固井</w:t>
      </w:r>
      <w:bookmarkEnd w:id="537"/>
      <w:bookmarkEnd w:id="538"/>
      <w:bookmarkEnd w:id="539"/>
      <w:bookmarkEnd w:id="540"/>
      <w:bookmarkEnd w:id="541"/>
      <w:bookmarkEnd w:id="542"/>
      <w:bookmarkEnd w:id="543"/>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固井主要是为了保护井眼和各地层之间不至有事故情况出现，将套管下入井中，并在井眼与套管之间灌注固井水泥浆，封闭住地层，固井可有效保护地下水含水层不受破坏。</w:t>
      </w:r>
    </w:p>
    <w:p>
      <w:pPr>
        <w:pStyle w:val="7"/>
        <w:keepNext w:val="0"/>
        <w:keepLines w:val="0"/>
        <w:widowControl w:val="0"/>
        <w:rPr>
          <w:b/>
          <w:color w:val="auto"/>
          <w:w w:val="99"/>
          <w:kern w:val="2"/>
          <w:sz w:val="24"/>
          <w:szCs w:val="24"/>
          <w:highlight w:val="none"/>
        </w:rPr>
      </w:pPr>
      <w:bookmarkStart w:id="544" w:name="_Toc69690838"/>
      <w:bookmarkStart w:id="545" w:name="_Toc71371973"/>
      <w:bookmarkStart w:id="546" w:name="_Toc67523620"/>
      <w:bookmarkStart w:id="547" w:name="_Toc80105173"/>
      <w:bookmarkStart w:id="548" w:name="_Toc74812344"/>
      <w:bookmarkStart w:id="549" w:name="_Toc61597248"/>
      <w:bookmarkStart w:id="550" w:name="_Toc77667317"/>
      <w:r>
        <w:rPr>
          <w:b/>
          <w:color w:val="auto"/>
          <w:w w:val="99"/>
          <w:kern w:val="2"/>
          <w:sz w:val="24"/>
          <w:szCs w:val="24"/>
          <w:highlight w:val="none"/>
        </w:rPr>
        <w:t>3.1</w:t>
      </w:r>
      <w:r>
        <w:rPr>
          <w:rFonts w:hint="eastAsia"/>
          <w:b/>
          <w:color w:val="auto"/>
          <w:w w:val="99"/>
          <w:kern w:val="2"/>
          <w:sz w:val="24"/>
          <w:szCs w:val="24"/>
          <w:highlight w:val="none"/>
          <w:lang w:val="en-US" w:eastAsia="zh-CN"/>
        </w:rPr>
        <w:t>1</w:t>
      </w:r>
      <w:r>
        <w:rPr>
          <w:b/>
          <w:color w:val="auto"/>
          <w:w w:val="99"/>
          <w:kern w:val="2"/>
          <w:sz w:val="24"/>
          <w:szCs w:val="24"/>
          <w:highlight w:val="none"/>
        </w:rPr>
        <w:t>.6完井</w:t>
      </w:r>
      <w:bookmarkEnd w:id="544"/>
      <w:bookmarkEnd w:id="545"/>
      <w:bookmarkEnd w:id="546"/>
      <w:bookmarkEnd w:id="547"/>
      <w:bookmarkEnd w:id="548"/>
      <w:bookmarkEnd w:id="549"/>
      <w:bookmarkEnd w:id="550"/>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完井方式为射孔完井，完井用水泥封固井口，并安装防盗井口帽子。</w:t>
      </w:r>
    </w:p>
    <w:p>
      <w:pPr>
        <w:widowControl w:val="0"/>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本项目钻井施工主要工艺流程产污节点分析见图3.1</w:t>
      </w:r>
      <w:r>
        <w:rPr>
          <w:rFonts w:hint="eastAsia" w:ascii="Times New Roman" w:hAnsi="Times New Roman" w:cs="Times New Roman" w:eastAsiaTheme="minorEastAsia"/>
          <w:color w:val="auto"/>
          <w:w w:val="99"/>
          <w:highlight w:val="none"/>
          <w:lang w:val="en-US" w:eastAsia="zh-CN"/>
        </w:rPr>
        <w:t>1</w:t>
      </w:r>
      <w:r>
        <w:rPr>
          <w:rFonts w:ascii="Times New Roman" w:hAnsi="Times New Roman" w:cs="Times New Roman" w:eastAsiaTheme="minorEastAsia"/>
          <w:color w:val="auto"/>
          <w:w w:val="99"/>
          <w:highlight w:val="none"/>
        </w:rPr>
        <w:t>-1。</w:t>
      </w:r>
    </w:p>
    <w:p>
      <w:pPr>
        <w:jc w:val="center"/>
        <w:rPr>
          <w:rFonts w:ascii="Times New Roman" w:hAnsi="Times New Roman" w:cs="Times New Roman" w:eastAsiaTheme="minorEastAsia"/>
          <w:color w:val="auto"/>
          <w:w w:val="99"/>
          <w:kern w:val="2"/>
          <w:highlight w:val="none"/>
        </w:rPr>
      </w:pPr>
      <w:r>
        <w:rPr>
          <w:rFonts w:hint="eastAsia" w:ascii="Times New Roman" w:hAnsi="Times New Roman" w:cs="Times New Roman"/>
          <w:color w:val="auto"/>
          <w:w w:val="99"/>
          <w:kern w:val="2"/>
          <w:highlight w:val="none"/>
        </w:rPr>
        <w:drawing>
          <wp:inline distT="0" distB="0" distL="114300" distR="114300">
            <wp:extent cx="5750560" cy="4050665"/>
            <wp:effectExtent l="0" t="0" r="2540" b="6985"/>
            <wp:docPr id="75" name="图片 75" descr="163428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1634283413(1)"/>
                    <pic:cNvPicPr>
                      <a:picLocks noChangeAspect="1"/>
                    </pic:cNvPicPr>
                  </pic:nvPicPr>
                  <pic:blipFill>
                    <a:blip r:embed="rId24"/>
                    <a:stretch>
                      <a:fillRect/>
                    </a:stretch>
                  </pic:blipFill>
                  <pic:spPr>
                    <a:xfrm>
                      <a:off x="0" y="0"/>
                      <a:ext cx="5750560" cy="4050665"/>
                    </a:xfrm>
                    <a:prstGeom prst="rect">
                      <a:avLst/>
                    </a:prstGeom>
                  </pic:spPr>
                </pic:pic>
              </a:graphicData>
            </a:graphic>
          </wp:inline>
        </w:drawing>
      </w:r>
    </w:p>
    <w:p>
      <w:pPr>
        <w:widowControl w:val="0"/>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highlight w:val="none"/>
        </w:rPr>
        <w:t>图3.1</w:t>
      </w:r>
      <w:r>
        <w:rPr>
          <w:rFonts w:hint="eastAsia" w:ascii="Times New Roman" w:hAnsi="Times New Roman" w:cs="Times New Roman" w:eastAsiaTheme="minorEastAsia"/>
          <w:color w:val="auto"/>
          <w:w w:val="99"/>
          <w:highlight w:val="none"/>
          <w:lang w:val="en-US" w:eastAsia="zh-CN"/>
        </w:rPr>
        <w:t>1</w:t>
      </w:r>
      <w:r>
        <w:rPr>
          <w:rFonts w:ascii="Times New Roman" w:hAnsi="Times New Roman" w:cs="Times New Roman" w:eastAsiaTheme="minorEastAsia"/>
          <w:color w:val="auto"/>
          <w:w w:val="99"/>
          <w:highlight w:val="none"/>
        </w:rPr>
        <w:t>-1             钻井施工主要工艺流程产污节点图</w:t>
      </w:r>
    </w:p>
    <w:p>
      <w:pPr>
        <w:pStyle w:val="107"/>
        <w:widowControl w:val="0"/>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本项目排污节点见表3.10-1。</w:t>
      </w:r>
    </w:p>
    <w:p>
      <w:pPr>
        <w:pStyle w:val="107"/>
        <w:widowControl w:val="0"/>
        <w:spacing w:line="500" w:lineRule="exact"/>
        <w:ind w:firstLine="474" w:firstLineChars="200"/>
        <w:rPr>
          <w:rFonts w:ascii="Times New Roman" w:hAnsi="Times New Roman" w:cs="Times New Roman" w:eastAsiaTheme="minorEastAsia"/>
          <w:b/>
          <w:bCs/>
          <w:color w:val="auto"/>
          <w:w w:val="99"/>
          <w:highlight w:val="none"/>
        </w:rPr>
      </w:pPr>
      <w:r>
        <w:rPr>
          <w:rFonts w:ascii="Times New Roman" w:hAnsi="Times New Roman" w:cs="Times New Roman" w:eastAsiaTheme="minorEastAsia"/>
          <w:b/>
          <w:bCs/>
          <w:color w:val="auto"/>
          <w:w w:val="99"/>
          <w:highlight w:val="none"/>
        </w:rPr>
        <w:t>表3.1</w:t>
      </w:r>
      <w:r>
        <w:rPr>
          <w:rFonts w:hint="eastAsia" w:ascii="Times New Roman" w:hAnsi="Times New Roman" w:cs="Times New Roman" w:eastAsiaTheme="minorEastAsia"/>
          <w:b/>
          <w:bCs/>
          <w:color w:val="auto"/>
          <w:w w:val="99"/>
          <w:highlight w:val="none"/>
          <w:lang w:val="en-US" w:eastAsia="zh-CN"/>
        </w:rPr>
        <w:t>1</w:t>
      </w:r>
      <w:r>
        <w:rPr>
          <w:rFonts w:ascii="Times New Roman" w:hAnsi="Times New Roman" w:cs="Times New Roman" w:eastAsiaTheme="minorEastAsia"/>
          <w:b/>
          <w:bCs/>
          <w:color w:val="auto"/>
          <w:w w:val="99"/>
          <w:highlight w:val="none"/>
        </w:rPr>
        <w:t>-1                    排污节点一览表</w:t>
      </w:r>
    </w:p>
    <w:tbl>
      <w:tblPr>
        <w:tblStyle w:val="8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726"/>
        <w:gridCol w:w="1163"/>
        <w:gridCol w:w="2036"/>
        <w:gridCol w:w="867"/>
        <w:gridCol w:w="39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类别</w:t>
            </w: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序号</w:t>
            </w:r>
          </w:p>
        </w:tc>
        <w:tc>
          <w:tcPr>
            <w:tcW w:w="62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排放源</w:t>
            </w:r>
          </w:p>
        </w:tc>
        <w:tc>
          <w:tcPr>
            <w:tcW w:w="109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主要污染物</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产生特征</w:t>
            </w:r>
          </w:p>
        </w:tc>
        <w:tc>
          <w:tcPr>
            <w:tcW w:w="2110"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restar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废气</w:t>
            </w: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G1</w:t>
            </w:r>
          </w:p>
        </w:tc>
        <w:tc>
          <w:tcPr>
            <w:tcW w:w="62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施工现场</w:t>
            </w:r>
          </w:p>
        </w:tc>
        <w:tc>
          <w:tcPr>
            <w:tcW w:w="109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扬尘</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间断</w:t>
            </w:r>
          </w:p>
        </w:tc>
        <w:tc>
          <w:tcPr>
            <w:tcW w:w="2110"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kern w:val="2"/>
                <w:sz w:val="21"/>
                <w:szCs w:val="21"/>
                <w:highlight w:val="none"/>
              </w:rPr>
              <w:t>洒水抑尘、原料苫盖、无组织排放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G2</w:t>
            </w:r>
          </w:p>
        </w:tc>
        <w:tc>
          <w:tcPr>
            <w:tcW w:w="62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kern w:val="2"/>
                <w:sz w:val="21"/>
                <w:szCs w:val="21"/>
                <w:highlight w:val="none"/>
              </w:rPr>
              <w:t>柴油机</w:t>
            </w:r>
          </w:p>
        </w:tc>
        <w:tc>
          <w:tcPr>
            <w:tcW w:w="109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kern w:val="2"/>
                <w:sz w:val="21"/>
                <w:szCs w:val="21"/>
                <w:highlight w:val="none"/>
              </w:rPr>
              <w:t>SO</w:t>
            </w:r>
            <w:r>
              <w:rPr>
                <w:rFonts w:eastAsiaTheme="minorEastAsia"/>
                <w:color w:val="auto"/>
                <w:w w:val="99"/>
                <w:kern w:val="2"/>
                <w:sz w:val="21"/>
                <w:szCs w:val="21"/>
                <w:highlight w:val="none"/>
                <w:vertAlign w:val="subscript"/>
              </w:rPr>
              <w:t>2</w:t>
            </w:r>
            <w:r>
              <w:rPr>
                <w:rFonts w:eastAsiaTheme="minorEastAsia"/>
                <w:color w:val="auto"/>
                <w:w w:val="99"/>
                <w:kern w:val="2"/>
                <w:sz w:val="21"/>
                <w:szCs w:val="21"/>
                <w:highlight w:val="none"/>
              </w:rPr>
              <w:t>、NO</w:t>
            </w:r>
            <w:r>
              <w:rPr>
                <w:rFonts w:eastAsiaTheme="minorEastAsia"/>
                <w:color w:val="auto"/>
                <w:w w:val="99"/>
                <w:kern w:val="2"/>
                <w:sz w:val="21"/>
                <w:szCs w:val="21"/>
                <w:highlight w:val="none"/>
                <w:vertAlign w:val="subscript"/>
              </w:rPr>
              <w:t>x</w:t>
            </w:r>
            <w:r>
              <w:rPr>
                <w:rFonts w:eastAsiaTheme="minorEastAsia"/>
                <w:color w:val="auto"/>
                <w:w w:val="99"/>
                <w:kern w:val="2"/>
                <w:sz w:val="21"/>
                <w:szCs w:val="21"/>
                <w:highlight w:val="none"/>
              </w:rPr>
              <w:t>、烟尘、CO、HC</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连续</w:t>
            </w:r>
          </w:p>
        </w:tc>
        <w:tc>
          <w:tcPr>
            <w:tcW w:w="2110"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kern w:val="2"/>
                <w:sz w:val="21"/>
                <w:szCs w:val="21"/>
                <w:highlight w:val="none"/>
              </w:rPr>
              <w:t>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G3</w:t>
            </w:r>
          </w:p>
        </w:tc>
        <w:tc>
          <w:tcPr>
            <w:tcW w:w="62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车辆尾气</w:t>
            </w:r>
          </w:p>
        </w:tc>
        <w:tc>
          <w:tcPr>
            <w:tcW w:w="109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NO</w:t>
            </w:r>
            <w:r>
              <w:rPr>
                <w:rFonts w:eastAsiaTheme="minorEastAsia"/>
                <w:snapToGrid w:val="0"/>
                <w:color w:val="auto"/>
                <w:w w:val="99"/>
                <w:sz w:val="21"/>
                <w:szCs w:val="21"/>
                <w:highlight w:val="none"/>
                <w:vertAlign w:val="subscript"/>
              </w:rPr>
              <w:t>x</w:t>
            </w:r>
            <w:r>
              <w:rPr>
                <w:rFonts w:eastAsiaTheme="minorEastAsia"/>
                <w:snapToGrid w:val="0"/>
                <w:color w:val="auto"/>
                <w:w w:val="99"/>
                <w:sz w:val="21"/>
                <w:szCs w:val="21"/>
                <w:highlight w:val="none"/>
              </w:rPr>
              <w:t>、SO</w:t>
            </w:r>
            <w:r>
              <w:rPr>
                <w:rFonts w:eastAsiaTheme="minorEastAsia"/>
                <w:snapToGrid w:val="0"/>
                <w:color w:val="auto"/>
                <w:w w:val="99"/>
                <w:sz w:val="21"/>
                <w:szCs w:val="21"/>
                <w:highlight w:val="none"/>
                <w:vertAlign w:val="subscript"/>
              </w:rPr>
              <w:t>2</w:t>
            </w:r>
            <w:r>
              <w:rPr>
                <w:rFonts w:eastAsiaTheme="minorEastAsia"/>
                <w:snapToGrid w:val="0"/>
                <w:color w:val="auto"/>
                <w:w w:val="99"/>
                <w:sz w:val="21"/>
                <w:szCs w:val="21"/>
                <w:highlight w:val="none"/>
              </w:rPr>
              <w:t>、TSP、CO等</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间断</w:t>
            </w:r>
          </w:p>
        </w:tc>
        <w:tc>
          <w:tcPr>
            <w:tcW w:w="2110"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kern w:val="2"/>
                <w:sz w:val="21"/>
                <w:szCs w:val="21"/>
                <w:highlight w:val="none"/>
              </w:rPr>
              <w:t>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restar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废水</w:t>
            </w: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W1</w:t>
            </w:r>
          </w:p>
        </w:tc>
        <w:tc>
          <w:tcPr>
            <w:tcW w:w="62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施工现场</w:t>
            </w:r>
          </w:p>
        </w:tc>
        <w:tc>
          <w:tcPr>
            <w:tcW w:w="1096" w:type="pct"/>
            <w:vAlign w:val="center"/>
          </w:tcPr>
          <w:p>
            <w:pPr>
              <w:pStyle w:val="1690"/>
              <w:keepNext w:val="0"/>
              <w:keepLines w:val="0"/>
              <w:pageBreakBefore w:val="0"/>
              <w:kinsoku/>
              <w:wordWrap/>
              <w:overflowPunct/>
              <w:topLinePunct w:val="0"/>
              <w:bidi w:val="0"/>
              <w:adjustRightInd w:val="0"/>
              <w:snapToGrid w:val="0"/>
              <w:spacing w:after="0" w:line="290" w:lineRule="exact"/>
              <w:ind w:firstLine="0"/>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钻井废水</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连续</w:t>
            </w:r>
          </w:p>
        </w:tc>
        <w:tc>
          <w:tcPr>
            <w:tcW w:w="2110"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kern w:val="2"/>
                <w:sz w:val="21"/>
                <w:szCs w:val="21"/>
                <w:highlight w:val="none"/>
              </w:rPr>
              <w:t>泥浆槽收集，由施工单位及时拉运至</w:t>
            </w:r>
            <w:r>
              <w:rPr>
                <w:rFonts w:hint="eastAsia" w:eastAsiaTheme="minorEastAsia"/>
                <w:snapToGrid w:val="0"/>
                <w:color w:val="auto"/>
                <w:w w:val="99"/>
                <w:sz w:val="21"/>
                <w:szCs w:val="21"/>
                <w:highlight w:val="none"/>
              </w:rPr>
              <w:t>大庆油田昆仑集团有限公司环保分公司</w:t>
            </w:r>
            <w:r>
              <w:rPr>
                <w:rFonts w:eastAsiaTheme="minorEastAsia"/>
                <w:color w:val="auto"/>
                <w:w w:val="99"/>
                <w:kern w:val="2"/>
                <w:sz w:val="21"/>
                <w:szCs w:val="21"/>
                <w:highlight w:val="none"/>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W2</w:t>
            </w:r>
          </w:p>
        </w:tc>
        <w:tc>
          <w:tcPr>
            <w:tcW w:w="62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施工营地</w:t>
            </w:r>
          </w:p>
        </w:tc>
        <w:tc>
          <w:tcPr>
            <w:tcW w:w="109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生活污水</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间断</w:t>
            </w:r>
          </w:p>
        </w:tc>
        <w:tc>
          <w:tcPr>
            <w:tcW w:w="2110"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hint="eastAsia" w:eastAsiaTheme="minorEastAsia"/>
                <w:color w:val="auto"/>
                <w:w w:val="99"/>
                <w:kern w:val="2"/>
                <w:sz w:val="21"/>
                <w:szCs w:val="21"/>
                <w:highlight w:val="none"/>
              </w:rPr>
              <w:t>排入施工井场内临时设置的防渗旱厕，定期清掏外运堆肥处理，施工结束后进行卫生处理，场地进行平整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restar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噪声</w:t>
            </w: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N1</w:t>
            </w:r>
          </w:p>
        </w:tc>
        <w:tc>
          <w:tcPr>
            <w:tcW w:w="62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车辆</w:t>
            </w:r>
          </w:p>
        </w:tc>
        <w:tc>
          <w:tcPr>
            <w:tcW w:w="1096" w:type="pct"/>
            <w:vMerge w:val="restar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Leq（A）</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连续</w:t>
            </w:r>
          </w:p>
        </w:tc>
        <w:tc>
          <w:tcPr>
            <w:tcW w:w="2110"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减速慢行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N2</w:t>
            </w:r>
          </w:p>
        </w:tc>
        <w:tc>
          <w:tcPr>
            <w:tcW w:w="62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施工机械</w:t>
            </w:r>
          </w:p>
        </w:tc>
        <w:tc>
          <w:tcPr>
            <w:tcW w:w="1096"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连续</w:t>
            </w:r>
          </w:p>
        </w:tc>
        <w:tc>
          <w:tcPr>
            <w:tcW w:w="2110"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kern w:val="2"/>
                <w:sz w:val="21"/>
                <w:szCs w:val="21"/>
                <w:highlight w:val="none"/>
              </w:rPr>
              <w:t>合理布局，机座减振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restar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固废</w:t>
            </w: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S1</w:t>
            </w:r>
          </w:p>
        </w:tc>
        <w:tc>
          <w:tcPr>
            <w:tcW w:w="626" w:type="pct"/>
            <w:vMerge w:val="restar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施工现场</w:t>
            </w:r>
          </w:p>
        </w:tc>
        <w:tc>
          <w:tcPr>
            <w:tcW w:w="109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废钻井液</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连续</w:t>
            </w:r>
          </w:p>
        </w:tc>
        <w:tc>
          <w:tcPr>
            <w:tcW w:w="2110" w:type="pct"/>
            <w:vMerge w:val="restar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kern w:val="2"/>
                <w:sz w:val="21"/>
                <w:szCs w:val="21"/>
                <w:highlight w:val="none"/>
              </w:rPr>
              <w:t>泥浆槽收集，</w:t>
            </w:r>
            <w:r>
              <w:rPr>
                <w:rFonts w:eastAsiaTheme="minorEastAsia"/>
                <w:snapToGrid w:val="0"/>
                <w:color w:val="auto"/>
                <w:w w:val="99"/>
                <w:sz w:val="21"/>
                <w:szCs w:val="21"/>
                <w:highlight w:val="none"/>
              </w:rPr>
              <w:t>由施工单位拉运至</w:t>
            </w:r>
            <w:r>
              <w:rPr>
                <w:rFonts w:hint="eastAsia" w:eastAsiaTheme="minorEastAsia"/>
                <w:snapToGrid w:val="0"/>
                <w:color w:val="auto"/>
                <w:w w:val="99"/>
                <w:sz w:val="21"/>
                <w:szCs w:val="21"/>
                <w:highlight w:val="none"/>
              </w:rPr>
              <w:t>大庆油田昆仑集团有限公司环保分公司</w:t>
            </w:r>
            <w:r>
              <w:rPr>
                <w:rFonts w:eastAsiaTheme="minorEastAsia"/>
                <w:snapToGrid w:val="0"/>
                <w:color w:val="auto"/>
                <w:w w:val="99"/>
                <w:sz w:val="21"/>
                <w:szCs w:val="21"/>
                <w:highlight w:val="none"/>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S2</w:t>
            </w:r>
          </w:p>
        </w:tc>
        <w:tc>
          <w:tcPr>
            <w:tcW w:w="626"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109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钻井岩屑</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连续</w:t>
            </w:r>
          </w:p>
        </w:tc>
        <w:tc>
          <w:tcPr>
            <w:tcW w:w="21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S3</w:t>
            </w:r>
          </w:p>
        </w:tc>
        <w:tc>
          <w:tcPr>
            <w:tcW w:w="626"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109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废射孔液</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间断</w:t>
            </w:r>
          </w:p>
        </w:tc>
        <w:tc>
          <w:tcPr>
            <w:tcW w:w="21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S4</w:t>
            </w:r>
          </w:p>
        </w:tc>
        <w:tc>
          <w:tcPr>
            <w:tcW w:w="626"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109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膨润土、纯碱、重晶石粉废包装袋</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间断</w:t>
            </w:r>
          </w:p>
        </w:tc>
        <w:tc>
          <w:tcPr>
            <w:tcW w:w="2110" w:type="pct"/>
            <w:vMerge w:val="restar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kern w:val="2"/>
                <w:sz w:val="21"/>
                <w:szCs w:val="21"/>
                <w:highlight w:val="none"/>
              </w:rPr>
              <w:t>按一般固体废物管理，</w:t>
            </w:r>
            <w:r>
              <w:rPr>
                <w:rFonts w:hint="eastAsia" w:eastAsiaTheme="minorEastAsia"/>
                <w:color w:val="auto"/>
                <w:w w:val="99"/>
                <w:kern w:val="2"/>
                <w:sz w:val="21"/>
                <w:szCs w:val="21"/>
                <w:highlight w:val="none"/>
              </w:rPr>
              <w:t>由施工单位统一收集后拉运至第八采油厂工业固废填埋场处理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S5</w:t>
            </w:r>
          </w:p>
        </w:tc>
        <w:tc>
          <w:tcPr>
            <w:tcW w:w="626"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109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废防渗布</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间断</w:t>
            </w:r>
          </w:p>
        </w:tc>
        <w:tc>
          <w:tcPr>
            <w:tcW w:w="21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S6</w:t>
            </w:r>
          </w:p>
        </w:tc>
        <w:tc>
          <w:tcPr>
            <w:tcW w:w="626"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109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KOH包装袋</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间断</w:t>
            </w:r>
          </w:p>
        </w:tc>
        <w:tc>
          <w:tcPr>
            <w:tcW w:w="2110"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kern w:val="2"/>
                <w:sz w:val="21"/>
                <w:szCs w:val="21"/>
                <w:highlight w:val="none"/>
              </w:rPr>
              <w:t>按危险废物管理，产生后由施工单位委托有资质单位处置，不在井场暂存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S7</w:t>
            </w:r>
          </w:p>
        </w:tc>
        <w:tc>
          <w:tcPr>
            <w:tcW w:w="62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施工营地</w:t>
            </w:r>
          </w:p>
        </w:tc>
        <w:tc>
          <w:tcPr>
            <w:tcW w:w="109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生活垃圾</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间断</w:t>
            </w:r>
          </w:p>
        </w:tc>
        <w:tc>
          <w:tcPr>
            <w:tcW w:w="2110"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hint="eastAsia" w:eastAsiaTheme="minorEastAsia"/>
                <w:color w:val="auto"/>
                <w:w w:val="99"/>
                <w:sz w:val="21"/>
                <w:szCs w:val="21"/>
                <w:highlight w:val="none"/>
              </w:rPr>
              <w:t>统一收集后运至</w:t>
            </w:r>
            <w:r>
              <w:rPr>
                <w:rFonts w:hint="eastAsia" w:eastAsiaTheme="minorEastAsia"/>
                <w:color w:val="auto"/>
                <w:w w:val="99"/>
                <w:sz w:val="21"/>
                <w:szCs w:val="21"/>
                <w:highlight w:val="none"/>
                <w:lang w:eastAsia="zh-CN"/>
              </w:rPr>
              <w:t>肇东市生活垃圾填埋场</w:t>
            </w:r>
            <w:r>
              <w:rPr>
                <w:rFonts w:hint="eastAsia" w:eastAsiaTheme="minorEastAsia"/>
                <w:color w:val="auto"/>
                <w:w w:val="99"/>
                <w:sz w:val="21"/>
                <w:szCs w:val="21"/>
                <w:highlight w:val="none"/>
              </w:rPr>
              <w:t>处理</w:t>
            </w:r>
          </w:p>
        </w:tc>
      </w:tr>
      <w:bookmarkEnd w:id="508"/>
    </w:tbl>
    <w:p>
      <w:pPr>
        <w:pStyle w:val="5"/>
        <w:keepNext w:val="0"/>
        <w:keepLines w:val="0"/>
        <w:widowControl w:val="0"/>
        <w:rPr>
          <w:rFonts w:ascii="Times New Roman" w:hAnsi="Times New Roman"/>
          <w:b/>
          <w:snapToGrid w:val="0"/>
          <w:color w:val="auto"/>
          <w:w w:val="99"/>
          <w:highlight w:val="none"/>
        </w:rPr>
      </w:pPr>
      <w:bookmarkStart w:id="551" w:name="_Toc80105174"/>
      <w:bookmarkStart w:id="552" w:name="_Toc502736481"/>
      <w:r>
        <w:rPr>
          <w:rFonts w:ascii="Times New Roman" w:hAnsi="Times New Roman"/>
          <w:b/>
          <w:snapToGrid w:val="0"/>
          <w:color w:val="auto"/>
          <w:w w:val="99"/>
          <w:highlight w:val="none"/>
        </w:rPr>
        <w:t>3.1</w:t>
      </w:r>
      <w:r>
        <w:rPr>
          <w:rFonts w:hint="eastAsia" w:ascii="Times New Roman" w:hAnsi="Times New Roman"/>
          <w:b/>
          <w:snapToGrid w:val="0"/>
          <w:color w:val="auto"/>
          <w:w w:val="99"/>
          <w:highlight w:val="none"/>
          <w:lang w:val="en-US" w:eastAsia="zh-CN"/>
        </w:rPr>
        <w:t>2</w:t>
      </w:r>
      <w:r>
        <w:rPr>
          <w:rFonts w:ascii="Times New Roman" w:hAnsi="Times New Roman"/>
          <w:b/>
          <w:snapToGrid w:val="0"/>
          <w:color w:val="auto"/>
          <w:w w:val="99"/>
          <w:highlight w:val="none"/>
        </w:rPr>
        <w:t>污染源项分析</w:t>
      </w:r>
      <w:bookmarkEnd w:id="551"/>
      <w:bookmarkEnd w:id="552"/>
    </w:p>
    <w:p>
      <w:pPr>
        <w:pStyle w:val="109"/>
        <w:widowControl w:val="0"/>
        <w:ind w:firstLine="473"/>
        <w:rPr>
          <w:rFonts w:ascii="Times New Roman" w:hAnsi="Times New Roman" w:eastAsiaTheme="minorEastAsia"/>
          <w:snapToGrid w:val="0"/>
          <w:color w:val="auto"/>
          <w:w w:val="99"/>
          <w:szCs w:val="21"/>
          <w:highlight w:val="none"/>
        </w:rPr>
      </w:pPr>
      <w:r>
        <w:rPr>
          <w:rFonts w:ascii="Times New Roman" w:hAnsi="Times New Roman" w:eastAsiaTheme="minorEastAsia"/>
          <w:snapToGrid w:val="0"/>
          <w:color w:val="auto"/>
          <w:w w:val="99"/>
          <w:highlight w:val="none"/>
        </w:rPr>
        <w:t>本项目仅为钻井工程，无运行期，污染工序仅在钻井时产生。</w:t>
      </w:r>
    </w:p>
    <w:p>
      <w:pPr>
        <w:pStyle w:val="7"/>
        <w:keepNext w:val="0"/>
        <w:keepLines w:val="0"/>
        <w:widowControl w:val="0"/>
        <w:rPr>
          <w:b/>
          <w:color w:val="auto"/>
          <w:w w:val="99"/>
          <w:kern w:val="2"/>
          <w:sz w:val="24"/>
          <w:szCs w:val="24"/>
          <w:highlight w:val="none"/>
        </w:rPr>
      </w:pPr>
      <w:bookmarkStart w:id="553" w:name="_Toc74812107"/>
      <w:bookmarkStart w:id="554" w:name="_Toc77667319"/>
      <w:bookmarkStart w:id="555" w:name="_Toc69690840"/>
      <w:bookmarkStart w:id="556" w:name="_Toc67523622"/>
      <w:bookmarkStart w:id="557" w:name="_Toc80105175"/>
      <w:bookmarkStart w:id="558" w:name="_Toc74812346"/>
      <w:bookmarkStart w:id="559" w:name="_Toc61597250"/>
      <w:bookmarkStart w:id="560" w:name="_Toc71371975"/>
      <w:r>
        <w:rPr>
          <w:b/>
          <w:color w:val="auto"/>
          <w:w w:val="99"/>
          <w:kern w:val="2"/>
          <w:sz w:val="24"/>
          <w:szCs w:val="24"/>
          <w:highlight w:val="none"/>
        </w:rPr>
        <w:t>3.1</w:t>
      </w:r>
      <w:r>
        <w:rPr>
          <w:rFonts w:hint="eastAsia"/>
          <w:b/>
          <w:color w:val="auto"/>
          <w:w w:val="99"/>
          <w:kern w:val="2"/>
          <w:sz w:val="24"/>
          <w:szCs w:val="24"/>
          <w:highlight w:val="none"/>
          <w:lang w:val="en-US" w:eastAsia="zh-CN"/>
        </w:rPr>
        <w:t>2</w:t>
      </w:r>
      <w:r>
        <w:rPr>
          <w:b/>
          <w:color w:val="auto"/>
          <w:w w:val="99"/>
          <w:kern w:val="2"/>
          <w:sz w:val="24"/>
          <w:szCs w:val="24"/>
          <w:highlight w:val="none"/>
        </w:rPr>
        <w:t>.1废气</w:t>
      </w:r>
      <w:bookmarkEnd w:id="553"/>
      <w:bookmarkEnd w:id="554"/>
      <w:bookmarkEnd w:id="555"/>
      <w:bookmarkEnd w:id="556"/>
      <w:bookmarkEnd w:id="557"/>
      <w:bookmarkEnd w:id="558"/>
      <w:bookmarkEnd w:id="559"/>
      <w:bookmarkEnd w:id="560"/>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本项目施工期产生的大气污染物排放源主要为扬尘、钻井时柴油机排放的烟气以及各种车辆排气尾气等。废气中主要污染物为TSP、SO</w:t>
      </w:r>
      <w:r>
        <w:rPr>
          <w:rFonts w:ascii="Times New Roman" w:hAnsi="Times New Roman" w:cs="Times New Roman" w:eastAsiaTheme="minorEastAsia"/>
          <w:bCs/>
          <w:color w:val="auto"/>
          <w:w w:val="99"/>
          <w:kern w:val="21"/>
          <w:highlight w:val="none"/>
          <w:vertAlign w:val="subscript"/>
        </w:rPr>
        <w:t>2</w:t>
      </w:r>
      <w:r>
        <w:rPr>
          <w:rFonts w:ascii="Times New Roman" w:hAnsi="Times New Roman" w:cs="Times New Roman" w:eastAsiaTheme="minorEastAsia"/>
          <w:bCs/>
          <w:color w:val="auto"/>
          <w:w w:val="99"/>
          <w:kern w:val="21"/>
          <w:highlight w:val="none"/>
        </w:rPr>
        <w:t>、NO</w:t>
      </w:r>
      <w:r>
        <w:rPr>
          <w:rFonts w:ascii="Times New Roman" w:hAnsi="Times New Roman" w:cs="Times New Roman" w:eastAsiaTheme="minorEastAsia"/>
          <w:bCs/>
          <w:color w:val="auto"/>
          <w:w w:val="99"/>
          <w:kern w:val="21"/>
          <w:highlight w:val="none"/>
          <w:vertAlign w:val="subscript"/>
        </w:rPr>
        <w:t>x</w:t>
      </w:r>
      <w:r>
        <w:rPr>
          <w:rFonts w:ascii="Times New Roman" w:hAnsi="Times New Roman" w:cs="Times New Roman" w:eastAsiaTheme="minorEastAsia"/>
          <w:bCs/>
          <w:color w:val="auto"/>
          <w:w w:val="99"/>
          <w:kern w:val="21"/>
          <w:highlight w:val="none"/>
        </w:rPr>
        <w:t>、烟尘、CO和HC等。</w:t>
      </w:r>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（1）施工扬尘</w:t>
      </w:r>
    </w:p>
    <w:p>
      <w:pPr>
        <w:widowControl w:val="0"/>
        <w:tabs>
          <w:tab w:val="left" w:pos="5262"/>
        </w:tabs>
        <w:spacing w:line="500" w:lineRule="exact"/>
        <w:ind w:firstLine="474" w:firstLineChars="200"/>
        <w:jc w:val="both"/>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本项目</w:t>
      </w:r>
      <w:r>
        <w:rPr>
          <w:rFonts w:hint="eastAsia" w:ascii="Times New Roman" w:hAnsi="Times New Roman" w:cs="Times New Roman" w:eastAsiaTheme="minorEastAsia"/>
          <w:bCs/>
          <w:color w:val="auto"/>
          <w:w w:val="99"/>
          <w:kern w:val="21"/>
          <w:highlight w:val="none"/>
        </w:rPr>
        <w:t>施工</w:t>
      </w:r>
      <w:r>
        <w:rPr>
          <w:rFonts w:ascii="Times New Roman" w:hAnsi="Times New Roman" w:cs="Times New Roman" w:eastAsiaTheme="minorEastAsia"/>
          <w:bCs/>
          <w:color w:val="auto"/>
          <w:w w:val="99"/>
          <w:kern w:val="21"/>
          <w:highlight w:val="none"/>
        </w:rPr>
        <w:t>钻井井场</w:t>
      </w:r>
      <w:r>
        <w:rPr>
          <w:rFonts w:hint="eastAsia" w:ascii="Times New Roman" w:hAnsi="Times New Roman" w:cs="Times New Roman" w:eastAsiaTheme="minorEastAsia"/>
          <w:bCs/>
          <w:color w:val="auto"/>
          <w:w w:val="99"/>
          <w:kern w:val="21"/>
          <w:highlight w:val="none"/>
        </w:rPr>
        <w:t>及</w:t>
      </w:r>
      <w:r>
        <w:rPr>
          <w:rFonts w:ascii="Times New Roman" w:hAnsi="Times New Roman" w:cs="Times New Roman" w:eastAsiaTheme="minorEastAsia"/>
          <w:bCs/>
          <w:color w:val="auto"/>
          <w:w w:val="99"/>
          <w:kern w:val="21"/>
          <w:highlight w:val="none"/>
        </w:rPr>
        <w:t>施工便道总占地面积</w:t>
      </w:r>
      <w:r>
        <w:rPr>
          <w:rFonts w:hint="eastAsia" w:ascii="Times New Roman" w:hAnsi="Times New Roman" w:cs="Times New Roman" w:eastAsiaTheme="minorEastAsia"/>
          <w:bCs/>
          <w:color w:val="auto"/>
          <w:w w:val="99"/>
          <w:kern w:val="21"/>
          <w:highlight w:val="none"/>
        </w:rPr>
        <w:t>290400</w:t>
      </w:r>
      <w:r>
        <w:rPr>
          <w:rFonts w:ascii="Times New Roman" w:hAnsi="Times New Roman" w:cs="Times New Roman" w:eastAsiaTheme="minorEastAsia"/>
          <w:bCs/>
          <w:color w:val="auto"/>
          <w:w w:val="99"/>
          <w:kern w:val="21"/>
          <w:highlight w:val="none"/>
        </w:rPr>
        <w:t>m</w:t>
      </w:r>
      <w:r>
        <w:rPr>
          <w:rFonts w:ascii="Times New Roman" w:hAnsi="Times New Roman" w:cs="Times New Roman" w:eastAsiaTheme="minorEastAsia"/>
          <w:bCs/>
          <w:color w:val="auto"/>
          <w:w w:val="99"/>
          <w:kern w:val="21"/>
          <w:highlight w:val="none"/>
          <w:vertAlign w:val="superscript"/>
        </w:rPr>
        <w:t>2</w:t>
      </w:r>
      <w:r>
        <w:rPr>
          <w:rFonts w:ascii="Times New Roman" w:hAnsi="Times New Roman" w:cs="Times New Roman" w:eastAsiaTheme="minorEastAsia"/>
          <w:bCs/>
          <w:color w:val="auto"/>
          <w:w w:val="99"/>
          <w:kern w:val="21"/>
          <w:highlight w:val="none"/>
        </w:rPr>
        <w:t>，参考对土建工程现场扬尘实地监测结果，TSP产生系数为0.01-0.05mg/m</w:t>
      </w:r>
      <w:r>
        <w:rPr>
          <w:rFonts w:ascii="Times New Roman" w:hAnsi="Times New Roman" w:cs="Times New Roman" w:eastAsiaTheme="minorEastAsia"/>
          <w:bCs/>
          <w:color w:val="auto"/>
          <w:w w:val="99"/>
          <w:kern w:val="21"/>
          <w:highlight w:val="none"/>
          <w:vertAlign w:val="superscript"/>
        </w:rPr>
        <w:t>2</w:t>
      </w:r>
      <w:r>
        <w:rPr>
          <w:rFonts w:ascii="Times New Roman" w:hAnsi="Times New Roman" w:cs="Times New Roman" w:eastAsiaTheme="minorEastAsia"/>
          <w:bCs/>
          <w:color w:val="auto"/>
          <w:w w:val="99"/>
          <w:kern w:val="21"/>
          <w:highlight w:val="none"/>
        </w:rPr>
        <w:t>·s，考虑本项目</w:t>
      </w:r>
      <w:r>
        <w:rPr>
          <w:rFonts w:hint="eastAsia" w:ascii="Times New Roman" w:hAnsi="Times New Roman" w:cs="Times New Roman" w:eastAsiaTheme="minorEastAsia"/>
          <w:bCs/>
          <w:color w:val="auto"/>
          <w:w w:val="99"/>
          <w:kern w:val="21"/>
          <w:highlight w:val="none"/>
        </w:rPr>
        <w:t>施工阶段</w:t>
      </w:r>
      <w:r>
        <w:rPr>
          <w:rFonts w:ascii="Times New Roman" w:hAnsi="Times New Roman" w:cs="Times New Roman" w:eastAsiaTheme="minorEastAsia"/>
          <w:bCs/>
          <w:color w:val="auto"/>
          <w:w w:val="99"/>
          <w:kern w:val="21"/>
          <w:highlight w:val="none"/>
        </w:rPr>
        <w:t>采取洒水抑尘等措施，TSP产生系数取0.01mg/m</w:t>
      </w:r>
      <w:r>
        <w:rPr>
          <w:rFonts w:ascii="Times New Roman" w:hAnsi="Times New Roman" w:cs="Times New Roman" w:eastAsiaTheme="minorEastAsia"/>
          <w:bCs/>
          <w:color w:val="auto"/>
          <w:w w:val="99"/>
          <w:kern w:val="21"/>
          <w:highlight w:val="none"/>
          <w:vertAlign w:val="superscript"/>
        </w:rPr>
        <w:t>2</w:t>
      </w:r>
      <w:r>
        <w:rPr>
          <w:rFonts w:ascii="Times New Roman" w:hAnsi="Times New Roman" w:cs="Times New Roman" w:eastAsiaTheme="minorEastAsia"/>
          <w:bCs/>
          <w:color w:val="auto"/>
          <w:w w:val="99"/>
          <w:kern w:val="21"/>
          <w:highlight w:val="none"/>
        </w:rPr>
        <w:t>·s，取施工现场的扰动面积比为70%，按每天施工时间24h计算，</w:t>
      </w:r>
      <w:r>
        <w:rPr>
          <w:rFonts w:hint="eastAsia" w:ascii="Times New Roman" w:hAnsi="Times New Roman" w:cs="Times New Roman" w:eastAsiaTheme="minorEastAsia"/>
          <w:bCs/>
          <w:color w:val="auto"/>
          <w:w w:val="99"/>
          <w:kern w:val="21"/>
          <w:highlight w:val="none"/>
        </w:rPr>
        <w:t>单井钻井</w:t>
      </w:r>
      <w:r>
        <w:rPr>
          <w:rFonts w:ascii="Times New Roman" w:hAnsi="Times New Roman" w:cs="Times New Roman" w:eastAsiaTheme="minorEastAsia"/>
          <w:bCs/>
          <w:color w:val="auto"/>
          <w:w w:val="99"/>
          <w:kern w:val="21"/>
          <w:highlight w:val="none"/>
        </w:rPr>
        <w:t>及</w:t>
      </w:r>
      <w:r>
        <w:rPr>
          <w:rFonts w:hint="eastAsia" w:ascii="Times New Roman" w:hAnsi="Times New Roman" w:cs="Times New Roman" w:eastAsiaTheme="minorEastAsia"/>
          <w:bCs/>
          <w:color w:val="auto"/>
          <w:w w:val="99"/>
          <w:kern w:val="21"/>
          <w:highlight w:val="none"/>
        </w:rPr>
        <w:t>射孔</w:t>
      </w:r>
      <w:r>
        <w:rPr>
          <w:rFonts w:ascii="Times New Roman" w:hAnsi="Times New Roman" w:cs="Times New Roman" w:eastAsiaTheme="minorEastAsia"/>
          <w:bCs/>
          <w:color w:val="auto"/>
          <w:w w:val="99"/>
          <w:kern w:val="21"/>
          <w:highlight w:val="none"/>
        </w:rPr>
        <w:t>时间为</w:t>
      </w:r>
      <w:r>
        <w:rPr>
          <w:rFonts w:hint="eastAsia" w:ascii="Times New Roman" w:hAnsi="Times New Roman" w:cs="Times New Roman" w:eastAsiaTheme="minorEastAsia"/>
          <w:bCs/>
          <w:color w:val="auto"/>
          <w:w w:val="99"/>
          <w:kern w:val="21"/>
          <w:highlight w:val="none"/>
        </w:rPr>
        <w:t>14</w:t>
      </w:r>
      <w:r>
        <w:rPr>
          <w:rFonts w:ascii="Times New Roman" w:hAnsi="Times New Roman" w:cs="Times New Roman" w:eastAsiaTheme="minorEastAsia"/>
          <w:bCs/>
          <w:color w:val="auto"/>
          <w:w w:val="99"/>
          <w:kern w:val="21"/>
          <w:highlight w:val="none"/>
        </w:rPr>
        <w:t>d，钻井施工产生的扬尘为0.0005702t/d（0.1756t）。</w:t>
      </w:r>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（2）车辆尾气</w:t>
      </w:r>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油田开发各类工程及运输车辆排放的尾气会对大气环境造成一定污染。经调查，每辆车日耗油量为11.52kg/d(14.4L/d)，根据每千升油类所产生的空气污染物系数分别为NOx 2.8kg、SO</w:t>
      </w:r>
      <w:r>
        <w:rPr>
          <w:rFonts w:ascii="Times New Roman" w:hAnsi="Times New Roman" w:cs="Times New Roman" w:eastAsiaTheme="minorEastAsia"/>
          <w:bCs/>
          <w:color w:val="auto"/>
          <w:w w:val="99"/>
          <w:kern w:val="21"/>
          <w:highlight w:val="none"/>
          <w:vertAlign w:val="subscript"/>
        </w:rPr>
        <w:t>2</w:t>
      </w:r>
      <w:r>
        <w:rPr>
          <w:rFonts w:ascii="Times New Roman" w:hAnsi="Times New Roman" w:cs="Times New Roman" w:eastAsiaTheme="minorEastAsia"/>
          <w:bCs/>
          <w:color w:val="auto"/>
          <w:w w:val="99"/>
          <w:kern w:val="21"/>
          <w:highlight w:val="none"/>
        </w:rPr>
        <w:t xml:space="preserve"> 0.085kg、TSP 0.25kg、CO 0.63kg，计算出平均每辆车日排放SO</w:t>
      </w:r>
      <w:r>
        <w:rPr>
          <w:rFonts w:ascii="Times New Roman" w:hAnsi="Times New Roman" w:cs="Times New Roman" w:eastAsiaTheme="minorEastAsia"/>
          <w:bCs/>
          <w:color w:val="auto"/>
          <w:w w:val="99"/>
          <w:kern w:val="21"/>
          <w:highlight w:val="none"/>
          <w:vertAlign w:val="subscript"/>
        </w:rPr>
        <w:t>2</w:t>
      </w:r>
      <w:r>
        <w:rPr>
          <w:rFonts w:ascii="Times New Roman" w:hAnsi="Times New Roman" w:cs="Times New Roman" w:eastAsiaTheme="minorEastAsia"/>
          <w:bCs/>
          <w:color w:val="auto"/>
          <w:w w:val="99"/>
          <w:kern w:val="21"/>
          <w:highlight w:val="none"/>
        </w:rPr>
        <w:t>为0.0012kg/d，NOx为0.04kg/d，TSP为0.0036kg/d、CO为0.0091kg/d。由于车辆数量和每辆车行驶的公里数不易确定，因此不对其进行定量评价。</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（3）钻井时柴油机排放的大气污染物</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钻井时钻机和其他设备动力源均由发电机提供，而为发电机提供动能的是柴油机。根据建设单位提供的资料，柴油机功率882kW，柴油总用量约为</w:t>
      </w:r>
      <w:r>
        <w:rPr>
          <w:rFonts w:hint="eastAsia" w:ascii="Times New Roman" w:hAnsi="Times New Roman" w:cs="Times New Roman" w:eastAsiaTheme="minorEastAsia"/>
          <w:color w:val="auto"/>
          <w:w w:val="99"/>
          <w:kern w:val="21"/>
          <w:highlight w:val="none"/>
        </w:rPr>
        <w:t>1582.22</w:t>
      </w:r>
      <w:r>
        <w:rPr>
          <w:rFonts w:ascii="Times New Roman" w:hAnsi="Times New Roman" w:cs="Times New Roman" w:eastAsiaTheme="minorEastAsia"/>
          <w:color w:val="auto"/>
          <w:w w:val="99"/>
          <w:kern w:val="2"/>
          <w:szCs w:val="20"/>
          <w:highlight w:val="none"/>
        </w:rPr>
        <w:t>t，烟气量按每公斤12m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计，则本工程烟气排放量为柴油发电机运行期间产生烟</w:t>
      </w:r>
      <w:r>
        <w:rPr>
          <w:rFonts w:hint="eastAsia" w:ascii="Times New Roman" w:hAnsi="Times New Roman" w:cs="Times New Roman" w:eastAsiaTheme="minorEastAsia"/>
          <w:color w:val="auto"/>
          <w:w w:val="99"/>
          <w:kern w:val="2"/>
          <w:szCs w:val="20"/>
          <w:highlight w:val="none"/>
        </w:rPr>
        <w:t>18986.64</w:t>
      </w:r>
      <w:r>
        <w:rPr>
          <w:rFonts w:ascii="Times New Roman" w:hAnsi="Times New Roman" w:cs="Times New Roman" w:eastAsiaTheme="minorEastAsia"/>
          <w:color w:val="auto"/>
          <w:w w:val="99"/>
          <w:kern w:val="2"/>
          <w:szCs w:val="20"/>
          <w:highlight w:val="none"/>
        </w:rPr>
        <w:t>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，主要污染物为SO</w:t>
      </w:r>
      <w:r>
        <w:rPr>
          <w:rFonts w:ascii="Times New Roman" w:hAnsi="Times New Roman" w:cs="Times New Roman" w:eastAsiaTheme="minorEastAsia"/>
          <w:color w:val="auto"/>
          <w:w w:val="99"/>
          <w:kern w:val="2"/>
          <w:szCs w:val="20"/>
          <w:highlight w:val="none"/>
          <w:vertAlign w:val="subscript"/>
        </w:rPr>
        <w:t>2</w:t>
      </w:r>
      <w:r>
        <w:rPr>
          <w:rFonts w:ascii="Times New Roman" w:hAnsi="Times New Roman" w:cs="Times New Roman" w:eastAsiaTheme="minorEastAsia"/>
          <w:color w:val="auto"/>
          <w:w w:val="99"/>
          <w:kern w:val="2"/>
          <w:szCs w:val="20"/>
          <w:highlight w:val="none"/>
        </w:rPr>
        <w:t>、NOx、CO、HC和烟尘。根据《环境影响评价工程师职业资格培训教材：社会区域类环境影响评价》给出计算参数可知，发电机运行污染物排放系数为：SO</w:t>
      </w:r>
      <w:r>
        <w:rPr>
          <w:rFonts w:ascii="Times New Roman" w:hAnsi="Times New Roman" w:cs="Times New Roman" w:eastAsiaTheme="minorEastAsia"/>
          <w:color w:val="auto"/>
          <w:w w:val="99"/>
          <w:kern w:val="2"/>
          <w:szCs w:val="20"/>
          <w:highlight w:val="none"/>
          <w:vertAlign w:val="subscript"/>
        </w:rPr>
        <w:t>2</w:t>
      </w:r>
      <w:r>
        <w:rPr>
          <w:rFonts w:ascii="Times New Roman" w:hAnsi="Times New Roman" w:cs="Times New Roman" w:eastAsiaTheme="minorEastAsia"/>
          <w:color w:val="auto"/>
          <w:w w:val="99"/>
          <w:kern w:val="2"/>
          <w:szCs w:val="20"/>
          <w:highlight w:val="none"/>
        </w:rPr>
        <w:t xml:space="preserve"> 4g/L，NO</w:t>
      </w:r>
      <w:r>
        <w:rPr>
          <w:rFonts w:ascii="Times New Roman" w:hAnsi="Times New Roman" w:cs="Times New Roman" w:eastAsiaTheme="minorEastAsia"/>
          <w:color w:val="auto"/>
          <w:w w:val="99"/>
          <w:kern w:val="2"/>
          <w:szCs w:val="20"/>
          <w:highlight w:val="none"/>
          <w:vertAlign w:val="subscript"/>
        </w:rPr>
        <w:t>x</w:t>
      </w:r>
      <w:r>
        <w:rPr>
          <w:rFonts w:ascii="Times New Roman" w:hAnsi="Times New Roman" w:cs="Times New Roman" w:eastAsiaTheme="minorEastAsia"/>
          <w:color w:val="auto"/>
          <w:w w:val="99"/>
          <w:kern w:val="2"/>
          <w:szCs w:val="20"/>
          <w:highlight w:val="none"/>
        </w:rPr>
        <w:t xml:space="preserve"> 2.56g/L，烟尘0.7146g/L，CO 1.52g/L，HC 1.489g/L。1t柴油约为1162L，因此计算污染物排放情况如下：</w:t>
      </w:r>
    </w:p>
    <w:p>
      <w:pPr>
        <w:widowControl w:val="0"/>
        <w:spacing w:line="500" w:lineRule="exact"/>
        <w:ind w:firstLine="474" w:firstLineChars="200"/>
        <w:rPr>
          <w:rFonts w:ascii="Times New Roman" w:hAnsi="Times New Roman" w:cs="Times New Roman" w:eastAsiaTheme="minorEastAsia"/>
          <w:b/>
          <w:bCs w:val="0"/>
          <w:color w:val="auto"/>
          <w:w w:val="99"/>
          <w:highlight w:val="none"/>
        </w:rPr>
      </w:pPr>
      <w:r>
        <w:rPr>
          <w:rFonts w:ascii="Times New Roman" w:hAnsi="Times New Roman" w:cs="Times New Roman" w:eastAsiaTheme="minorEastAsia"/>
          <w:b/>
          <w:bCs w:val="0"/>
          <w:color w:val="auto"/>
          <w:w w:val="99"/>
          <w:highlight w:val="none"/>
        </w:rPr>
        <w:t>表3.1</w:t>
      </w:r>
      <w:r>
        <w:rPr>
          <w:rFonts w:hint="eastAsia" w:ascii="Times New Roman" w:hAnsi="Times New Roman" w:cs="Times New Roman" w:eastAsiaTheme="minorEastAsia"/>
          <w:b/>
          <w:bCs w:val="0"/>
          <w:color w:val="auto"/>
          <w:w w:val="99"/>
          <w:highlight w:val="none"/>
          <w:lang w:val="en-US" w:eastAsia="zh-CN"/>
        </w:rPr>
        <w:t>2</w:t>
      </w:r>
      <w:r>
        <w:rPr>
          <w:rFonts w:ascii="Times New Roman" w:hAnsi="Times New Roman" w:cs="Times New Roman" w:eastAsiaTheme="minorEastAsia"/>
          <w:b/>
          <w:bCs w:val="0"/>
          <w:color w:val="auto"/>
          <w:w w:val="99"/>
          <w:highlight w:val="none"/>
        </w:rPr>
        <w:t>-1           柴油发电机燃烧废气污染物产生一览表</w:t>
      </w:r>
    </w:p>
    <w:tbl>
      <w:tblPr>
        <w:tblStyle w:val="8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92"/>
        <w:gridCol w:w="2619"/>
        <w:gridCol w:w="2095"/>
        <w:gridCol w:w="22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pct"/>
            <w:vMerge w:val="restart"/>
            <w:vAlign w:val="center"/>
          </w:tcPr>
          <w:p>
            <w:pPr>
              <w:widowControl w:val="0"/>
              <w:spacing w:line="34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污染物指标</w:t>
            </w:r>
          </w:p>
        </w:tc>
        <w:tc>
          <w:tcPr>
            <w:tcW w:w="2538" w:type="pct"/>
            <w:gridSpan w:val="2"/>
            <w:vAlign w:val="center"/>
          </w:tcPr>
          <w:p>
            <w:pPr>
              <w:widowControl w:val="0"/>
              <w:spacing w:line="34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产污系数</w:t>
            </w:r>
          </w:p>
        </w:tc>
        <w:tc>
          <w:tcPr>
            <w:tcW w:w="1228" w:type="pct"/>
            <w:vMerge w:val="restart"/>
            <w:vAlign w:val="center"/>
          </w:tcPr>
          <w:p>
            <w:pPr>
              <w:widowControl w:val="0"/>
              <w:spacing w:line="34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产生量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pct"/>
            <w:vMerge w:val="continue"/>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p>
        </w:tc>
        <w:tc>
          <w:tcPr>
            <w:tcW w:w="1410" w:type="pct"/>
            <w:vAlign w:val="center"/>
          </w:tcPr>
          <w:p>
            <w:pPr>
              <w:widowControl w:val="0"/>
              <w:spacing w:line="34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单位</w:t>
            </w:r>
          </w:p>
        </w:tc>
        <w:tc>
          <w:tcPr>
            <w:tcW w:w="1128" w:type="pct"/>
            <w:vAlign w:val="center"/>
          </w:tcPr>
          <w:p>
            <w:pPr>
              <w:widowControl w:val="0"/>
              <w:spacing w:line="34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产污系数</w:t>
            </w:r>
          </w:p>
        </w:tc>
        <w:tc>
          <w:tcPr>
            <w:tcW w:w="1228" w:type="pct"/>
            <w:vMerge w:val="continue"/>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废气量</w:t>
            </w:r>
          </w:p>
        </w:tc>
        <w:tc>
          <w:tcPr>
            <w:tcW w:w="1410"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m</w:t>
            </w:r>
            <w:r>
              <w:rPr>
                <w:rFonts w:ascii="Times New Roman" w:hAnsi="Times New Roman" w:cs="Times New Roman" w:eastAsiaTheme="minorEastAsia"/>
                <w:color w:val="auto"/>
                <w:w w:val="99"/>
                <w:kern w:val="2"/>
                <w:sz w:val="21"/>
                <w:szCs w:val="21"/>
                <w:highlight w:val="none"/>
                <w:vertAlign w:val="superscript"/>
              </w:rPr>
              <w:t>3</w:t>
            </w:r>
            <w:r>
              <w:rPr>
                <w:rFonts w:ascii="Times New Roman" w:hAnsi="Times New Roman" w:cs="Times New Roman" w:eastAsiaTheme="minorEastAsia"/>
                <w:color w:val="auto"/>
                <w:w w:val="99"/>
                <w:kern w:val="2"/>
                <w:sz w:val="21"/>
                <w:szCs w:val="21"/>
                <w:highlight w:val="none"/>
              </w:rPr>
              <w:t>/kg柴油</w:t>
            </w:r>
          </w:p>
        </w:tc>
        <w:tc>
          <w:tcPr>
            <w:tcW w:w="1128"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12</w:t>
            </w:r>
          </w:p>
        </w:tc>
        <w:tc>
          <w:tcPr>
            <w:tcW w:w="1228"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Cs w:val="20"/>
                <w:highlight w:val="none"/>
              </w:rPr>
              <w:t>18986.64</w:t>
            </w:r>
            <w:r>
              <w:rPr>
                <w:rFonts w:ascii="Times New Roman" w:hAnsi="Times New Roman" w:cs="Times New Roman" w:eastAsiaTheme="minorEastAsia"/>
                <w:color w:val="auto"/>
                <w:w w:val="99"/>
                <w:kern w:val="2"/>
                <w:sz w:val="21"/>
                <w:szCs w:val="21"/>
                <w:highlight w:val="none"/>
              </w:rPr>
              <w:t>m</w:t>
            </w:r>
            <w:r>
              <w:rPr>
                <w:rFonts w:ascii="Times New Roman" w:hAnsi="Times New Roman" w:cs="Times New Roman" w:eastAsiaTheme="minorEastAsia"/>
                <w:color w:val="auto"/>
                <w:w w:val="99"/>
                <w:kern w:val="2"/>
                <w:sz w:val="21"/>
                <w:szCs w:val="21"/>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SO</w:t>
            </w:r>
            <w:r>
              <w:rPr>
                <w:rFonts w:ascii="Times New Roman" w:hAnsi="Times New Roman" w:cs="Times New Roman" w:eastAsiaTheme="minorEastAsia"/>
                <w:color w:val="auto"/>
                <w:w w:val="99"/>
                <w:kern w:val="2"/>
                <w:sz w:val="21"/>
                <w:szCs w:val="21"/>
                <w:highlight w:val="none"/>
                <w:vertAlign w:val="subscript"/>
              </w:rPr>
              <w:t>2</w:t>
            </w:r>
          </w:p>
        </w:tc>
        <w:tc>
          <w:tcPr>
            <w:tcW w:w="1410"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g/L柴油</w:t>
            </w:r>
          </w:p>
        </w:tc>
        <w:tc>
          <w:tcPr>
            <w:tcW w:w="1128"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4</w:t>
            </w:r>
          </w:p>
        </w:tc>
        <w:tc>
          <w:tcPr>
            <w:tcW w:w="1228"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7.35t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NO</w:t>
            </w:r>
            <w:r>
              <w:rPr>
                <w:rFonts w:ascii="Times New Roman" w:hAnsi="Times New Roman" w:cs="Times New Roman" w:eastAsiaTheme="minorEastAsia"/>
                <w:color w:val="auto"/>
                <w:w w:val="99"/>
                <w:kern w:val="2"/>
                <w:sz w:val="21"/>
                <w:szCs w:val="21"/>
                <w:highlight w:val="none"/>
                <w:vertAlign w:val="subscript"/>
              </w:rPr>
              <w:t>x</w:t>
            </w:r>
          </w:p>
        </w:tc>
        <w:tc>
          <w:tcPr>
            <w:tcW w:w="1410"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g/L柴油</w:t>
            </w:r>
          </w:p>
        </w:tc>
        <w:tc>
          <w:tcPr>
            <w:tcW w:w="1128"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2.56</w:t>
            </w:r>
          </w:p>
        </w:tc>
        <w:tc>
          <w:tcPr>
            <w:tcW w:w="1228"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4.7</w:t>
            </w:r>
            <w:r>
              <w:rPr>
                <w:rFonts w:hint="eastAsia" w:ascii="Times New Roman" w:hAnsi="Times New Roman" w:cs="Times New Roman" w:eastAsiaTheme="minorEastAsia"/>
                <w:color w:val="auto"/>
                <w:w w:val="99"/>
                <w:kern w:val="2"/>
                <w:sz w:val="21"/>
                <w:szCs w:val="21"/>
                <w:highlight w:val="none"/>
                <w:lang w:val="en-US" w:eastAsia="zh-CN"/>
              </w:rPr>
              <w:t>1</w:t>
            </w:r>
            <w:r>
              <w:rPr>
                <w:rFonts w:ascii="Times New Roman" w:hAnsi="Times New Roman" w:cs="Times New Roman" w:eastAsiaTheme="minorEastAsia"/>
                <w:color w:val="auto"/>
                <w:w w:val="99"/>
                <w:kern w:val="2"/>
                <w:sz w:val="21"/>
                <w:szCs w:val="21"/>
                <w:highlight w:val="none"/>
              </w:rPr>
              <w:t>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烟尘</w:t>
            </w:r>
          </w:p>
        </w:tc>
        <w:tc>
          <w:tcPr>
            <w:tcW w:w="1410"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g/L柴油</w:t>
            </w:r>
          </w:p>
        </w:tc>
        <w:tc>
          <w:tcPr>
            <w:tcW w:w="1128"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0.7146</w:t>
            </w:r>
          </w:p>
        </w:tc>
        <w:tc>
          <w:tcPr>
            <w:tcW w:w="1228"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1.31t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CO</w:t>
            </w:r>
          </w:p>
        </w:tc>
        <w:tc>
          <w:tcPr>
            <w:tcW w:w="1410"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g/L柴油</w:t>
            </w:r>
          </w:p>
        </w:tc>
        <w:tc>
          <w:tcPr>
            <w:tcW w:w="1128"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1.52</w:t>
            </w:r>
          </w:p>
        </w:tc>
        <w:tc>
          <w:tcPr>
            <w:tcW w:w="1228"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2.79</w:t>
            </w:r>
            <w:r>
              <w:rPr>
                <w:rFonts w:ascii="Times New Roman" w:hAnsi="Times New Roman" w:cs="Times New Roman" w:eastAsiaTheme="minorEastAsia"/>
                <w:color w:val="auto"/>
                <w:w w:val="99"/>
                <w:kern w:val="2"/>
                <w:sz w:val="21"/>
                <w:szCs w:val="21"/>
                <w:highlight w:val="none"/>
              </w:rPr>
              <w:t>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HC</w:t>
            </w:r>
          </w:p>
        </w:tc>
        <w:tc>
          <w:tcPr>
            <w:tcW w:w="1410"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g/L柴油</w:t>
            </w:r>
          </w:p>
        </w:tc>
        <w:tc>
          <w:tcPr>
            <w:tcW w:w="1128"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1.489</w:t>
            </w:r>
          </w:p>
        </w:tc>
        <w:tc>
          <w:tcPr>
            <w:tcW w:w="1228"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2.7</w:t>
            </w:r>
            <w:r>
              <w:rPr>
                <w:rFonts w:hint="eastAsia" w:ascii="Times New Roman" w:hAnsi="Times New Roman" w:cs="Times New Roman" w:eastAsiaTheme="minorEastAsia"/>
                <w:color w:val="auto"/>
                <w:w w:val="99"/>
                <w:kern w:val="2"/>
                <w:sz w:val="21"/>
                <w:szCs w:val="21"/>
                <w:highlight w:val="none"/>
                <w:lang w:val="en-US" w:eastAsia="zh-CN"/>
              </w:rPr>
              <w:t>4</w:t>
            </w:r>
            <w:r>
              <w:rPr>
                <w:rFonts w:ascii="Times New Roman" w:hAnsi="Times New Roman" w:cs="Times New Roman" w:eastAsiaTheme="minorEastAsia"/>
                <w:color w:val="auto"/>
                <w:w w:val="99"/>
                <w:kern w:val="2"/>
                <w:sz w:val="21"/>
                <w:szCs w:val="21"/>
                <w:highlight w:val="none"/>
              </w:rPr>
              <w:t>t</w:t>
            </w:r>
          </w:p>
        </w:tc>
      </w:tr>
    </w:tbl>
    <w:p>
      <w:pPr>
        <w:spacing w:line="440" w:lineRule="exact"/>
        <w:ind w:firstLine="474" w:firstLineChars="200"/>
        <w:jc w:val="both"/>
        <w:rPr>
          <w:rFonts w:ascii="Times New Roman" w:hAnsi="Times New Roman" w:cs="Times New Roman" w:eastAsiaTheme="minorEastAsia"/>
          <w:color w:val="auto"/>
          <w:w w:val="99"/>
          <w:kern w:val="2"/>
          <w:highlight w:val="none"/>
        </w:rPr>
      </w:pPr>
      <w:r>
        <w:rPr>
          <w:rFonts w:hint="eastAsia" w:ascii="Times New Roman" w:hAnsi="Times New Roman" w:cs="Times New Roman" w:eastAsiaTheme="minorEastAsia"/>
          <w:color w:val="auto"/>
          <w:w w:val="99"/>
          <w:kern w:val="2"/>
          <w:highlight w:val="none"/>
        </w:rPr>
        <w:t>（4）非甲烷总烃</w:t>
      </w:r>
    </w:p>
    <w:p>
      <w:pPr>
        <w:spacing w:line="44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bCs/>
          <w:color w:val="auto"/>
          <w:w w:val="99"/>
          <w:highlight w:val="none"/>
        </w:rPr>
        <w:t>根据《大气挥发性有机物源排放清单编制技术指南》附录 B 中“工艺过程源—石油开采”的推荐值，排放系数为 1.4175g/kg 原油，油气集输过程烃类气体挥发主要来自采油井场、集油间、转油站、联合站、集输系统等。本项目评价的内容是钻井工程，</w:t>
      </w:r>
      <w:r>
        <w:rPr>
          <w:rFonts w:hint="eastAsia" w:ascii="Times New Roman" w:hAnsi="Times New Roman" w:cs="Times New Roman" w:eastAsiaTheme="minorEastAsia"/>
          <w:bCs/>
          <w:color w:val="auto"/>
          <w:w w:val="99"/>
          <w:highlight w:val="none"/>
        </w:rPr>
        <w:t>主要是施工期</w:t>
      </w:r>
      <w:r>
        <w:rPr>
          <w:rFonts w:ascii="Times New Roman" w:hAnsi="Times New Roman" w:cs="Times New Roman" w:eastAsiaTheme="minorEastAsia"/>
          <w:bCs/>
          <w:color w:val="auto"/>
          <w:w w:val="99"/>
          <w:highlight w:val="none"/>
        </w:rPr>
        <w:t>，</w:t>
      </w:r>
      <w:r>
        <w:rPr>
          <w:rFonts w:hint="eastAsia" w:ascii="Times New Roman" w:hAnsi="Times New Roman" w:cs="Times New Roman" w:eastAsiaTheme="minorEastAsia"/>
          <w:bCs/>
          <w:color w:val="auto"/>
          <w:w w:val="99"/>
          <w:highlight w:val="none"/>
        </w:rPr>
        <w:t>且本项目</w:t>
      </w:r>
      <w:r>
        <w:rPr>
          <w:rFonts w:ascii="Times New Roman" w:hAnsi="Times New Roman" w:cs="Times New Roman" w:eastAsiaTheme="minorEastAsia"/>
          <w:bCs/>
          <w:color w:val="auto"/>
          <w:w w:val="99"/>
          <w:highlight w:val="none"/>
        </w:rPr>
        <w:t>不涉及</w:t>
      </w:r>
      <w:r>
        <w:rPr>
          <w:rFonts w:hint="eastAsia" w:ascii="Times New Roman" w:hAnsi="Times New Roman" w:cs="Times New Roman" w:eastAsiaTheme="minorEastAsia"/>
          <w:bCs/>
          <w:color w:val="auto"/>
          <w:w w:val="99"/>
          <w:highlight w:val="none"/>
        </w:rPr>
        <w:t>集油、转油、集输等</w:t>
      </w:r>
      <w:r>
        <w:rPr>
          <w:rFonts w:ascii="Times New Roman" w:hAnsi="Times New Roman" w:cs="Times New Roman" w:eastAsiaTheme="minorEastAsia"/>
          <w:bCs/>
          <w:color w:val="auto"/>
          <w:w w:val="99"/>
          <w:highlight w:val="none"/>
        </w:rPr>
        <w:t>，</w:t>
      </w:r>
      <w:r>
        <w:rPr>
          <w:rFonts w:hint="eastAsia" w:ascii="Times New Roman" w:hAnsi="Times New Roman" w:cs="Times New Roman" w:eastAsiaTheme="minorEastAsia"/>
          <w:bCs/>
          <w:color w:val="auto"/>
          <w:w w:val="99"/>
          <w:highlight w:val="none"/>
        </w:rPr>
        <w:t>钻井</w:t>
      </w:r>
      <w:r>
        <w:rPr>
          <w:rFonts w:ascii="Times New Roman" w:hAnsi="Times New Roman" w:cs="Times New Roman" w:eastAsiaTheme="minorEastAsia"/>
          <w:bCs/>
          <w:color w:val="auto"/>
          <w:w w:val="99"/>
          <w:highlight w:val="none"/>
        </w:rPr>
        <w:t>施工期仅会产生极少量的非甲烷总烃，因此本项目不进行定量评价。</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本项目废气污染源源强核算结果及相关参数一览表见表</w:t>
      </w:r>
      <w:r>
        <w:rPr>
          <w:rFonts w:ascii="Times New Roman" w:hAnsi="Times New Roman" w:cs="Times New Roman" w:eastAsiaTheme="minorEastAsia"/>
          <w:color w:val="auto"/>
          <w:w w:val="99"/>
          <w:highlight w:val="none"/>
        </w:rPr>
        <w:t>3.1</w:t>
      </w:r>
      <w:r>
        <w:rPr>
          <w:rFonts w:hint="eastAsia" w:ascii="Times New Roman" w:hAnsi="Times New Roman" w:cs="Times New Roman" w:eastAsiaTheme="minorEastAsia"/>
          <w:color w:val="auto"/>
          <w:w w:val="99"/>
          <w:highlight w:val="none"/>
          <w:lang w:val="en-US" w:eastAsia="zh-CN"/>
        </w:rPr>
        <w:t>2</w:t>
      </w:r>
      <w:r>
        <w:rPr>
          <w:rFonts w:ascii="Times New Roman" w:hAnsi="Times New Roman" w:cs="Times New Roman" w:eastAsiaTheme="minorEastAsia"/>
          <w:color w:val="auto"/>
          <w:w w:val="99"/>
          <w:highlight w:val="none"/>
        </w:rPr>
        <w:t>-2</w:t>
      </w:r>
      <w:r>
        <w:rPr>
          <w:rFonts w:ascii="Times New Roman" w:hAnsi="Times New Roman" w:cs="Times New Roman" w:eastAsiaTheme="minorEastAsia"/>
          <w:color w:val="auto"/>
          <w:w w:val="99"/>
          <w:kern w:val="2"/>
          <w:highlight w:val="none"/>
        </w:rPr>
        <w:t>。</w:t>
      </w:r>
    </w:p>
    <w:p>
      <w:pPr>
        <w:pStyle w:val="7"/>
        <w:keepNext w:val="0"/>
        <w:keepLines w:val="0"/>
        <w:widowControl w:val="0"/>
        <w:rPr>
          <w:b/>
          <w:color w:val="auto"/>
          <w:w w:val="99"/>
          <w:kern w:val="2"/>
          <w:sz w:val="24"/>
          <w:szCs w:val="24"/>
          <w:highlight w:val="none"/>
        </w:rPr>
      </w:pPr>
      <w:r>
        <w:rPr>
          <w:b/>
          <w:color w:val="auto"/>
          <w:w w:val="99"/>
          <w:kern w:val="2"/>
          <w:sz w:val="24"/>
          <w:szCs w:val="24"/>
          <w:highlight w:val="none"/>
        </w:rPr>
        <w:t>3.1</w:t>
      </w:r>
      <w:r>
        <w:rPr>
          <w:rFonts w:hint="eastAsia"/>
          <w:b/>
          <w:color w:val="auto"/>
          <w:w w:val="99"/>
          <w:kern w:val="2"/>
          <w:sz w:val="24"/>
          <w:szCs w:val="24"/>
          <w:highlight w:val="none"/>
          <w:lang w:val="en-US" w:eastAsia="zh-CN"/>
        </w:rPr>
        <w:t>2</w:t>
      </w:r>
      <w:r>
        <w:rPr>
          <w:b/>
          <w:color w:val="auto"/>
          <w:w w:val="99"/>
          <w:kern w:val="2"/>
          <w:sz w:val="24"/>
          <w:szCs w:val="24"/>
          <w:highlight w:val="none"/>
        </w:rPr>
        <w:t>.2废水</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本项目废水主要来自钻井过程中冲洗钻台、钻具和设备等生产废水以及钻井人员的生活污水，其中生产废水主要含有泥浆和岩屑等；生活污水主要含</w:t>
      </w:r>
      <w:r>
        <w:rPr>
          <w:rFonts w:hint="eastAsia" w:ascii="Times New Roman" w:hAnsi="Times New Roman" w:cs="Times New Roman" w:eastAsiaTheme="minorEastAsia"/>
          <w:color w:val="auto"/>
          <w:w w:val="99"/>
          <w:kern w:val="21"/>
          <w:highlight w:val="none"/>
          <w:lang w:eastAsia="zh-CN"/>
        </w:rPr>
        <w:t>耗氧量</w:t>
      </w:r>
      <w:r>
        <w:rPr>
          <w:rFonts w:ascii="Times New Roman" w:hAnsi="Times New Roman" w:cs="Times New Roman" w:eastAsiaTheme="minorEastAsia"/>
          <w:color w:val="auto"/>
          <w:w w:val="99"/>
          <w:kern w:val="21"/>
          <w:highlight w:val="none"/>
        </w:rPr>
        <w:t>、氨氮等。</w:t>
      </w:r>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（1）钻井废水</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根据公用工程计算可知，本项目</w:t>
      </w:r>
      <w:r>
        <w:rPr>
          <w:rFonts w:ascii="Times New Roman" w:hAnsi="Times New Roman" w:cs="Times New Roman" w:eastAsiaTheme="minorEastAsia"/>
          <w:bCs/>
          <w:color w:val="auto"/>
          <w:w w:val="99"/>
          <w:kern w:val="21"/>
          <w:highlight w:val="none"/>
        </w:rPr>
        <w:t>钻井废水产生量为</w:t>
      </w:r>
      <w:r>
        <w:rPr>
          <w:rFonts w:hint="eastAsia" w:ascii="Times New Roman" w:hAnsi="Times New Roman" w:cs="Times New Roman" w:eastAsiaTheme="minorEastAsia"/>
          <w:bCs/>
          <w:color w:val="auto"/>
          <w:w w:val="99"/>
          <w:kern w:val="21"/>
          <w:highlight w:val="none"/>
        </w:rPr>
        <w:t>5680.22</w:t>
      </w:r>
      <w:r>
        <w:rPr>
          <w:rFonts w:ascii="Times New Roman" w:hAnsi="Times New Roman" w:cs="Times New Roman" w:eastAsiaTheme="minorEastAsia"/>
          <w:color w:val="auto"/>
          <w:w w:val="99"/>
          <w:kern w:val="21"/>
          <w:highlight w:val="none"/>
        </w:rPr>
        <w:t>m</w:t>
      </w:r>
      <w:r>
        <w:rPr>
          <w:rFonts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。钻井废水</w:t>
      </w:r>
      <w:r>
        <w:rPr>
          <w:rFonts w:ascii="Times New Roman" w:hAnsi="Times New Roman" w:cs="Times New Roman" w:eastAsiaTheme="minorEastAsia"/>
          <w:color w:val="auto"/>
          <w:w w:val="99"/>
          <w:kern w:val="2"/>
          <w:szCs w:val="20"/>
          <w:highlight w:val="none"/>
        </w:rPr>
        <w:t>进入井场泥浆槽中，及时拉运至</w:t>
      </w:r>
      <w:r>
        <w:rPr>
          <w:rFonts w:hint="eastAsia" w:ascii="Times New Roman" w:hAnsi="Times New Roman" w:cs="Times New Roman" w:eastAsiaTheme="minorEastAsia"/>
          <w:color w:val="auto"/>
          <w:w w:val="99"/>
          <w:kern w:val="2"/>
          <w:szCs w:val="20"/>
          <w:highlight w:val="none"/>
        </w:rPr>
        <w:t>大庆油田昆仑集团有限公司环保分公司</w:t>
      </w:r>
      <w:r>
        <w:rPr>
          <w:rFonts w:ascii="Times New Roman" w:hAnsi="Times New Roman" w:cs="Times New Roman" w:eastAsiaTheme="minorEastAsia"/>
          <w:color w:val="auto"/>
          <w:w w:val="99"/>
          <w:kern w:val="2"/>
          <w:szCs w:val="20"/>
          <w:highlight w:val="none"/>
        </w:rPr>
        <w:t>处理。</w:t>
      </w:r>
      <w:r>
        <w:rPr>
          <w:rFonts w:hint="eastAsia" w:ascii="Times New Roman" w:hAnsi="Times New Roman" w:cs="Times New Roman" w:eastAsiaTheme="minorEastAsia"/>
          <w:color w:val="auto"/>
          <w:w w:val="99"/>
          <w:kern w:val="2"/>
          <w:highlight w:val="none"/>
        </w:rPr>
        <w:t>本项目</w:t>
      </w:r>
      <w:r>
        <w:rPr>
          <w:rFonts w:ascii="Times New Roman" w:hAnsi="Times New Roman" w:cs="Times New Roman" w:eastAsiaTheme="minorEastAsia"/>
          <w:bCs/>
          <w:color w:val="auto"/>
          <w:w w:val="99"/>
          <w:kern w:val="2"/>
          <w:highlight w:val="none"/>
        </w:rPr>
        <w:t>单井钻井施工1</w:t>
      </w:r>
      <w:r>
        <w:rPr>
          <w:rFonts w:hint="eastAsia" w:ascii="Times New Roman" w:hAnsi="Times New Roman" w:cs="Times New Roman" w:eastAsiaTheme="minorEastAsia"/>
          <w:bCs/>
          <w:color w:val="auto"/>
          <w:w w:val="99"/>
          <w:kern w:val="2"/>
          <w:highlight w:val="none"/>
        </w:rPr>
        <w:t>3</w:t>
      </w:r>
      <w:r>
        <w:rPr>
          <w:rFonts w:ascii="Times New Roman" w:hAnsi="Times New Roman" w:cs="Times New Roman" w:eastAsiaTheme="minorEastAsia"/>
          <w:bCs/>
          <w:color w:val="auto"/>
          <w:w w:val="99"/>
          <w:kern w:val="2"/>
          <w:highlight w:val="none"/>
        </w:rPr>
        <w:t>d</w:t>
      </w:r>
      <w:r>
        <w:rPr>
          <w:rFonts w:hint="eastAsia" w:ascii="Times New Roman" w:hAnsi="Times New Roman" w:cs="Times New Roman" w:eastAsiaTheme="minorEastAsia"/>
          <w:bCs/>
          <w:color w:val="auto"/>
          <w:w w:val="99"/>
          <w:kern w:val="2"/>
          <w:highlight w:val="none"/>
        </w:rPr>
        <w:t>，</w:t>
      </w:r>
      <w:r>
        <w:rPr>
          <w:rFonts w:hint="eastAsia" w:ascii="Times New Roman" w:hAnsi="Times New Roman" w:cs="Times New Roman" w:eastAsiaTheme="minorEastAsia"/>
          <w:bCs/>
          <w:color w:val="auto"/>
          <w:w w:val="99"/>
          <w:kern w:val="2"/>
          <w:highlight w:val="none"/>
          <w:lang w:val="en-US" w:eastAsia="zh-CN"/>
        </w:rPr>
        <w:t>2</w:t>
      </w:r>
      <w:r>
        <w:rPr>
          <w:rFonts w:ascii="Times New Roman" w:hAnsi="Times New Roman" w:cs="Times New Roman" w:eastAsiaTheme="minorEastAsia"/>
          <w:bCs/>
          <w:color w:val="auto"/>
          <w:w w:val="99"/>
          <w:kern w:val="2"/>
          <w:highlight w:val="none"/>
        </w:rPr>
        <w:t>个钻井队同时施工</w:t>
      </w:r>
      <w:r>
        <w:rPr>
          <w:rFonts w:ascii="Times New Roman" w:hAnsi="Times New Roman" w:cs="Times New Roman" w:eastAsiaTheme="minorEastAsia"/>
          <w:color w:val="auto"/>
          <w:w w:val="99"/>
          <w:kern w:val="2"/>
          <w:highlight w:val="none"/>
        </w:rPr>
        <w:t>，钻井废水每天产生量约</w:t>
      </w:r>
      <w:r>
        <w:rPr>
          <w:rFonts w:hint="eastAsia" w:ascii="Times New Roman" w:hAnsi="Times New Roman" w:cs="Times New Roman" w:eastAsiaTheme="minorEastAsia"/>
          <w:color w:val="auto"/>
          <w:w w:val="99"/>
          <w:kern w:val="2"/>
          <w:highlight w:val="none"/>
          <w:lang w:val="en-US" w:eastAsia="zh-CN"/>
        </w:rPr>
        <w:t>19.86</w:t>
      </w:r>
      <w:r>
        <w:rPr>
          <w:rFonts w:ascii="Times New Roman" w:hAnsi="Times New Roman" w:cs="Times New Roman" w:eastAsiaTheme="minorEastAsia"/>
          <w:color w:val="auto"/>
          <w:w w:val="99"/>
          <w:kern w:val="2"/>
          <w:highlight w:val="none"/>
        </w:rPr>
        <w:t>m</w:t>
      </w:r>
      <w:r>
        <w:rPr>
          <w:rFonts w:ascii="Times New Roman" w:hAnsi="Times New Roman" w:cs="Times New Roman" w:eastAsiaTheme="minorEastAsia"/>
          <w:color w:val="auto"/>
          <w:w w:val="99"/>
          <w:kern w:val="2"/>
          <w:highlight w:val="none"/>
          <w:vertAlign w:val="superscript"/>
        </w:rPr>
        <w:t>3</w:t>
      </w:r>
      <w:r>
        <w:rPr>
          <w:rFonts w:ascii="Times New Roman" w:hAnsi="Times New Roman" w:cs="Times New Roman" w:eastAsiaTheme="minorEastAsia"/>
          <w:color w:val="auto"/>
          <w:w w:val="99"/>
          <w:kern w:val="2"/>
          <w:highlight w:val="none"/>
        </w:rPr>
        <w:t>。</w:t>
      </w:r>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（2）生活污水</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根据公用工程计算可知，生活污水产生量为</w:t>
      </w:r>
      <w:r>
        <w:rPr>
          <w:rFonts w:hint="eastAsia" w:ascii="Times New Roman" w:hAnsi="Times New Roman" w:cs="Times New Roman" w:eastAsiaTheme="minorEastAsia"/>
          <w:color w:val="auto"/>
          <w:w w:val="99"/>
          <w:kern w:val="21"/>
          <w:highlight w:val="none"/>
        </w:rPr>
        <w:t>788.48</w:t>
      </w:r>
      <w:r>
        <w:rPr>
          <w:rFonts w:ascii="Times New Roman" w:hAnsi="Times New Roman" w:cs="Times New Roman" w:eastAsiaTheme="minorEastAsia"/>
          <w:color w:val="auto"/>
          <w:w w:val="99"/>
          <w:kern w:val="21"/>
          <w:highlight w:val="none"/>
        </w:rPr>
        <w:t>m</w:t>
      </w:r>
      <w:r>
        <w:rPr>
          <w:rFonts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。生活污水</w:t>
      </w:r>
      <w:r>
        <w:rPr>
          <w:rFonts w:hint="eastAsia" w:ascii="Times New Roman" w:hAnsi="Times New Roman" w:cs="Times New Roman" w:eastAsiaTheme="minorEastAsia"/>
          <w:color w:val="auto"/>
          <w:w w:val="99"/>
          <w:kern w:val="21"/>
          <w:highlight w:val="none"/>
        </w:rPr>
        <w:t>排入施工井场内临时设置的防渗旱厕，定期清掏外运堆肥处理，施工结束后进行卫生处理，场地进行平整。</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szCs w:val="22"/>
          <w:highlight w:val="none"/>
        </w:rPr>
        <w:t>本</w:t>
      </w:r>
      <w:r>
        <w:rPr>
          <w:rFonts w:ascii="Times New Roman" w:hAnsi="Times New Roman" w:cs="Times New Roman" w:eastAsiaTheme="minorEastAsia"/>
          <w:color w:val="auto"/>
          <w:w w:val="99"/>
          <w:kern w:val="21"/>
          <w:highlight w:val="none"/>
        </w:rPr>
        <w:t>项目废水污染源源强核算见表</w:t>
      </w:r>
      <w:r>
        <w:rPr>
          <w:rFonts w:ascii="Times New Roman" w:hAnsi="Times New Roman" w:cs="Times New Roman" w:eastAsiaTheme="minorEastAsia"/>
          <w:color w:val="auto"/>
          <w:w w:val="99"/>
          <w:highlight w:val="none"/>
        </w:rPr>
        <w:t>3.1</w:t>
      </w:r>
      <w:r>
        <w:rPr>
          <w:rFonts w:hint="eastAsia" w:ascii="Times New Roman" w:hAnsi="Times New Roman" w:cs="Times New Roman" w:eastAsiaTheme="minorEastAsia"/>
          <w:color w:val="auto"/>
          <w:w w:val="99"/>
          <w:highlight w:val="none"/>
          <w:lang w:val="en-US" w:eastAsia="zh-CN"/>
        </w:rPr>
        <w:t>2</w:t>
      </w:r>
      <w:r>
        <w:rPr>
          <w:rFonts w:ascii="Times New Roman" w:hAnsi="Times New Roman" w:cs="Times New Roman" w:eastAsiaTheme="minorEastAsia"/>
          <w:color w:val="auto"/>
          <w:w w:val="99"/>
          <w:highlight w:val="none"/>
        </w:rPr>
        <w:t>-3</w:t>
      </w:r>
      <w:r>
        <w:rPr>
          <w:rFonts w:ascii="Times New Roman" w:hAnsi="Times New Roman" w:cs="Times New Roman" w:eastAsiaTheme="minorEastAsia"/>
          <w:color w:val="auto"/>
          <w:w w:val="99"/>
          <w:kern w:val="21"/>
          <w:highlight w:val="none"/>
        </w:rPr>
        <w:t>。</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p>
    <w:p>
      <w:pPr>
        <w:widowControl w:val="0"/>
        <w:spacing w:line="500" w:lineRule="exact"/>
        <w:ind w:firstLine="474" w:firstLineChars="200"/>
        <w:rPr>
          <w:rFonts w:ascii="Times New Roman" w:hAnsi="Times New Roman" w:cs="Times New Roman" w:eastAsiaTheme="minorEastAsia"/>
          <w:bCs/>
          <w:color w:val="auto"/>
          <w:w w:val="99"/>
          <w:highlight w:val="none"/>
        </w:rPr>
      </w:pPr>
    </w:p>
    <w:p>
      <w:pPr>
        <w:widowControl w:val="0"/>
        <w:spacing w:line="500" w:lineRule="exact"/>
        <w:ind w:firstLine="474" w:firstLineChars="200"/>
        <w:rPr>
          <w:rFonts w:ascii="Times New Roman" w:hAnsi="Times New Roman" w:cs="Times New Roman" w:eastAsiaTheme="minorEastAsia"/>
          <w:bCs/>
          <w:color w:val="auto"/>
          <w:w w:val="99"/>
          <w:highlight w:val="none"/>
        </w:rPr>
      </w:pPr>
    </w:p>
    <w:p>
      <w:pPr>
        <w:widowControl w:val="0"/>
        <w:spacing w:line="500" w:lineRule="exact"/>
        <w:ind w:firstLine="474" w:firstLineChars="200"/>
        <w:rPr>
          <w:rFonts w:ascii="Times New Roman" w:hAnsi="Times New Roman" w:cs="Times New Roman" w:eastAsiaTheme="minorEastAsia"/>
          <w:bCs/>
          <w:color w:val="auto"/>
          <w:w w:val="99"/>
          <w:highlight w:val="none"/>
        </w:rPr>
      </w:pPr>
    </w:p>
    <w:p>
      <w:pPr>
        <w:widowControl w:val="0"/>
        <w:spacing w:line="500" w:lineRule="exact"/>
        <w:ind w:firstLine="474" w:firstLineChars="200"/>
        <w:rPr>
          <w:rFonts w:ascii="Times New Roman" w:hAnsi="Times New Roman" w:cs="Times New Roman" w:eastAsiaTheme="minorEastAsia"/>
          <w:bCs/>
          <w:color w:val="auto"/>
          <w:w w:val="99"/>
          <w:highlight w:val="none"/>
        </w:rPr>
        <w:sectPr>
          <w:pgSz w:w="11907" w:h="16840"/>
          <w:pgMar w:top="1418" w:right="1418" w:bottom="1418" w:left="1418" w:header="851" w:footer="992" w:gutter="0"/>
          <w:pgBorders>
            <w:top w:val="none" w:sz="0" w:space="0"/>
            <w:left w:val="none" w:sz="0" w:space="0"/>
            <w:bottom w:val="none" w:sz="0" w:space="0"/>
            <w:right w:val="none" w:sz="0" w:space="0"/>
          </w:pgBorders>
          <w:cols w:space="720" w:num="1"/>
          <w:docGrid w:type="linesAndChars" w:linePitch="319" w:charSpace="0"/>
        </w:sectPr>
      </w:pPr>
    </w:p>
    <w:p>
      <w:pPr>
        <w:widowControl w:val="0"/>
        <w:spacing w:line="500" w:lineRule="exact"/>
        <w:ind w:firstLine="474" w:firstLineChars="200"/>
        <w:rPr>
          <w:rFonts w:ascii="Times New Roman" w:hAnsi="Times New Roman" w:cs="Times New Roman" w:eastAsiaTheme="minorEastAsia"/>
          <w:b/>
          <w:bCs w:val="0"/>
          <w:color w:val="auto"/>
          <w:w w:val="99"/>
          <w:highlight w:val="none"/>
        </w:rPr>
      </w:pPr>
      <w:r>
        <w:rPr>
          <w:rFonts w:ascii="Times New Roman" w:hAnsi="Times New Roman" w:cs="Times New Roman" w:eastAsiaTheme="minorEastAsia"/>
          <w:b/>
          <w:bCs w:val="0"/>
          <w:color w:val="auto"/>
          <w:w w:val="99"/>
          <w:highlight w:val="none"/>
        </w:rPr>
        <w:t>表3.1</w:t>
      </w:r>
      <w:r>
        <w:rPr>
          <w:rFonts w:hint="eastAsia" w:ascii="Times New Roman" w:hAnsi="Times New Roman" w:cs="Times New Roman" w:eastAsiaTheme="minorEastAsia"/>
          <w:b/>
          <w:bCs w:val="0"/>
          <w:color w:val="auto"/>
          <w:w w:val="99"/>
          <w:highlight w:val="none"/>
          <w:lang w:val="en-US" w:eastAsia="zh-CN"/>
        </w:rPr>
        <w:t>2</w:t>
      </w:r>
      <w:r>
        <w:rPr>
          <w:rFonts w:ascii="Times New Roman" w:hAnsi="Times New Roman" w:cs="Times New Roman" w:eastAsiaTheme="minorEastAsia"/>
          <w:b/>
          <w:bCs w:val="0"/>
          <w:color w:val="auto"/>
          <w:w w:val="99"/>
          <w:highlight w:val="none"/>
        </w:rPr>
        <w:t>-2                        废气污染源源强核算结果及相关参数一览表</w:t>
      </w:r>
    </w:p>
    <w:tbl>
      <w:tblPr>
        <w:tblStyle w:val="8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2"/>
        <w:gridCol w:w="663"/>
        <w:gridCol w:w="663"/>
        <w:gridCol w:w="967"/>
        <w:gridCol w:w="663"/>
        <w:gridCol w:w="1274"/>
        <w:gridCol w:w="1328"/>
        <w:gridCol w:w="1160"/>
        <w:gridCol w:w="663"/>
        <w:gridCol w:w="933"/>
        <w:gridCol w:w="663"/>
        <w:gridCol w:w="1396"/>
        <w:gridCol w:w="1206"/>
        <w:gridCol w:w="1160"/>
        <w:gridCol w:w="8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工序</w:t>
            </w:r>
          </w:p>
        </w:tc>
        <w:tc>
          <w:tcPr>
            <w:tcW w:w="663"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装置</w:t>
            </w:r>
          </w:p>
        </w:tc>
        <w:tc>
          <w:tcPr>
            <w:tcW w:w="663"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污染源</w:t>
            </w:r>
          </w:p>
        </w:tc>
        <w:tc>
          <w:tcPr>
            <w:tcW w:w="967"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污染物</w:t>
            </w:r>
          </w:p>
        </w:tc>
        <w:tc>
          <w:tcPr>
            <w:tcW w:w="4425" w:type="dxa"/>
            <w:gridSpan w:val="4"/>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污染物产生</w:t>
            </w:r>
          </w:p>
        </w:tc>
        <w:tc>
          <w:tcPr>
            <w:tcW w:w="1596" w:type="dxa"/>
            <w:gridSpan w:val="2"/>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治理措施</w:t>
            </w:r>
          </w:p>
        </w:tc>
        <w:tc>
          <w:tcPr>
            <w:tcW w:w="4425" w:type="dxa"/>
            <w:gridSpan w:val="4"/>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污染物排放</w:t>
            </w:r>
          </w:p>
        </w:tc>
        <w:tc>
          <w:tcPr>
            <w:tcW w:w="819" w:type="dxa"/>
            <w:vMerge w:val="restart"/>
            <w:vAlign w:val="center"/>
          </w:tcPr>
          <w:p>
            <w:pPr>
              <w:keepNext/>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排放时间d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967"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核算方法</w:t>
            </w:r>
          </w:p>
        </w:tc>
        <w:tc>
          <w:tcPr>
            <w:tcW w:w="1274"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废气产生量m</w:t>
            </w:r>
            <w:r>
              <w:rPr>
                <w:rFonts w:ascii="Times New Roman" w:hAnsi="Times New Roman" w:cs="Times New Roman" w:eastAsiaTheme="minorEastAsia"/>
                <w:color w:val="auto"/>
                <w:w w:val="99"/>
                <w:kern w:val="2"/>
                <w:sz w:val="21"/>
                <w:szCs w:val="21"/>
                <w:highlight w:val="none"/>
                <w:vertAlign w:val="superscript"/>
              </w:rPr>
              <w:t>3</w:t>
            </w:r>
          </w:p>
        </w:tc>
        <w:tc>
          <w:tcPr>
            <w:tcW w:w="1328"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产生</w:t>
            </w:r>
          </w:p>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浓度mg/m</w:t>
            </w:r>
            <w:r>
              <w:rPr>
                <w:rFonts w:ascii="Times New Roman" w:hAnsi="Times New Roman" w:cs="Times New Roman" w:eastAsiaTheme="minorEastAsia"/>
                <w:color w:val="auto"/>
                <w:w w:val="99"/>
                <w:kern w:val="2"/>
                <w:sz w:val="21"/>
                <w:szCs w:val="21"/>
                <w:highlight w:val="none"/>
                <w:vertAlign w:val="superscript"/>
              </w:rPr>
              <w:t>3</w:t>
            </w:r>
          </w:p>
        </w:tc>
        <w:tc>
          <w:tcPr>
            <w:tcW w:w="1160"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产生量t</w:t>
            </w:r>
          </w:p>
        </w:tc>
        <w:tc>
          <w:tcPr>
            <w:tcW w:w="663"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工艺</w:t>
            </w:r>
          </w:p>
        </w:tc>
        <w:tc>
          <w:tcPr>
            <w:tcW w:w="933"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效率%</w:t>
            </w:r>
          </w:p>
        </w:tc>
        <w:tc>
          <w:tcPr>
            <w:tcW w:w="663"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核算方法</w:t>
            </w:r>
          </w:p>
        </w:tc>
        <w:tc>
          <w:tcPr>
            <w:tcW w:w="1396"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废气排放量</w:t>
            </w:r>
          </w:p>
        </w:tc>
        <w:tc>
          <w:tcPr>
            <w:tcW w:w="1206"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排放浓度mg/m</w:t>
            </w:r>
            <w:r>
              <w:rPr>
                <w:rFonts w:ascii="Times New Roman" w:hAnsi="Times New Roman" w:cs="Times New Roman" w:eastAsiaTheme="minorEastAsia"/>
                <w:color w:val="auto"/>
                <w:w w:val="99"/>
                <w:kern w:val="2"/>
                <w:sz w:val="21"/>
                <w:szCs w:val="21"/>
                <w:highlight w:val="none"/>
                <w:vertAlign w:val="superscript"/>
              </w:rPr>
              <w:t>3</w:t>
            </w:r>
          </w:p>
        </w:tc>
        <w:tc>
          <w:tcPr>
            <w:tcW w:w="1160"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排放量</w:t>
            </w:r>
          </w:p>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t</w:t>
            </w:r>
          </w:p>
        </w:tc>
        <w:tc>
          <w:tcPr>
            <w:tcW w:w="819" w:type="dxa"/>
            <w:vMerge w:val="continue"/>
            <w:vAlign w:val="center"/>
          </w:tcPr>
          <w:p>
            <w:pPr>
              <w:keepNext/>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钻井</w:t>
            </w:r>
          </w:p>
        </w:tc>
        <w:tc>
          <w:tcPr>
            <w:tcW w:w="663"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场地</w:t>
            </w:r>
          </w:p>
        </w:tc>
        <w:tc>
          <w:tcPr>
            <w:tcW w:w="663"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施工扬尘</w:t>
            </w:r>
          </w:p>
        </w:tc>
        <w:tc>
          <w:tcPr>
            <w:tcW w:w="967"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颗粒物</w:t>
            </w:r>
          </w:p>
        </w:tc>
        <w:tc>
          <w:tcPr>
            <w:tcW w:w="663"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274"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328"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160"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0.1756</w:t>
            </w:r>
          </w:p>
        </w:tc>
        <w:tc>
          <w:tcPr>
            <w:tcW w:w="1596" w:type="dxa"/>
            <w:gridSpan w:val="2"/>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洒水抑尘、物料苫盖</w:t>
            </w:r>
          </w:p>
        </w:tc>
        <w:tc>
          <w:tcPr>
            <w:tcW w:w="663"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396"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206"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160"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0.1756</w:t>
            </w:r>
          </w:p>
        </w:tc>
        <w:tc>
          <w:tcPr>
            <w:tcW w:w="819" w:type="dxa"/>
            <w:vAlign w:val="center"/>
          </w:tcPr>
          <w:p>
            <w:pPr>
              <w:keepNext/>
              <w:widowControl w:val="0"/>
              <w:adjustRightInd w:val="0"/>
              <w:spacing w:line="32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308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柴油机</w:t>
            </w:r>
          </w:p>
        </w:tc>
        <w:tc>
          <w:tcPr>
            <w:tcW w:w="663"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井场柴油机烟气</w:t>
            </w:r>
          </w:p>
        </w:tc>
        <w:tc>
          <w:tcPr>
            <w:tcW w:w="96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SO</w:t>
            </w:r>
            <w:r>
              <w:rPr>
                <w:rFonts w:ascii="Times New Roman" w:hAnsi="Times New Roman" w:cs="Times New Roman" w:eastAsiaTheme="minorEastAsia"/>
                <w:color w:val="auto"/>
                <w:w w:val="99"/>
                <w:kern w:val="2"/>
                <w:sz w:val="21"/>
                <w:szCs w:val="21"/>
                <w:highlight w:val="none"/>
                <w:vertAlign w:val="subscript"/>
              </w:rPr>
              <w:t>2</w:t>
            </w:r>
          </w:p>
        </w:tc>
        <w:tc>
          <w:tcPr>
            <w:tcW w:w="663"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产污系数法</w:t>
            </w:r>
          </w:p>
        </w:tc>
        <w:tc>
          <w:tcPr>
            <w:tcW w:w="1274"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18986.64</w:t>
            </w:r>
          </w:p>
        </w:tc>
        <w:tc>
          <w:tcPr>
            <w:tcW w:w="1328" w:type="dxa"/>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160"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7.35</w:t>
            </w:r>
          </w:p>
        </w:tc>
        <w:tc>
          <w:tcPr>
            <w:tcW w:w="663"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933"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663"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排污系数法</w:t>
            </w:r>
          </w:p>
        </w:tc>
        <w:tc>
          <w:tcPr>
            <w:tcW w:w="1396"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18986.64</w:t>
            </w:r>
          </w:p>
        </w:tc>
        <w:tc>
          <w:tcPr>
            <w:tcW w:w="1206" w:type="dxa"/>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160"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7.35</w:t>
            </w:r>
          </w:p>
        </w:tc>
        <w:tc>
          <w:tcPr>
            <w:tcW w:w="819" w:type="dxa"/>
            <w:vMerge w:val="restart"/>
            <w:vAlign w:val="center"/>
          </w:tcPr>
          <w:p>
            <w:pPr>
              <w:keepNext/>
              <w:widowControl w:val="0"/>
              <w:adjustRightInd w:val="0"/>
              <w:spacing w:line="320" w:lineRule="exact"/>
              <w:jc w:val="center"/>
              <w:rPr>
                <w:color w:val="auto"/>
                <w:highlight w:val="none"/>
              </w:rPr>
            </w:pPr>
            <w:r>
              <w:rPr>
                <w:rFonts w:hint="eastAsia" w:ascii="Times New Roman" w:hAnsi="Times New Roman" w:cs="Times New Roman" w:eastAsiaTheme="minorEastAsia"/>
                <w:color w:val="auto"/>
                <w:w w:val="99"/>
                <w:kern w:val="2"/>
                <w:sz w:val="21"/>
                <w:szCs w:val="21"/>
                <w:highlight w:val="none"/>
                <w:lang w:val="en-US" w:eastAsia="zh-CN"/>
              </w:rPr>
              <w:t>308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967"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NO</w:t>
            </w:r>
            <w:r>
              <w:rPr>
                <w:rFonts w:ascii="Times New Roman" w:hAnsi="Times New Roman" w:cs="Times New Roman" w:eastAsiaTheme="minorEastAsia"/>
                <w:color w:val="auto"/>
                <w:w w:val="99"/>
                <w:kern w:val="2"/>
                <w:sz w:val="21"/>
                <w:szCs w:val="21"/>
                <w:highlight w:val="none"/>
                <w:vertAlign w:val="subscript"/>
              </w:rPr>
              <w:t>x</w:t>
            </w: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1274"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1328" w:type="dxa"/>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160"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4.7</w:t>
            </w:r>
            <w:r>
              <w:rPr>
                <w:rFonts w:hint="eastAsia" w:ascii="Times New Roman" w:hAnsi="Times New Roman" w:cs="Times New Roman" w:eastAsiaTheme="minorEastAsia"/>
                <w:color w:val="auto"/>
                <w:w w:val="99"/>
                <w:kern w:val="2"/>
                <w:sz w:val="21"/>
                <w:szCs w:val="21"/>
                <w:highlight w:val="none"/>
                <w:lang w:val="en-US" w:eastAsia="zh-CN"/>
              </w:rPr>
              <w:t>1</w:t>
            </w: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93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1396"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1206" w:type="dxa"/>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160"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4.7</w:t>
            </w:r>
            <w:r>
              <w:rPr>
                <w:rFonts w:hint="eastAsia" w:ascii="Times New Roman" w:hAnsi="Times New Roman" w:cs="Times New Roman" w:eastAsiaTheme="minorEastAsia"/>
                <w:color w:val="auto"/>
                <w:w w:val="99"/>
                <w:kern w:val="2"/>
                <w:sz w:val="21"/>
                <w:szCs w:val="21"/>
                <w:highlight w:val="none"/>
                <w:lang w:val="en-US" w:eastAsia="zh-CN"/>
              </w:rPr>
              <w:t>1</w:t>
            </w:r>
          </w:p>
        </w:tc>
        <w:tc>
          <w:tcPr>
            <w:tcW w:w="819" w:type="dxa"/>
            <w:vMerge w:val="continue"/>
            <w:vAlign w:val="center"/>
          </w:tcPr>
          <w:p>
            <w:pPr>
              <w:keepNext/>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967" w:type="dxa"/>
            <w:vAlign w:val="center"/>
          </w:tcPr>
          <w:p>
            <w:pPr>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21"/>
                <w:szCs w:val="21"/>
                <w:highlight w:val="none"/>
              </w:rPr>
              <w:t>烟尘</w:t>
            </w: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1274"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1328" w:type="dxa"/>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160"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1.31</w:t>
            </w: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93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1396"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1206" w:type="dxa"/>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160"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1.31</w:t>
            </w:r>
          </w:p>
        </w:tc>
        <w:tc>
          <w:tcPr>
            <w:tcW w:w="819" w:type="dxa"/>
            <w:vMerge w:val="continue"/>
            <w:vAlign w:val="center"/>
          </w:tcPr>
          <w:p>
            <w:pPr>
              <w:keepNext/>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96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21"/>
                <w:szCs w:val="21"/>
                <w:highlight w:val="none"/>
              </w:rPr>
              <w:t>CO</w:t>
            </w: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1274"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1328" w:type="dxa"/>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160"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2.79</w:t>
            </w: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93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1396"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1206" w:type="dxa"/>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160"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2.79</w:t>
            </w:r>
          </w:p>
        </w:tc>
        <w:tc>
          <w:tcPr>
            <w:tcW w:w="819" w:type="dxa"/>
            <w:vMerge w:val="continue"/>
            <w:vAlign w:val="center"/>
          </w:tcPr>
          <w:p>
            <w:pPr>
              <w:keepNext/>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96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HC</w:t>
            </w: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1274"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1328" w:type="dxa"/>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160"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2.7</w:t>
            </w:r>
            <w:r>
              <w:rPr>
                <w:rFonts w:hint="eastAsia" w:ascii="Times New Roman" w:hAnsi="Times New Roman" w:cs="Times New Roman" w:eastAsiaTheme="minorEastAsia"/>
                <w:color w:val="auto"/>
                <w:w w:val="99"/>
                <w:kern w:val="2"/>
                <w:sz w:val="21"/>
                <w:szCs w:val="21"/>
                <w:highlight w:val="none"/>
                <w:lang w:val="en-US" w:eastAsia="zh-CN"/>
              </w:rPr>
              <w:t>4</w:t>
            </w: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93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1396"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1206" w:type="dxa"/>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160"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2.7</w:t>
            </w:r>
            <w:r>
              <w:rPr>
                <w:rFonts w:hint="eastAsia" w:ascii="Times New Roman" w:hAnsi="Times New Roman" w:cs="Times New Roman" w:eastAsiaTheme="minorEastAsia"/>
                <w:color w:val="auto"/>
                <w:w w:val="99"/>
                <w:kern w:val="2"/>
                <w:sz w:val="21"/>
                <w:szCs w:val="21"/>
                <w:highlight w:val="none"/>
                <w:lang w:val="en-US" w:eastAsia="zh-CN"/>
              </w:rPr>
              <w:t>4</w:t>
            </w:r>
          </w:p>
        </w:tc>
        <w:tc>
          <w:tcPr>
            <w:tcW w:w="819" w:type="dxa"/>
            <w:vMerge w:val="continue"/>
            <w:vAlign w:val="center"/>
          </w:tcPr>
          <w:p>
            <w:pPr>
              <w:keepNext/>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车辆</w:t>
            </w:r>
          </w:p>
        </w:tc>
        <w:tc>
          <w:tcPr>
            <w:tcW w:w="663"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车辆尾气</w:t>
            </w:r>
          </w:p>
        </w:tc>
        <w:tc>
          <w:tcPr>
            <w:tcW w:w="967"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SO</w:t>
            </w:r>
            <w:r>
              <w:rPr>
                <w:rFonts w:ascii="Times New Roman" w:hAnsi="Times New Roman" w:cs="Times New Roman" w:eastAsiaTheme="minorEastAsia"/>
                <w:color w:val="auto"/>
                <w:w w:val="99"/>
                <w:kern w:val="2"/>
                <w:sz w:val="21"/>
                <w:szCs w:val="21"/>
                <w:highlight w:val="none"/>
                <w:vertAlign w:val="subscript"/>
              </w:rPr>
              <w:t>2</w:t>
            </w:r>
          </w:p>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NO</w:t>
            </w:r>
            <w:r>
              <w:rPr>
                <w:rFonts w:ascii="Times New Roman" w:hAnsi="Times New Roman" w:cs="Times New Roman" w:eastAsiaTheme="minorEastAsia"/>
                <w:color w:val="auto"/>
                <w:w w:val="99"/>
                <w:kern w:val="2"/>
                <w:sz w:val="21"/>
                <w:szCs w:val="21"/>
                <w:highlight w:val="none"/>
                <w:vertAlign w:val="subscript"/>
              </w:rPr>
              <w:t>X</w:t>
            </w:r>
          </w:p>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TSP</w:t>
            </w:r>
          </w:p>
        </w:tc>
        <w:tc>
          <w:tcPr>
            <w:tcW w:w="4425" w:type="dxa"/>
            <w:gridSpan w:val="4"/>
            <w:vAlign w:val="center"/>
          </w:tcPr>
          <w:p>
            <w:pPr>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由于车辆数量和每辆车行驶的公里数不易确定，固不对其进行定量计算</w:t>
            </w:r>
          </w:p>
        </w:tc>
        <w:tc>
          <w:tcPr>
            <w:tcW w:w="1596" w:type="dxa"/>
            <w:gridSpan w:val="2"/>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施工车辆选用</w:t>
            </w:r>
            <w:r>
              <w:rPr>
                <w:rFonts w:hint="eastAsia" w:ascii="Times New Roman" w:hAnsi="Times New Roman" w:cs="Times New Roman" w:eastAsiaTheme="minorEastAsia"/>
                <w:color w:val="auto"/>
                <w:w w:val="99"/>
                <w:kern w:val="2"/>
                <w:sz w:val="21"/>
                <w:szCs w:val="21"/>
                <w:highlight w:val="none"/>
              </w:rPr>
              <w:t>高</w:t>
            </w:r>
            <w:r>
              <w:rPr>
                <w:rFonts w:ascii="Times New Roman" w:hAnsi="Times New Roman" w:cs="Times New Roman" w:eastAsiaTheme="minorEastAsia"/>
                <w:color w:val="auto"/>
                <w:w w:val="99"/>
                <w:kern w:val="2"/>
                <w:sz w:val="21"/>
                <w:szCs w:val="21"/>
                <w:highlight w:val="none"/>
              </w:rPr>
              <w:t>标号汽柴油，尾气达标排放</w:t>
            </w:r>
          </w:p>
        </w:tc>
        <w:tc>
          <w:tcPr>
            <w:tcW w:w="663"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396"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206"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160"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819" w:type="dxa"/>
            <w:vAlign w:val="center"/>
          </w:tcPr>
          <w:p>
            <w:pPr>
              <w:keepNext/>
              <w:widowControl w:val="0"/>
              <w:adjustRightInd w:val="0"/>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308</w:t>
            </w:r>
          </w:p>
        </w:tc>
      </w:tr>
    </w:tbl>
    <w:p>
      <w:pPr>
        <w:widowControl w:val="0"/>
        <w:spacing w:line="500" w:lineRule="exact"/>
        <w:ind w:firstLine="474" w:firstLineChars="200"/>
        <w:rPr>
          <w:rFonts w:ascii="Times New Roman" w:hAnsi="Times New Roman" w:cs="Times New Roman" w:eastAsiaTheme="minorEastAsia"/>
          <w:color w:val="auto"/>
          <w:w w:val="99"/>
          <w:kern w:val="21"/>
          <w:highlight w:val="none"/>
        </w:rPr>
      </w:pPr>
    </w:p>
    <w:p>
      <w:pPr>
        <w:widowControl w:val="0"/>
        <w:spacing w:line="500" w:lineRule="exact"/>
        <w:ind w:firstLine="474" w:firstLineChars="200"/>
        <w:rPr>
          <w:rFonts w:ascii="Times New Roman" w:hAnsi="Times New Roman" w:cs="Times New Roman" w:eastAsiaTheme="minorEastAsia"/>
          <w:color w:val="auto"/>
          <w:w w:val="99"/>
          <w:kern w:val="21"/>
          <w:highlight w:val="none"/>
        </w:rPr>
      </w:pPr>
    </w:p>
    <w:p>
      <w:pPr>
        <w:widowControl w:val="0"/>
        <w:spacing w:line="500" w:lineRule="exact"/>
        <w:ind w:firstLine="474" w:firstLineChars="200"/>
        <w:rPr>
          <w:rFonts w:ascii="Times New Roman" w:hAnsi="Times New Roman" w:cs="Times New Roman" w:eastAsiaTheme="minorEastAsia"/>
          <w:color w:val="auto"/>
          <w:w w:val="99"/>
          <w:kern w:val="21"/>
          <w:highlight w:val="none"/>
        </w:rPr>
      </w:pPr>
    </w:p>
    <w:p>
      <w:pPr>
        <w:widowControl w:val="0"/>
        <w:spacing w:line="500" w:lineRule="exact"/>
        <w:ind w:firstLine="474" w:firstLineChars="200"/>
        <w:rPr>
          <w:rFonts w:ascii="Times New Roman" w:hAnsi="Times New Roman" w:cs="Times New Roman" w:eastAsiaTheme="minorEastAsia"/>
          <w:color w:val="auto"/>
          <w:w w:val="99"/>
          <w:kern w:val="21"/>
          <w:highlight w:val="none"/>
        </w:rPr>
      </w:pPr>
    </w:p>
    <w:p>
      <w:pPr>
        <w:widowControl w:val="0"/>
        <w:spacing w:line="500" w:lineRule="exact"/>
        <w:ind w:firstLine="474" w:firstLineChars="200"/>
        <w:rPr>
          <w:rFonts w:ascii="Times New Roman" w:hAnsi="Times New Roman" w:cs="Times New Roman" w:eastAsiaTheme="minorEastAsia"/>
          <w:color w:val="auto"/>
          <w:w w:val="99"/>
          <w:kern w:val="21"/>
          <w:highlight w:val="none"/>
        </w:rPr>
      </w:pPr>
    </w:p>
    <w:p>
      <w:pPr>
        <w:widowControl w:val="0"/>
        <w:spacing w:line="500" w:lineRule="exact"/>
        <w:ind w:firstLine="474" w:firstLineChars="200"/>
        <w:rPr>
          <w:rFonts w:ascii="Times New Roman" w:hAnsi="Times New Roman" w:cs="Times New Roman" w:eastAsiaTheme="minorEastAsia"/>
          <w:color w:val="auto"/>
          <w:w w:val="99"/>
          <w:kern w:val="21"/>
          <w:highlight w:val="none"/>
        </w:rPr>
      </w:pPr>
    </w:p>
    <w:p>
      <w:pPr>
        <w:widowControl w:val="0"/>
        <w:spacing w:line="500" w:lineRule="exact"/>
        <w:ind w:firstLine="474" w:firstLineChars="200"/>
        <w:rPr>
          <w:rFonts w:ascii="Times New Roman" w:hAnsi="Times New Roman" w:cs="Times New Roman" w:eastAsiaTheme="minorEastAsia"/>
          <w:color w:val="auto"/>
          <w:w w:val="99"/>
          <w:kern w:val="21"/>
          <w:highlight w:val="none"/>
        </w:rPr>
      </w:pPr>
    </w:p>
    <w:p>
      <w:pPr>
        <w:widowControl w:val="0"/>
        <w:spacing w:line="500" w:lineRule="exact"/>
        <w:ind w:firstLine="474" w:firstLineChars="200"/>
        <w:rPr>
          <w:rFonts w:ascii="Times New Roman" w:hAnsi="Times New Roman" w:cs="Times New Roman" w:eastAsiaTheme="minorEastAsia"/>
          <w:color w:val="auto"/>
          <w:w w:val="99"/>
          <w:kern w:val="21"/>
          <w:highlight w:val="none"/>
        </w:rPr>
      </w:pPr>
    </w:p>
    <w:p>
      <w:pPr>
        <w:widowControl w:val="0"/>
        <w:spacing w:line="500" w:lineRule="exact"/>
        <w:ind w:firstLine="474" w:firstLineChars="200"/>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1"/>
          <w:highlight w:val="none"/>
        </w:rPr>
        <w:t>表</w:t>
      </w:r>
      <w:r>
        <w:rPr>
          <w:rFonts w:ascii="Times New Roman" w:hAnsi="Times New Roman" w:cs="Times New Roman" w:eastAsiaTheme="minorEastAsia"/>
          <w:b/>
          <w:bCs/>
          <w:color w:val="auto"/>
          <w:w w:val="99"/>
          <w:highlight w:val="none"/>
        </w:rPr>
        <w:t>3.1</w:t>
      </w:r>
      <w:r>
        <w:rPr>
          <w:rFonts w:hint="eastAsia" w:ascii="Times New Roman" w:hAnsi="Times New Roman" w:cs="Times New Roman" w:eastAsiaTheme="minorEastAsia"/>
          <w:b/>
          <w:bCs/>
          <w:color w:val="auto"/>
          <w:w w:val="99"/>
          <w:highlight w:val="none"/>
          <w:lang w:val="en-US" w:eastAsia="zh-CN"/>
        </w:rPr>
        <w:t>2</w:t>
      </w:r>
      <w:r>
        <w:rPr>
          <w:rFonts w:ascii="Times New Roman" w:hAnsi="Times New Roman" w:cs="Times New Roman" w:eastAsiaTheme="minorEastAsia"/>
          <w:b/>
          <w:bCs/>
          <w:color w:val="auto"/>
          <w:w w:val="99"/>
          <w:highlight w:val="none"/>
        </w:rPr>
        <w:t>-3</w:t>
      </w:r>
      <w:r>
        <w:rPr>
          <w:rFonts w:ascii="Times New Roman" w:hAnsi="Times New Roman" w:cs="Times New Roman" w:eastAsiaTheme="minorEastAsia"/>
          <w:b/>
          <w:bCs/>
          <w:color w:val="auto"/>
          <w:w w:val="99"/>
          <w:kern w:val="21"/>
          <w:highlight w:val="none"/>
        </w:rPr>
        <w:t xml:space="preserve">                        废水污染源源强核算结果及相关参数一览表</w:t>
      </w:r>
    </w:p>
    <w:tbl>
      <w:tblPr>
        <w:tblStyle w:val="8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989"/>
        <w:gridCol w:w="793"/>
        <w:gridCol w:w="785"/>
        <w:gridCol w:w="904"/>
        <w:gridCol w:w="1234"/>
        <w:gridCol w:w="1061"/>
        <w:gridCol w:w="771"/>
        <w:gridCol w:w="2102"/>
        <w:gridCol w:w="828"/>
        <w:gridCol w:w="663"/>
        <w:gridCol w:w="791"/>
        <w:gridCol w:w="1047"/>
        <w:gridCol w:w="768"/>
        <w:gridCol w:w="8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工序</w:t>
            </w:r>
          </w:p>
        </w:tc>
        <w:tc>
          <w:tcPr>
            <w:tcW w:w="348" w:type="pct"/>
            <w:vMerge w:val="restar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装置</w:t>
            </w:r>
          </w:p>
        </w:tc>
        <w:tc>
          <w:tcPr>
            <w:tcW w:w="279" w:type="pct"/>
            <w:vMerge w:val="restar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污染源</w:t>
            </w:r>
          </w:p>
        </w:tc>
        <w:tc>
          <w:tcPr>
            <w:tcW w:w="276" w:type="pct"/>
            <w:vMerge w:val="restar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污染物</w:t>
            </w:r>
          </w:p>
        </w:tc>
        <w:tc>
          <w:tcPr>
            <w:tcW w:w="1396" w:type="pct"/>
            <w:gridSpan w:val="4"/>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污染物产生</w:t>
            </w:r>
          </w:p>
        </w:tc>
        <w:tc>
          <w:tcPr>
            <w:tcW w:w="1030" w:type="pct"/>
            <w:gridSpan w:val="2"/>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治理措施</w:t>
            </w:r>
          </w:p>
        </w:tc>
        <w:tc>
          <w:tcPr>
            <w:tcW w:w="1149" w:type="pct"/>
            <w:gridSpan w:val="4"/>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污染物排放</w:t>
            </w:r>
          </w:p>
        </w:tc>
        <w:tc>
          <w:tcPr>
            <w:tcW w:w="290" w:type="pct"/>
            <w:vMerge w:val="restar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排放时间d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348"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279"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276"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318" w:type="pc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核算方法</w:t>
            </w:r>
          </w:p>
        </w:tc>
        <w:tc>
          <w:tcPr>
            <w:tcW w:w="434" w:type="pc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废水产生量m</w:t>
            </w:r>
            <w:r>
              <w:rPr>
                <w:rFonts w:ascii="Times New Roman" w:hAnsi="Times New Roman" w:cs="Times New Roman" w:eastAsiaTheme="minorEastAsia"/>
                <w:color w:val="auto"/>
                <w:w w:val="99"/>
                <w:sz w:val="21"/>
                <w:szCs w:val="21"/>
                <w:highlight w:val="none"/>
                <w:vertAlign w:val="superscript"/>
              </w:rPr>
              <w:t>3</w:t>
            </w:r>
          </w:p>
        </w:tc>
        <w:tc>
          <w:tcPr>
            <w:tcW w:w="373" w:type="pc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产生</w:t>
            </w:r>
          </w:p>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浓度mg/L</w:t>
            </w:r>
          </w:p>
        </w:tc>
        <w:tc>
          <w:tcPr>
            <w:tcW w:w="271" w:type="pc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产生量t</w:t>
            </w:r>
          </w:p>
        </w:tc>
        <w:tc>
          <w:tcPr>
            <w:tcW w:w="739" w:type="pc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工艺</w:t>
            </w:r>
          </w:p>
        </w:tc>
        <w:tc>
          <w:tcPr>
            <w:tcW w:w="291" w:type="pc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效率/%</w:t>
            </w:r>
          </w:p>
        </w:tc>
        <w:tc>
          <w:tcPr>
            <w:tcW w:w="233" w:type="pc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核算方法</w:t>
            </w:r>
          </w:p>
        </w:tc>
        <w:tc>
          <w:tcPr>
            <w:tcW w:w="278" w:type="pc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废水排放量m</w:t>
            </w:r>
            <w:r>
              <w:rPr>
                <w:rFonts w:ascii="Times New Roman" w:hAnsi="Times New Roman" w:cs="Times New Roman" w:eastAsiaTheme="minorEastAsia"/>
                <w:color w:val="auto"/>
                <w:w w:val="99"/>
                <w:sz w:val="21"/>
                <w:szCs w:val="21"/>
                <w:highlight w:val="none"/>
                <w:vertAlign w:val="superscript"/>
              </w:rPr>
              <w:t>3</w:t>
            </w:r>
          </w:p>
        </w:tc>
        <w:tc>
          <w:tcPr>
            <w:tcW w:w="368" w:type="pc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排放</w:t>
            </w:r>
          </w:p>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浓度mg/L</w:t>
            </w:r>
          </w:p>
        </w:tc>
        <w:tc>
          <w:tcPr>
            <w:tcW w:w="270" w:type="pc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排放量t</w:t>
            </w:r>
          </w:p>
        </w:tc>
        <w:tc>
          <w:tcPr>
            <w:tcW w:w="290"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4" w:hRule="atLeast"/>
          <w:jc w:val="center"/>
        </w:trPr>
        <w:tc>
          <w:tcPr>
            <w:tcW w:w="232"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钻井</w:t>
            </w:r>
          </w:p>
        </w:tc>
        <w:tc>
          <w:tcPr>
            <w:tcW w:w="348"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冲洗钻台、钻具等设备</w:t>
            </w:r>
          </w:p>
        </w:tc>
        <w:tc>
          <w:tcPr>
            <w:tcW w:w="279"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钻井废水</w:t>
            </w:r>
          </w:p>
        </w:tc>
        <w:tc>
          <w:tcPr>
            <w:tcW w:w="276" w:type="pct"/>
            <w:vAlign w:val="center"/>
          </w:tcPr>
          <w:p>
            <w:pPr>
              <w:widowControl w:val="0"/>
              <w:spacing w:line="320" w:lineRule="exact"/>
              <w:jc w:val="center"/>
              <w:rPr>
                <w:rFonts w:hint="eastAsia" w:ascii="Times New Roman" w:hAnsi="Times New Roman" w:cs="Times New Roman" w:eastAsiaTheme="minorEastAsia"/>
                <w:snapToGrid w:val="0"/>
                <w:color w:val="auto"/>
                <w:w w:val="99"/>
                <w:sz w:val="21"/>
                <w:szCs w:val="21"/>
                <w:highlight w:val="none"/>
                <w:lang w:eastAsia="zh-CN"/>
              </w:rPr>
            </w:pPr>
            <w:r>
              <w:rPr>
                <w:rFonts w:hint="eastAsia" w:ascii="Times New Roman" w:hAnsi="Times New Roman" w:cs="Times New Roman" w:eastAsiaTheme="minorEastAsia"/>
                <w:snapToGrid w:val="0"/>
                <w:color w:val="auto"/>
                <w:w w:val="99"/>
                <w:sz w:val="21"/>
                <w:szCs w:val="21"/>
                <w:highlight w:val="none"/>
                <w:lang w:eastAsia="zh-CN"/>
              </w:rPr>
              <w:t>耗氧量</w:t>
            </w:r>
          </w:p>
        </w:tc>
        <w:tc>
          <w:tcPr>
            <w:tcW w:w="318"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类比法</w:t>
            </w:r>
          </w:p>
        </w:tc>
        <w:tc>
          <w:tcPr>
            <w:tcW w:w="434"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snapToGrid w:val="0"/>
                <w:color w:val="auto"/>
                <w:w w:val="99"/>
                <w:sz w:val="21"/>
                <w:szCs w:val="21"/>
                <w:highlight w:val="none"/>
              </w:rPr>
              <w:t>5680.22</w:t>
            </w:r>
          </w:p>
        </w:tc>
        <w:tc>
          <w:tcPr>
            <w:tcW w:w="373" w:type="pc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2000</w:t>
            </w:r>
          </w:p>
        </w:tc>
        <w:tc>
          <w:tcPr>
            <w:tcW w:w="271" w:type="pc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11.36</w:t>
            </w:r>
          </w:p>
        </w:tc>
        <w:tc>
          <w:tcPr>
            <w:tcW w:w="2102" w:type="dxa"/>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进入井场泥浆槽中，及时拉运至</w:t>
            </w:r>
            <w:r>
              <w:rPr>
                <w:rFonts w:hint="eastAsia" w:ascii="Times New Roman" w:hAnsi="Times New Roman" w:cs="Times New Roman" w:eastAsiaTheme="minorEastAsia"/>
                <w:snapToGrid w:val="0"/>
                <w:color w:val="auto"/>
                <w:w w:val="99"/>
                <w:sz w:val="21"/>
                <w:szCs w:val="21"/>
                <w:highlight w:val="none"/>
              </w:rPr>
              <w:t>大庆油田昆仑集团有限公司环保分公司</w:t>
            </w:r>
            <w:r>
              <w:rPr>
                <w:rFonts w:ascii="Times New Roman" w:hAnsi="Times New Roman" w:cs="Times New Roman" w:eastAsiaTheme="minorEastAsia"/>
                <w:snapToGrid w:val="0"/>
                <w:color w:val="auto"/>
                <w:w w:val="99"/>
                <w:sz w:val="21"/>
                <w:szCs w:val="21"/>
                <w:highlight w:val="none"/>
              </w:rPr>
              <w:t>处理</w:t>
            </w:r>
          </w:p>
        </w:tc>
        <w:tc>
          <w:tcPr>
            <w:tcW w:w="291"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100</w:t>
            </w:r>
          </w:p>
        </w:tc>
        <w:tc>
          <w:tcPr>
            <w:tcW w:w="233"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w:t>
            </w:r>
          </w:p>
        </w:tc>
        <w:tc>
          <w:tcPr>
            <w:tcW w:w="278"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0</w:t>
            </w:r>
          </w:p>
        </w:tc>
        <w:tc>
          <w:tcPr>
            <w:tcW w:w="368"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0</w:t>
            </w:r>
          </w:p>
        </w:tc>
        <w:tc>
          <w:tcPr>
            <w:tcW w:w="270"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0</w:t>
            </w:r>
          </w:p>
        </w:tc>
        <w:tc>
          <w:tcPr>
            <w:tcW w:w="290"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snapToGrid w:val="0"/>
                <w:color w:val="auto"/>
                <w:w w:val="99"/>
                <w:sz w:val="21"/>
                <w:szCs w:val="21"/>
                <w:highlight w:val="none"/>
              </w:rPr>
              <w:t>不排放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348"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279"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276" w:type="pc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SS</w:t>
            </w:r>
          </w:p>
        </w:tc>
        <w:tc>
          <w:tcPr>
            <w:tcW w:w="318"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434"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373" w:type="pc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1500</w:t>
            </w:r>
          </w:p>
        </w:tc>
        <w:tc>
          <w:tcPr>
            <w:tcW w:w="271" w:type="pc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8.52</w:t>
            </w:r>
          </w:p>
        </w:tc>
        <w:tc>
          <w:tcPr>
            <w:tcW w:w="739"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291"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233"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278"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368"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270"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290"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32"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348"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生活</w:t>
            </w:r>
          </w:p>
        </w:tc>
        <w:tc>
          <w:tcPr>
            <w:tcW w:w="279"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生活污水</w:t>
            </w:r>
          </w:p>
        </w:tc>
        <w:tc>
          <w:tcPr>
            <w:tcW w:w="276" w:type="pct"/>
            <w:vAlign w:val="center"/>
          </w:tcPr>
          <w:p>
            <w:pPr>
              <w:widowControl w:val="0"/>
              <w:spacing w:line="320" w:lineRule="exact"/>
              <w:jc w:val="center"/>
              <w:rPr>
                <w:rFonts w:hint="eastAsia" w:ascii="Times New Roman" w:hAnsi="Times New Roman" w:cs="Times New Roman" w:eastAsiaTheme="minorEastAsia"/>
                <w:snapToGrid w:val="0"/>
                <w:color w:val="auto"/>
                <w:w w:val="99"/>
                <w:sz w:val="21"/>
                <w:szCs w:val="21"/>
                <w:highlight w:val="none"/>
                <w:lang w:eastAsia="zh-CN"/>
              </w:rPr>
            </w:pPr>
            <w:r>
              <w:rPr>
                <w:rFonts w:hint="eastAsia" w:ascii="Times New Roman" w:hAnsi="Times New Roman" w:cs="Times New Roman" w:eastAsiaTheme="minorEastAsia"/>
                <w:snapToGrid w:val="0"/>
                <w:color w:val="auto"/>
                <w:w w:val="99"/>
                <w:sz w:val="21"/>
                <w:szCs w:val="21"/>
                <w:highlight w:val="none"/>
                <w:lang w:eastAsia="zh-CN"/>
              </w:rPr>
              <w:t>耗氧量</w:t>
            </w:r>
          </w:p>
        </w:tc>
        <w:tc>
          <w:tcPr>
            <w:tcW w:w="318"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434"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color w:val="auto"/>
                <w:w w:val="99"/>
                <w:kern w:val="21"/>
                <w:highlight w:val="none"/>
                <w:lang w:val="en-US" w:eastAsia="zh-CN"/>
              </w:rPr>
              <w:t>788</w:t>
            </w:r>
            <w:r>
              <w:rPr>
                <w:rFonts w:hint="eastAsia" w:ascii="Times New Roman" w:hAnsi="Times New Roman" w:cs="Times New Roman" w:eastAsiaTheme="minorEastAsia"/>
                <w:color w:val="auto"/>
                <w:w w:val="99"/>
                <w:kern w:val="21"/>
                <w:highlight w:val="none"/>
              </w:rPr>
              <w:t>.48</w:t>
            </w:r>
          </w:p>
        </w:tc>
        <w:tc>
          <w:tcPr>
            <w:tcW w:w="373" w:type="pc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300</w:t>
            </w:r>
          </w:p>
        </w:tc>
        <w:tc>
          <w:tcPr>
            <w:tcW w:w="271" w:type="pct"/>
            <w:vAlign w:val="center"/>
          </w:tcPr>
          <w:p>
            <w:pPr>
              <w:widowControl w:val="0"/>
              <w:spacing w:line="320" w:lineRule="exact"/>
              <w:jc w:val="center"/>
              <w:rPr>
                <w:rFonts w:hint="eastAsia" w:ascii="Times New Roman" w:hAnsi="Times New Roman" w:cs="Times New Roman" w:eastAsiaTheme="minorEastAsia"/>
                <w:snapToGrid w:val="0"/>
                <w:color w:val="auto"/>
                <w:w w:val="99"/>
                <w:sz w:val="21"/>
                <w:szCs w:val="21"/>
                <w:highlight w:val="none"/>
                <w:lang w:val="en-US" w:eastAsia="zh-CN"/>
              </w:rPr>
            </w:pPr>
            <w:r>
              <w:rPr>
                <w:rFonts w:hint="default" w:ascii="Times New Roman" w:hAnsi="Times New Roman" w:cs="Times New Roman" w:eastAsiaTheme="minorEastAsia"/>
                <w:snapToGrid w:val="0"/>
                <w:color w:val="auto"/>
                <w:w w:val="99"/>
                <w:sz w:val="21"/>
                <w:szCs w:val="21"/>
                <w:highlight w:val="none"/>
                <w:lang w:val="en-US"/>
              </w:rPr>
              <w:t>0.2</w:t>
            </w:r>
            <w:r>
              <w:rPr>
                <w:rFonts w:hint="eastAsia" w:ascii="Times New Roman" w:hAnsi="Times New Roman" w:cs="Times New Roman" w:eastAsiaTheme="minorEastAsia"/>
                <w:snapToGrid w:val="0"/>
                <w:color w:val="auto"/>
                <w:w w:val="99"/>
                <w:sz w:val="21"/>
                <w:szCs w:val="21"/>
                <w:highlight w:val="none"/>
                <w:lang w:val="en-US" w:eastAsia="zh-CN"/>
              </w:rPr>
              <w:t>4</w:t>
            </w:r>
          </w:p>
        </w:tc>
        <w:tc>
          <w:tcPr>
            <w:tcW w:w="2102" w:type="dxa"/>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snapToGrid w:val="0"/>
                <w:color w:val="auto"/>
                <w:w w:val="99"/>
                <w:sz w:val="21"/>
                <w:szCs w:val="21"/>
                <w:highlight w:val="none"/>
              </w:rPr>
              <w:t>排入施工井场内临时设置的防渗旱厕，定期清掏外运堆肥处理，施工结束后进行卫生处理，场地进行平整。</w:t>
            </w:r>
          </w:p>
        </w:tc>
        <w:tc>
          <w:tcPr>
            <w:tcW w:w="291"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100</w:t>
            </w:r>
          </w:p>
        </w:tc>
        <w:tc>
          <w:tcPr>
            <w:tcW w:w="233"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278"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0</w:t>
            </w:r>
          </w:p>
        </w:tc>
        <w:tc>
          <w:tcPr>
            <w:tcW w:w="368"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0</w:t>
            </w:r>
          </w:p>
        </w:tc>
        <w:tc>
          <w:tcPr>
            <w:tcW w:w="270"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0</w:t>
            </w:r>
          </w:p>
        </w:tc>
        <w:tc>
          <w:tcPr>
            <w:tcW w:w="290"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snapToGrid w:val="0"/>
                <w:color w:val="auto"/>
                <w:w w:val="99"/>
                <w:sz w:val="21"/>
                <w:szCs w:val="21"/>
                <w:highlight w:val="none"/>
              </w:rPr>
              <w:t>不排放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348"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279"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276" w:type="pc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氨氮</w:t>
            </w:r>
          </w:p>
        </w:tc>
        <w:tc>
          <w:tcPr>
            <w:tcW w:w="318"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434"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373" w:type="pc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30</w:t>
            </w:r>
          </w:p>
        </w:tc>
        <w:tc>
          <w:tcPr>
            <w:tcW w:w="271" w:type="pct"/>
            <w:vAlign w:val="center"/>
          </w:tcPr>
          <w:p>
            <w:pPr>
              <w:adjustRightInd w:val="0"/>
              <w:snapToGrid w:val="0"/>
              <w:spacing w:line="320" w:lineRule="exact"/>
              <w:jc w:val="center"/>
              <w:rPr>
                <w:rFonts w:hint="default" w:ascii="Times New Roman" w:hAnsi="Times New Roman" w:cs="Times New Roman" w:eastAsiaTheme="minorEastAsia"/>
                <w:color w:val="auto"/>
                <w:w w:val="99"/>
                <w:sz w:val="21"/>
                <w:szCs w:val="21"/>
                <w:highlight w:val="none"/>
                <w:lang w:val="en-US"/>
              </w:rPr>
            </w:pPr>
            <w:r>
              <w:rPr>
                <w:rFonts w:hint="default" w:ascii="Times New Roman" w:hAnsi="Times New Roman" w:cs="Times New Roman" w:eastAsiaTheme="minorEastAsia"/>
                <w:snapToGrid w:val="0"/>
                <w:color w:val="auto"/>
                <w:w w:val="99"/>
                <w:sz w:val="21"/>
                <w:szCs w:val="21"/>
                <w:highlight w:val="none"/>
                <w:lang w:val="en-US"/>
              </w:rPr>
              <w:t>0.</w:t>
            </w:r>
            <w:r>
              <w:rPr>
                <w:rFonts w:hint="eastAsia" w:ascii="Times New Roman" w:hAnsi="Times New Roman" w:cs="Times New Roman" w:eastAsiaTheme="minorEastAsia"/>
                <w:snapToGrid w:val="0"/>
                <w:color w:val="auto"/>
                <w:w w:val="99"/>
                <w:sz w:val="21"/>
                <w:szCs w:val="21"/>
                <w:highlight w:val="none"/>
                <w:lang w:val="en-US" w:eastAsia="zh-CN"/>
              </w:rPr>
              <w:t>0</w:t>
            </w:r>
            <w:r>
              <w:rPr>
                <w:rFonts w:hint="default" w:ascii="Times New Roman" w:hAnsi="Times New Roman" w:cs="Times New Roman" w:eastAsiaTheme="minorEastAsia"/>
                <w:snapToGrid w:val="0"/>
                <w:color w:val="auto"/>
                <w:w w:val="99"/>
                <w:sz w:val="21"/>
                <w:szCs w:val="21"/>
                <w:highlight w:val="none"/>
                <w:lang w:val="en-US"/>
              </w:rPr>
              <w:t>2</w:t>
            </w:r>
            <w:r>
              <w:rPr>
                <w:rFonts w:hint="eastAsia" w:ascii="Times New Roman" w:hAnsi="Times New Roman" w:cs="Times New Roman" w:eastAsiaTheme="minorEastAsia"/>
                <w:snapToGrid w:val="0"/>
                <w:color w:val="auto"/>
                <w:w w:val="99"/>
                <w:sz w:val="21"/>
                <w:szCs w:val="21"/>
                <w:highlight w:val="none"/>
                <w:lang w:val="en-US" w:eastAsia="zh-CN"/>
              </w:rPr>
              <w:t>4</w:t>
            </w:r>
          </w:p>
        </w:tc>
        <w:tc>
          <w:tcPr>
            <w:tcW w:w="739"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291"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233"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278"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368"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270"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290"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r>
    </w:tbl>
    <w:p>
      <w:pPr>
        <w:widowControl w:val="0"/>
        <w:spacing w:line="500" w:lineRule="exact"/>
        <w:ind w:firstLine="474" w:firstLineChars="200"/>
        <w:rPr>
          <w:rFonts w:ascii="Times New Roman" w:hAnsi="Times New Roman" w:cs="Times New Roman" w:eastAsiaTheme="minorEastAsia"/>
          <w:color w:val="auto"/>
          <w:w w:val="99"/>
          <w:kern w:val="21"/>
          <w:highlight w:val="none"/>
        </w:rPr>
      </w:pPr>
    </w:p>
    <w:p>
      <w:pPr>
        <w:widowControl w:val="0"/>
        <w:spacing w:line="500" w:lineRule="exact"/>
        <w:ind w:firstLine="474" w:firstLineChars="200"/>
        <w:rPr>
          <w:rFonts w:ascii="Times New Roman" w:hAnsi="Times New Roman" w:cs="Times New Roman" w:eastAsiaTheme="minorEastAsia"/>
          <w:color w:val="auto"/>
          <w:w w:val="99"/>
          <w:kern w:val="21"/>
          <w:highlight w:val="none"/>
        </w:rPr>
      </w:pPr>
    </w:p>
    <w:p>
      <w:pPr>
        <w:widowControl w:val="0"/>
        <w:spacing w:line="500" w:lineRule="exact"/>
        <w:ind w:firstLine="474" w:firstLineChars="200"/>
        <w:rPr>
          <w:rFonts w:ascii="Times New Roman" w:hAnsi="Times New Roman" w:cs="Times New Roman" w:eastAsiaTheme="minorEastAsia"/>
          <w:color w:val="auto"/>
          <w:w w:val="99"/>
          <w:kern w:val="21"/>
          <w:highlight w:val="none"/>
        </w:rPr>
      </w:pPr>
    </w:p>
    <w:p>
      <w:pPr>
        <w:widowControl w:val="0"/>
        <w:spacing w:line="500" w:lineRule="exact"/>
        <w:ind w:firstLine="474" w:firstLineChars="200"/>
        <w:rPr>
          <w:rFonts w:ascii="Times New Roman" w:hAnsi="Times New Roman" w:cs="Times New Roman" w:eastAsiaTheme="minorEastAsia"/>
          <w:color w:val="auto"/>
          <w:w w:val="99"/>
          <w:kern w:val="21"/>
          <w:highlight w:val="none"/>
        </w:rPr>
      </w:pPr>
    </w:p>
    <w:p>
      <w:pPr>
        <w:widowControl w:val="0"/>
        <w:spacing w:line="500" w:lineRule="exact"/>
        <w:ind w:firstLine="474" w:firstLineChars="200"/>
        <w:rPr>
          <w:rFonts w:ascii="Times New Roman" w:hAnsi="Times New Roman" w:cs="Times New Roman" w:eastAsiaTheme="minorEastAsia"/>
          <w:color w:val="auto"/>
          <w:w w:val="99"/>
          <w:kern w:val="21"/>
          <w:highlight w:val="none"/>
        </w:rPr>
      </w:pPr>
    </w:p>
    <w:p>
      <w:pPr>
        <w:widowControl w:val="0"/>
        <w:spacing w:line="500" w:lineRule="exact"/>
        <w:ind w:firstLine="474" w:firstLineChars="200"/>
        <w:rPr>
          <w:rFonts w:ascii="Times New Roman" w:hAnsi="Times New Roman" w:cs="Times New Roman" w:eastAsiaTheme="minorEastAsia"/>
          <w:color w:val="auto"/>
          <w:w w:val="99"/>
          <w:kern w:val="21"/>
          <w:highlight w:val="none"/>
        </w:rPr>
      </w:pPr>
    </w:p>
    <w:p>
      <w:pPr>
        <w:widowControl w:val="0"/>
        <w:spacing w:line="500" w:lineRule="exact"/>
        <w:ind w:firstLine="474" w:firstLineChars="200"/>
        <w:rPr>
          <w:rFonts w:ascii="Times New Roman" w:hAnsi="Times New Roman" w:cs="Times New Roman" w:eastAsiaTheme="minorEastAsia"/>
          <w:color w:val="auto"/>
          <w:w w:val="99"/>
          <w:kern w:val="21"/>
          <w:highlight w:val="none"/>
        </w:rPr>
        <w:sectPr>
          <w:pgSz w:w="16840" w:h="11907" w:orient="landscape"/>
          <w:pgMar w:top="1418" w:right="1418" w:bottom="1418" w:left="1418" w:header="851" w:footer="992" w:gutter="0"/>
          <w:pgBorders>
            <w:top w:val="none" w:sz="0" w:space="0"/>
            <w:left w:val="none" w:sz="0" w:space="0"/>
            <w:bottom w:val="none" w:sz="0" w:space="0"/>
            <w:right w:val="none" w:sz="0" w:space="0"/>
          </w:pgBorders>
          <w:cols w:space="720" w:num="1"/>
          <w:docGrid w:type="linesAndChars" w:linePitch="326" w:charSpace="0"/>
        </w:sectPr>
      </w:pPr>
    </w:p>
    <w:p>
      <w:pPr>
        <w:pStyle w:val="7"/>
        <w:keepNext w:val="0"/>
        <w:keepLines w:val="0"/>
        <w:widowControl w:val="0"/>
        <w:rPr>
          <w:b/>
          <w:color w:val="auto"/>
          <w:w w:val="99"/>
          <w:kern w:val="2"/>
          <w:sz w:val="24"/>
          <w:szCs w:val="24"/>
          <w:highlight w:val="none"/>
        </w:rPr>
      </w:pPr>
      <w:bookmarkStart w:id="561" w:name="_Toc69690842"/>
      <w:bookmarkStart w:id="562" w:name="_Toc67523624"/>
      <w:bookmarkStart w:id="563" w:name="_Toc77667321"/>
      <w:bookmarkStart w:id="564" w:name="_Toc74812109"/>
      <w:bookmarkStart w:id="565" w:name="_Toc71371977"/>
      <w:bookmarkStart w:id="566" w:name="_Toc80105177"/>
      <w:bookmarkStart w:id="567" w:name="_Toc74812348"/>
      <w:bookmarkStart w:id="568" w:name="_Toc61597252"/>
      <w:r>
        <w:rPr>
          <w:b/>
          <w:color w:val="auto"/>
          <w:w w:val="99"/>
          <w:kern w:val="2"/>
          <w:sz w:val="24"/>
          <w:szCs w:val="24"/>
          <w:highlight w:val="none"/>
        </w:rPr>
        <w:t>3.1</w:t>
      </w:r>
      <w:r>
        <w:rPr>
          <w:rFonts w:hint="eastAsia"/>
          <w:b/>
          <w:color w:val="auto"/>
          <w:w w:val="99"/>
          <w:kern w:val="2"/>
          <w:sz w:val="24"/>
          <w:szCs w:val="24"/>
          <w:highlight w:val="none"/>
          <w:lang w:val="en-US" w:eastAsia="zh-CN"/>
        </w:rPr>
        <w:t>2</w:t>
      </w:r>
      <w:r>
        <w:rPr>
          <w:b/>
          <w:color w:val="auto"/>
          <w:w w:val="99"/>
          <w:kern w:val="2"/>
          <w:sz w:val="24"/>
          <w:szCs w:val="24"/>
          <w:highlight w:val="none"/>
        </w:rPr>
        <w:t>.3噪声</w:t>
      </w:r>
      <w:bookmarkEnd w:id="561"/>
      <w:bookmarkEnd w:id="562"/>
      <w:bookmarkEnd w:id="563"/>
      <w:bookmarkEnd w:id="564"/>
      <w:bookmarkEnd w:id="565"/>
      <w:bookmarkEnd w:id="566"/>
      <w:bookmarkEnd w:id="567"/>
      <w:bookmarkEnd w:id="568"/>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钻前准备工作中产生的污染及危害主要是重型车辆沿途产生的噪声，钻井过程中产生的污染及危害主要是钻机振动产生的噪声污染。施工期噪声源主要是钻井挖掘机、推土机、大型钻机等机械噪声，声源强度70～90dB(A)，油田开发期噪声影响较明显，流动声源亦较多。施工期噪声源详见表</w:t>
      </w:r>
      <w:r>
        <w:rPr>
          <w:rFonts w:ascii="Times New Roman" w:hAnsi="Times New Roman" w:cs="Times New Roman" w:eastAsiaTheme="minorEastAsia"/>
          <w:color w:val="auto"/>
          <w:w w:val="99"/>
          <w:highlight w:val="none"/>
        </w:rPr>
        <w:t>3.1</w:t>
      </w:r>
      <w:r>
        <w:rPr>
          <w:rFonts w:hint="eastAsia" w:ascii="Times New Roman" w:hAnsi="Times New Roman" w:cs="Times New Roman" w:eastAsiaTheme="minorEastAsia"/>
          <w:color w:val="auto"/>
          <w:w w:val="99"/>
          <w:highlight w:val="none"/>
          <w:lang w:val="en-US" w:eastAsia="zh-CN"/>
        </w:rPr>
        <w:t>2</w:t>
      </w:r>
      <w:r>
        <w:rPr>
          <w:rFonts w:ascii="Times New Roman" w:hAnsi="Times New Roman" w:cs="Times New Roman" w:eastAsiaTheme="minorEastAsia"/>
          <w:color w:val="auto"/>
          <w:w w:val="99"/>
          <w:highlight w:val="none"/>
        </w:rPr>
        <w:t>-4</w:t>
      </w:r>
      <w:r>
        <w:rPr>
          <w:rFonts w:ascii="Times New Roman" w:hAnsi="Times New Roman" w:cs="Times New Roman" w:eastAsiaTheme="minorEastAsia"/>
          <w:color w:val="auto"/>
          <w:w w:val="99"/>
          <w:kern w:val="2"/>
          <w:szCs w:val="20"/>
          <w:highlight w:val="none"/>
        </w:rPr>
        <w:t>。</w:t>
      </w:r>
    </w:p>
    <w:p>
      <w:pPr>
        <w:widowControl w:val="0"/>
        <w:spacing w:line="500" w:lineRule="exact"/>
        <w:ind w:firstLine="474" w:firstLineChars="200"/>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
          <w:szCs w:val="20"/>
          <w:highlight w:val="none"/>
        </w:rPr>
        <w:t>表</w:t>
      </w:r>
      <w:r>
        <w:rPr>
          <w:rFonts w:ascii="Times New Roman" w:hAnsi="Times New Roman" w:cs="Times New Roman" w:eastAsiaTheme="minorEastAsia"/>
          <w:b/>
          <w:bCs/>
          <w:color w:val="auto"/>
          <w:w w:val="99"/>
          <w:highlight w:val="none"/>
        </w:rPr>
        <w:t>3.1</w:t>
      </w:r>
      <w:r>
        <w:rPr>
          <w:rFonts w:hint="eastAsia" w:ascii="Times New Roman" w:hAnsi="Times New Roman" w:cs="Times New Roman" w:eastAsiaTheme="minorEastAsia"/>
          <w:b/>
          <w:bCs/>
          <w:color w:val="auto"/>
          <w:w w:val="99"/>
          <w:highlight w:val="none"/>
          <w:lang w:val="en-US" w:eastAsia="zh-CN"/>
        </w:rPr>
        <w:t>2</w:t>
      </w:r>
      <w:r>
        <w:rPr>
          <w:rFonts w:ascii="Times New Roman" w:hAnsi="Times New Roman" w:cs="Times New Roman" w:eastAsiaTheme="minorEastAsia"/>
          <w:b/>
          <w:bCs/>
          <w:color w:val="auto"/>
          <w:w w:val="99"/>
          <w:highlight w:val="none"/>
        </w:rPr>
        <w:t>-4</w:t>
      </w:r>
      <w:r>
        <w:rPr>
          <w:rFonts w:ascii="Times New Roman" w:hAnsi="Times New Roman" w:cs="Times New Roman" w:eastAsiaTheme="minorEastAsia"/>
          <w:b/>
          <w:bCs/>
          <w:color w:val="auto"/>
          <w:w w:val="99"/>
          <w:kern w:val="21"/>
          <w:highlight w:val="none"/>
        </w:rPr>
        <w:t xml:space="preserve">             本项目施工期噪声源统计表</w:t>
      </w:r>
    </w:p>
    <w:tbl>
      <w:tblPr>
        <w:tblStyle w:val="8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52"/>
        <w:gridCol w:w="3667"/>
        <w:gridCol w:w="36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1"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设备名称</w:t>
            </w:r>
          </w:p>
        </w:tc>
        <w:tc>
          <w:tcPr>
            <w:tcW w:w="1974"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声源性质</w:t>
            </w:r>
          </w:p>
        </w:tc>
        <w:tc>
          <w:tcPr>
            <w:tcW w:w="1975"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噪声值dB(A)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1"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挖掘机</w:t>
            </w:r>
          </w:p>
        </w:tc>
        <w:tc>
          <w:tcPr>
            <w:tcW w:w="1974"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非连续稳态声源</w:t>
            </w:r>
          </w:p>
        </w:tc>
        <w:tc>
          <w:tcPr>
            <w:tcW w:w="1975"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80～85dB(A)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1"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推土机</w:t>
            </w:r>
          </w:p>
        </w:tc>
        <w:tc>
          <w:tcPr>
            <w:tcW w:w="1974"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非连续稳态声源</w:t>
            </w:r>
          </w:p>
        </w:tc>
        <w:tc>
          <w:tcPr>
            <w:tcW w:w="1975"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80～85dB(A)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1"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运输车</w:t>
            </w:r>
          </w:p>
        </w:tc>
        <w:tc>
          <w:tcPr>
            <w:tcW w:w="1974"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非连续稳态声源</w:t>
            </w:r>
          </w:p>
        </w:tc>
        <w:tc>
          <w:tcPr>
            <w:tcW w:w="1975"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80～85dB(A)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1"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钻机</w:t>
            </w:r>
          </w:p>
        </w:tc>
        <w:tc>
          <w:tcPr>
            <w:tcW w:w="1974"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连续稳态声源</w:t>
            </w:r>
          </w:p>
        </w:tc>
        <w:tc>
          <w:tcPr>
            <w:tcW w:w="1975"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80～90dB(A)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1"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泥浆泵</w:t>
            </w:r>
          </w:p>
        </w:tc>
        <w:tc>
          <w:tcPr>
            <w:tcW w:w="1974"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连续稳态声源</w:t>
            </w:r>
          </w:p>
        </w:tc>
        <w:tc>
          <w:tcPr>
            <w:tcW w:w="1975"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80～85dB(A)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1"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空压机</w:t>
            </w:r>
          </w:p>
        </w:tc>
        <w:tc>
          <w:tcPr>
            <w:tcW w:w="1974"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非连续稳态声源</w:t>
            </w:r>
          </w:p>
        </w:tc>
        <w:tc>
          <w:tcPr>
            <w:tcW w:w="1975"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75～80dB(A)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1"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振动筛</w:t>
            </w:r>
          </w:p>
        </w:tc>
        <w:tc>
          <w:tcPr>
            <w:tcW w:w="1974"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连续稳态声源</w:t>
            </w:r>
          </w:p>
        </w:tc>
        <w:tc>
          <w:tcPr>
            <w:tcW w:w="1975"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70～75dB(A)</w:t>
            </w:r>
          </w:p>
        </w:tc>
      </w:tr>
    </w:tbl>
    <w:p>
      <w:pPr>
        <w:widowControl w:val="0"/>
        <w:spacing w:line="500" w:lineRule="exact"/>
        <w:ind w:firstLine="474" w:firstLineChars="200"/>
        <w:rPr>
          <w:rFonts w:ascii="Times New Roman" w:hAnsi="Times New Roman" w:cs="Times New Roman" w:eastAsiaTheme="minorEastAsia"/>
          <w:color w:val="auto"/>
          <w:w w:val="99"/>
          <w:szCs w:val="16"/>
          <w:highlight w:val="none"/>
        </w:rPr>
      </w:pPr>
      <w:r>
        <w:rPr>
          <w:rFonts w:ascii="Times New Roman" w:hAnsi="Times New Roman" w:cs="Times New Roman" w:eastAsiaTheme="minorEastAsia"/>
          <w:color w:val="auto"/>
          <w:w w:val="99"/>
          <w:szCs w:val="16"/>
          <w:highlight w:val="none"/>
        </w:rPr>
        <w:t>本项目噪声污染源源强核算结果见表</w:t>
      </w:r>
      <w:r>
        <w:rPr>
          <w:rFonts w:ascii="Times New Roman" w:hAnsi="Times New Roman" w:cs="Times New Roman" w:eastAsiaTheme="minorEastAsia"/>
          <w:color w:val="auto"/>
          <w:w w:val="99"/>
          <w:highlight w:val="none"/>
        </w:rPr>
        <w:t>3.1</w:t>
      </w:r>
      <w:r>
        <w:rPr>
          <w:rFonts w:hint="eastAsia" w:ascii="Times New Roman" w:hAnsi="Times New Roman" w:cs="Times New Roman" w:eastAsiaTheme="minorEastAsia"/>
          <w:color w:val="auto"/>
          <w:w w:val="99"/>
          <w:highlight w:val="none"/>
          <w:lang w:val="en-US" w:eastAsia="zh-CN"/>
        </w:rPr>
        <w:t>2</w:t>
      </w:r>
      <w:r>
        <w:rPr>
          <w:rFonts w:ascii="Times New Roman" w:hAnsi="Times New Roman" w:cs="Times New Roman" w:eastAsiaTheme="minorEastAsia"/>
          <w:color w:val="auto"/>
          <w:w w:val="99"/>
          <w:highlight w:val="none"/>
        </w:rPr>
        <w:t>-5</w:t>
      </w:r>
      <w:r>
        <w:rPr>
          <w:rFonts w:ascii="Times New Roman" w:hAnsi="Times New Roman" w:cs="Times New Roman" w:eastAsiaTheme="minorEastAsia"/>
          <w:color w:val="auto"/>
          <w:w w:val="99"/>
          <w:szCs w:val="16"/>
          <w:highlight w:val="none"/>
        </w:rPr>
        <w:t>。</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b/>
          <w:bCs/>
          <w:color w:val="auto"/>
          <w:w w:val="99"/>
          <w:kern w:val="2"/>
          <w:szCs w:val="20"/>
          <w:highlight w:val="none"/>
        </w:rPr>
        <w:t>表</w:t>
      </w:r>
      <w:r>
        <w:rPr>
          <w:rFonts w:ascii="Times New Roman" w:hAnsi="Times New Roman" w:cs="Times New Roman" w:eastAsiaTheme="minorEastAsia"/>
          <w:b/>
          <w:bCs/>
          <w:color w:val="auto"/>
          <w:w w:val="99"/>
          <w:highlight w:val="none"/>
        </w:rPr>
        <w:t>3.1</w:t>
      </w:r>
      <w:r>
        <w:rPr>
          <w:rFonts w:hint="eastAsia" w:ascii="Times New Roman" w:hAnsi="Times New Roman" w:cs="Times New Roman" w:eastAsiaTheme="minorEastAsia"/>
          <w:b/>
          <w:bCs/>
          <w:color w:val="auto"/>
          <w:w w:val="99"/>
          <w:highlight w:val="none"/>
          <w:lang w:val="en-US" w:eastAsia="zh-CN"/>
        </w:rPr>
        <w:t>2</w:t>
      </w:r>
      <w:r>
        <w:rPr>
          <w:rFonts w:ascii="Times New Roman" w:hAnsi="Times New Roman" w:cs="Times New Roman" w:eastAsiaTheme="minorEastAsia"/>
          <w:b/>
          <w:bCs/>
          <w:color w:val="auto"/>
          <w:w w:val="99"/>
          <w:highlight w:val="none"/>
        </w:rPr>
        <w:t>-5</w:t>
      </w:r>
      <w:r>
        <w:rPr>
          <w:rFonts w:ascii="Times New Roman" w:hAnsi="Times New Roman" w:cs="Times New Roman" w:eastAsiaTheme="minorEastAsia"/>
          <w:b/>
          <w:bCs/>
          <w:color w:val="auto"/>
          <w:w w:val="99"/>
          <w:kern w:val="2"/>
          <w:szCs w:val="20"/>
          <w:highlight w:val="none"/>
        </w:rPr>
        <w:t xml:space="preserve">        噪声污染源源强核算结果及相关参数一览表</w:t>
      </w:r>
    </w:p>
    <w:tbl>
      <w:tblPr>
        <w:tblStyle w:val="8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871"/>
        <w:gridCol w:w="1016"/>
        <w:gridCol w:w="869"/>
        <w:gridCol w:w="726"/>
        <w:gridCol w:w="758"/>
        <w:gridCol w:w="1127"/>
        <w:gridCol w:w="726"/>
        <w:gridCol w:w="869"/>
        <w:gridCol w:w="874"/>
        <w:gridCol w:w="7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restar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工序</w:t>
            </w:r>
          </w:p>
        </w:tc>
        <w:tc>
          <w:tcPr>
            <w:tcW w:w="469" w:type="pct"/>
            <w:vMerge w:val="restar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装置</w:t>
            </w:r>
          </w:p>
        </w:tc>
        <w:tc>
          <w:tcPr>
            <w:tcW w:w="547" w:type="pct"/>
            <w:vMerge w:val="restar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噪声源</w:t>
            </w:r>
          </w:p>
        </w:tc>
        <w:tc>
          <w:tcPr>
            <w:tcW w:w="468" w:type="pct"/>
            <w:vMerge w:val="restar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声源类型（频发、偶发等）</w:t>
            </w:r>
          </w:p>
        </w:tc>
        <w:tc>
          <w:tcPr>
            <w:tcW w:w="799" w:type="pct"/>
            <w:gridSpan w:val="2"/>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噪声源强</w:t>
            </w:r>
          </w:p>
        </w:tc>
        <w:tc>
          <w:tcPr>
            <w:tcW w:w="998" w:type="pct"/>
            <w:gridSpan w:val="2"/>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降噪措施</w:t>
            </w:r>
          </w:p>
        </w:tc>
        <w:tc>
          <w:tcPr>
            <w:tcW w:w="938" w:type="pct"/>
            <w:gridSpan w:val="2"/>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噪声值排放</w:t>
            </w:r>
          </w:p>
        </w:tc>
        <w:tc>
          <w:tcPr>
            <w:tcW w:w="390" w:type="pct"/>
            <w:vMerge w:val="restar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持续时间/d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69"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547"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68"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39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核算方法</w:t>
            </w:r>
          </w:p>
        </w:tc>
        <w:tc>
          <w:tcPr>
            <w:tcW w:w="40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噪声值/dB（A）</w:t>
            </w:r>
          </w:p>
        </w:tc>
        <w:tc>
          <w:tcPr>
            <w:tcW w:w="607"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工艺</w:t>
            </w:r>
          </w:p>
        </w:tc>
        <w:tc>
          <w:tcPr>
            <w:tcW w:w="39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降噪效果</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核算方法</w:t>
            </w:r>
          </w:p>
        </w:tc>
        <w:tc>
          <w:tcPr>
            <w:tcW w:w="469"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噪声值/dB（A）</w:t>
            </w:r>
          </w:p>
        </w:tc>
        <w:tc>
          <w:tcPr>
            <w:tcW w:w="390"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restar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井场平整及设备安装</w:t>
            </w:r>
          </w:p>
        </w:tc>
        <w:tc>
          <w:tcPr>
            <w:tcW w:w="469" w:type="pct"/>
            <w:vMerge w:val="restar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施工机械</w:t>
            </w:r>
          </w:p>
        </w:tc>
        <w:tc>
          <w:tcPr>
            <w:tcW w:w="547"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挖掘机</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偶发</w:t>
            </w:r>
          </w:p>
        </w:tc>
        <w:tc>
          <w:tcPr>
            <w:tcW w:w="391" w:type="pct"/>
            <w:vMerge w:val="restar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类比法</w:t>
            </w:r>
          </w:p>
        </w:tc>
        <w:tc>
          <w:tcPr>
            <w:tcW w:w="40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80~85</w:t>
            </w:r>
          </w:p>
        </w:tc>
        <w:tc>
          <w:tcPr>
            <w:tcW w:w="607"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w:t>
            </w:r>
          </w:p>
        </w:tc>
        <w:tc>
          <w:tcPr>
            <w:tcW w:w="39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类比法</w:t>
            </w:r>
          </w:p>
        </w:tc>
        <w:tc>
          <w:tcPr>
            <w:tcW w:w="469"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80~85</w:t>
            </w:r>
          </w:p>
        </w:tc>
        <w:tc>
          <w:tcPr>
            <w:tcW w:w="390" w:type="pct"/>
            <w:vMerge w:val="restar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69"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547"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推土机</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偶发</w:t>
            </w:r>
          </w:p>
        </w:tc>
        <w:tc>
          <w:tcPr>
            <w:tcW w:w="391"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0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80~85</w:t>
            </w:r>
          </w:p>
        </w:tc>
        <w:tc>
          <w:tcPr>
            <w:tcW w:w="607"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w:t>
            </w:r>
          </w:p>
        </w:tc>
        <w:tc>
          <w:tcPr>
            <w:tcW w:w="39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类比法</w:t>
            </w:r>
          </w:p>
        </w:tc>
        <w:tc>
          <w:tcPr>
            <w:tcW w:w="469"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80~85</w:t>
            </w:r>
          </w:p>
        </w:tc>
        <w:tc>
          <w:tcPr>
            <w:tcW w:w="390" w:type="pct"/>
            <w:vMerge w:val="continue"/>
            <w:vAlign w:val="center"/>
          </w:tcPr>
          <w:p>
            <w:pPr>
              <w:widowControl w:val="0"/>
              <w:adjustRightInd w:val="0"/>
              <w:spacing w:line="360" w:lineRule="exact"/>
              <w:ind w:firstLine="482"/>
              <w:jc w:val="center"/>
              <w:rPr>
                <w:rFonts w:ascii="Times New Roman" w:hAnsi="Times New Roman" w:cs="Times New Roman" w:eastAsiaTheme="minorEastAsia"/>
                <w:color w:val="auto"/>
                <w:w w:val="99"/>
                <w:kern w:val="2"/>
                <w:sz w:val="20"/>
                <w:szCs w:val="15"/>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69"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547"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运输车</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偶发</w:t>
            </w:r>
          </w:p>
        </w:tc>
        <w:tc>
          <w:tcPr>
            <w:tcW w:w="391"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0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80~85</w:t>
            </w:r>
          </w:p>
        </w:tc>
        <w:tc>
          <w:tcPr>
            <w:tcW w:w="607"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w:t>
            </w:r>
          </w:p>
        </w:tc>
        <w:tc>
          <w:tcPr>
            <w:tcW w:w="39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类比法</w:t>
            </w:r>
          </w:p>
        </w:tc>
        <w:tc>
          <w:tcPr>
            <w:tcW w:w="469"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80~85</w:t>
            </w:r>
          </w:p>
        </w:tc>
        <w:tc>
          <w:tcPr>
            <w:tcW w:w="390" w:type="pct"/>
            <w:vMerge w:val="continue"/>
            <w:vAlign w:val="center"/>
          </w:tcPr>
          <w:p>
            <w:pPr>
              <w:widowControl w:val="0"/>
              <w:adjustRightInd w:val="0"/>
              <w:spacing w:line="360" w:lineRule="exact"/>
              <w:ind w:firstLine="482"/>
              <w:jc w:val="center"/>
              <w:rPr>
                <w:rFonts w:ascii="Times New Roman" w:hAnsi="Times New Roman" w:cs="Times New Roman" w:eastAsiaTheme="minorEastAsia"/>
                <w:color w:val="auto"/>
                <w:w w:val="99"/>
                <w:kern w:val="2"/>
                <w:sz w:val="20"/>
                <w:szCs w:val="15"/>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restar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钻井</w:t>
            </w:r>
          </w:p>
        </w:tc>
        <w:tc>
          <w:tcPr>
            <w:tcW w:w="469"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钻机</w:t>
            </w:r>
          </w:p>
        </w:tc>
        <w:tc>
          <w:tcPr>
            <w:tcW w:w="547" w:type="pct"/>
            <w:vAlign w:val="center"/>
          </w:tcPr>
          <w:p>
            <w:pPr>
              <w:widowControl w:val="0"/>
              <w:spacing w:line="360" w:lineRule="exact"/>
              <w:jc w:val="center"/>
              <w:rPr>
                <w:rFonts w:ascii="Times New Roman" w:hAnsi="Times New Roman" w:cs="Times New Roman" w:eastAsiaTheme="minorEastAsia"/>
                <w:snapToGrid w:val="0"/>
                <w:color w:val="auto"/>
                <w:w w:val="99"/>
                <w:sz w:val="20"/>
                <w:szCs w:val="15"/>
                <w:highlight w:val="none"/>
              </w:rPr>
            </w:pPr>
            <w:r>
              <w:rPr>
                <w:rFonts w:ascii="Times New Roman" w:hAnsi="Times New Roman" w:cs="Times New Roman" w:eastAsiaTheme="minorEastAsia"/>
                <w:snapToGrid w:val="0"/>
                <w:color w:val="auto"/>
                <w:w w:val="99"/>
                <w:sz w:val="20"/>
                <w:szCs w:val="15"/>
                <w:highlight w:val="none"/>
              </w:rPr>
              <w:t>大型钻机</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频发</w:t>
            </w:r>
          </w:p>
        </w:tc>
        <w:tc>
          <w:tcPr>
            <w:tcW w:w="391"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0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80~90</w:t>
            </w:r>
          </w:p>
        </w:tc>
        <w:tc>
          <w:tcPr>
            <w:tcW w:w="607"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减振、低噪电机</w:t>
            </w:r>
          </w:p>
        </w:tc>
        <w:tc>
          <w:tcPr>
            <w:tcW w:w="39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5</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类比法</w:t>
            </w:r>
          </w:p>
        </w:tc>
        <w:tc>
          <w:tcPr>
            <w:tcW w:w="469"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80~85</w:t>
            </w:r>
          </w:p>
        </w:tc>
        <w:tc>
          <w:tcPr>
            <w:tcW w:w="390" w:type="pct"/>
            <w:vMerge w:val="restar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hint="eastAsia" w:ascii="Times New Roman" w:hAnsi="Times New Roman" w:cs="Times New Roman" w:eastAsiaTheme="minorEastAsia"/>
                <w:color w:val="auto"/>
                <w:w w:val="99"/>
                <w:kern w:val="2"/>
                <w:sz w:val="21"/>
                <w:szCs w:val="21"/>
                <w:highlight w:val="none"/>
              </w:rPr>
              <w:t>1156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69"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泥浆泵</w:t>
            </w:r>
          </w:p>
        </w:tc>
        <w:tc>
          <w:tcPr>
            <w:tcW w:w="547"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泥浆泵</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频发</w:t>
            </w:r>
          </w:p>
        </w:tc>
        <w:tc>
          <w:tcPr>
            <w:tcW w:w="391"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0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80~85</w:t>
            </w:r>
          </w:p>
        </w:tc>
        <w:tc>
          <w:tcPr>
            <w:tcW w:w="607"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基础减振</w:t>
            </w:r>
          </w:p>
        </w:tc>
        <w:tc>
          <w:tcPr>
            <w:tcW w:w="39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5</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类比法</w:t>
            </w:r>
          </w:p>
        </w:tc>
        <w:tc>
          <w:tcPr>
            <w:tcW w:w="469"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75~80</w:t>
            </w:r>
          </w:p>
        </w:tc>
        <w:tc>
          <w:tcPr>
            <w:tcW w:w="390"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69"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空压机</w:t>
            </w:r>
          </w:p>
        </w:tc>
        <w:tc>
          <w:tcPr>
            <w:tcW w:w="547"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空压机</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偶发</w:t>
            </w:r>
          </w:p>
        </w:tc>
        <w:tc>
          <w:tcPr>
            <w:tcW w:w="391"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0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75~80</w:t>
            </w:r>
          </w:p>
        </w:tc>
        <w:tc>
          <w:tcPr>
            <w:tcW w:w="607"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基础减振</w:t>
            </w:r>
          </w:p>
        </w:tc>
        <w:tc>
          <w:tcPr>
            <w:tcW w:w="39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5</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类比法</w:t>
            </w:r>
          </w:p>
        </w:tc>
        <w:tc>
          <w:tcPr>
            <w:tcW w:w="469"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70~75</w:t>
            </w:r>
          </w:p>
        </w:tc>
        <w:tc>
          <w:tcPr>
            <w:tcW w:w="390"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69"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振动筛</w:t>
            </w:r>
          </w:p>
        </w:tc>
        <w:tc>
          <w:tcPr>
            <w:tcW w:w="547"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振动筛</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频发</w:t>
            </w:r>
          </w:p>
        </w:tc>
        <w:tc>
          <w:tcPr>
            <w:tcW w:w="391"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0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70~75</w:t>
            </w:r>
          </w:p>
        </w:tc>
        <w:tc>
          <w:tcPr>
            <w:tcW w:w="607"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基础减振</w:t>
            </w:r>
          </w:p>
        </w:tc>
        <w:tc>
          <w:tcPr>
            <w:tcW w:w="39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5</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类比法</w:t>
            </w:r>
          </w:p>
        </w:tc>
        <w:tc>
          <w:tcPr>
            <w:tcW w:w="469"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65~70</w:t>
            </w:r>
          </w:p>
        </w:tc>
        <w:tc>
          <w:tcPr>
            <w:tcW w:w="390"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r>
    </w:tbl>
    <w:p>
      <w:pPr>
        <w:pStyle w:val="7"/>
        <w:keepNext w:val="0"/>
        <w:keepLines w:val="0"/>
        <w:widowControl w:val="0"/>
        <w:rPr>
          <w:b/>
          <w:color w:val="auto"/>
          <w:w w:val="99"/>
          <w:kern w:val="2"/>
          <w:sz w:val="24"/>
          <w:szCs w:val="24"/>
          <w:highlight w:val="none"/>
        </w:rPr>
      </w:pPr>
      <w:bookmarkStart w:id="569" w:name="_Toc74812110"/>
      <w:bookmarkStart w:id="570" w:name="_Toc61597253"/>
      <w:bookmarkStart w:id="571" w:name="_Toc77667322"/>
      <w:bookmarkStart w:id="572" w:name="_Toc69690843"/>
      <w:bookmarkStart w:id="573" w:name="_Toc67523625"/>
      <w:bookmarkStart w:id="574" w:name="_Toc71371978"/>
      <w:bookmarkStart w:id="575" w:name="_Toc74812349"/>
      <w:bookmarkStart w:id="576" w:name="_Toc80105178"/>
      <w:r>
        <w:rPr>
          <w:b/>
          <w:color w:val="auto"/>
          <w:w w:val="99"/>
          <w:kern w:val="2"/>
          <w:sz w:val="24"/>
          <w:szCs w:val="24"/>
          <w:highlight w:val="none"/>
        </w:rPr>
        <w:t>3.1</w:t>
      </w:r>
      <w:r>
        <w:rPr>
          <w:rFonts w:hint="eastAsia"/>
          <w:b/>
          <w:color w:val="auto"/>
          <w:w w:val="99"/>
          <w:kern w:val="2"/>
          <w:sz w:val="24"/>
          <w:szCs w:val="24"/>
          <w:highlight w:val="none"/>
          <w:lang w:val="en-US" w:eastAsia="zh-CN"/>
        </w:rPr>
        <w:t>2</w:t>
      </w:r>
      <w:r>
        <w:rPr>
          <w:b/>
          <w:color w:val="auto"/>
          <w:w w:val="99"/>
          <w:kern w:val="2"/>
          <w:sz w:val="24"/>
          <w:szCs w:val="24"/>
          <w:highlight w:val="none"/>
        </w:rPr>
        <w:t>.4固体废物</w:t>
      </w:r>
      <w:bookmarkEnd w:id="569"/>
      <w:bookmarkEnd w:id="570"/>
      <w:bookmarkEnd w:id="571"/>
      <w:bookmarkEnd w:id="572"/>
      <w:bookmarkEnd w:id="573"/>
      <w:bookmarkEnd w:id="574"/>
      <w:bookmarkEnd w:id="575"/>
      <w:bookmarkEnd w:id="576"/>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施工期固体废物主要为钻井岩屑、废弃泥浆、废射孔液、废包装袋和生活垃圾等。</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（1）废弃钻井液</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bookmarkStart w:id="577" w:name="_Toc5147946"/>
      <w:r>
        <w:rPr>
          <w:rFonts w:ascii="Times New Roman" w:hAnsi="Times New Roman" w:cs="Times New Roman" w:eastAsiaTheme="minorEastAsia"/>
          <w:color w:val="auto"/>
          <w:w w:val="99"/>
          <w:kern w:val="2"/>
          <w:highlight w:val="none"/>
        </w:rPr>
        <w:t>废钻井液是指钻井过程中无法利用或钻井完工后弃置于钻井液池内的泥浆</w:t>
      </w:r>
      <w:r>
        <w:rPr>
          <w:rFonts w:hint="eastAsia" w:ascii="Times New Roman" w:hAnsi="Times New Roman" w:cs="Times New Roman" w:eastAsiaTheme="minorEastAsia"/>
          <w:color w:val="auto"/>
          <w:w w:val="99"/>
          <w:kern w:val="2"/>
          <w:highlight w:val="none"/>
        </w:rPr>
        <w:t>，</w:t>
      </w:r>
      <w:r>
        <w:rPr>
          <w:rFonts w:ascii="Times New Roman" w:hAnsi="Times New Roman" w:cs="Times New Roman" w:eastAsiaTheme="minorEastAsia"/>
          <w:color w:val="auto"/>
          <w:w w:val="99"/>
          <w:kern w:val="2"/>
          <w:highlight w:val="none"/>
        </w:rPr>
        <w:t>属于一般固体废物，</w:t>
      </w:r>
      <w:r>
        <w:rPr>
          <w:rFonts w:hint="eastAsia" w:ascii="Times New Roman" w:hAnsi="Times New Roman" w:cs="Times New Roman" w:eastAsiaTheme="minorEastAsia"/>
          <w:color w:val="auto"/>
          <w:w w:val="99"/>
          <w:kern w:val="2"/>
          <w:highlight w:val="none"/>
        </w:rPr>
        <w:t>分类</w:t>
      </w:r>
      <w:r>
        <w:rPr>
          <w:rFonts w:ascii="Times New Roman" w:hAnsi="Times New Roman" w:cs="Times New Roman" w:eastAsiaTheme="minorEastAsia"/>
          <w:color w:val="auto"/>
          <w:w w:val="99"/>
          <w:kern w:val="2"/>
          <w:highlight w:val="none"/>
        </w:rPr>
        <w:t>代码为</w:t>
      </w:r>
      <w:r>
        <w:rPr>
          <w:rFonts w:hint="eastAsia" w:ascii="Times New Roman" w:hAnsi="Times New Roman" w:cs="Times New Roman" w:eastAsiaTheme="minorEastAsia"/>
          <w:color w:val="auto"/>
          <w:w w:val="99"/>
          <w:kern w:val="2"/>
          <w:highlight w:val="none"/>
        </w:rPr>
        <w:t>900-999-99</w:t>
      </w:r>
      <w:r>
        <w:rPr>
          <w:rFonts w:ascii="Times New Roman" w:hAnsi="Times New Roman" w:cs="Times New Roman" w:eastAsiaTheme="minorEastAsia"/>
          <w:color w:val="auto"/>
          <w:w w:val="99"/>
          <w:kern w:val="2"/>
          <w:highlight w:val="none"/>
        </w:rPr>
        <w:t>。根据钻井物料消耗统计，本项目钻井液用量为</w:t>
      </w:r>
      <w:r>
        <w:rPr>
          <w:rFonts w:hint="eastAsia" w:ascii="Times New Roman" w:hAnsi="Times New Roman" w:cs="Times New Roman" w:eastAsiaTheme="minorEastAsia"/>
          <w:color w:val="auto"/>
          <w:w w:val="99"/>
          <w:kern w:val="21"/>
          <w:highlight w:val="none"/>
        </w:rPr>
        <w:t>9856m</w:t>
      </w:r>
      <w:r>
        <w:rPr>
          <w:rFonts w:hint="eastAsia"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
          <w:highlight w:val="none"/>
        </w:rPr>
        <w:t>，钻井液密度约为1.</w:t>
      </w:r>
      <w:r>
        <w:rPr>
          <w:rFonts w:hint="eastAsia" w:ascii="Times New Roman" w:hAnsi="Times New Roman" w:cs="Times New Roman" w:eastAsiaTheme="minorEastAsia"/>
          <w:color w:val="auto"/>
          <w:w w:val="99"/>
          <w:kern w:val="2"/>
          <w:highlight w:val="none"/>
        </w:rPr>
        <w:t>6</w:t>
      </w:r>
      <w:r>
        <w:rPr>
          <w:rFonts w:ascii="Times New Roman" w:hAnsi="Times New Roman" w:cs="Times New Roman" w:eastAsiaTheme="minorEastAsia"/>
          <w:color w:val="auto"/>
          <w:w w:val="99"/>
          <w:kern w:val="2"/>
          <w:highlight w:val="none"/>
        </w:rPr>
        <w:t>5t/m</w:t>
      </w:r>
      <w:r>
        <w:rPr>
          <w:rFonts w:ascii="Times New Roman" w:hAnsi="Times New Roman" w:cs="Times New Roman" w:eastAsiaTheme="minorEastAsia"/>
          <w:color w:val="auto"/>
          <w:w w:val="99"/>
          <w:kern w:val="2"/>
          <w:highlight w:val="none"/>
          <w:vertAlign w:val="superscript"/>
        </w:rPr>
        <w:t>3</w:t>
      </w:r>
      <w:r>
        <w:rPr>
          <w:rFonts w:ascii="Times New Roman" w:hAnsi="Times New Roman" w:cs="Times New Roman" w:eastAsiaTheme="minorEastAsia"/>
          <w:color w:val="auto"/>
          <w:w w:val="99"/>
          <w:kern w:val="2"/>
          <w:highlight w:val="none"/>
        </w:rPr>
        <w:t>，则废弃钻井液的量为</w:t>
      </w:r>
      <w:r>
        <w:rPr>
          <w:rFonts w:hint="eastAsia" w:ascii="Times New Roman" w:hAnsi="Times New Roman" w:cs="Times New Roman" w:eastAsiaTheme="minorEastAsia"/>
          <w:color w:val="auto"/>
          <w:w w:val="99"/>
          <w:kern w:val="2"/>
          <w:highlight w:val="none"/>
        </w:rPr>
        <w:t>16262.4</w:t>
      </w:r>
      <w:r>
        <w:rPr>
          <w:rFonts w:ascii="Times New Roman" w:hAnsi="Times New Roman" w:cs="Times New Roman" w:eastAsiaTheme="minorEastAsia"/>
          <w:color w:val="auto"/>
          <w:w w:val="99"/>
          <w:kern w:val="2"/>
          <w:highlight w:val="none"/>
        </w:rPr>
        <w:t>t</w:t>
      </w:r>
      <w:bookmarkEnd w:id="577"/>
      <w:r>
        <w:rPr>
          <w:rFonts w:ascii="Times New Roman" w:hAnsi="Times New Roman" w:cs="Times New Roman" w:eastAsiaTheme="minorEastAsia"/>
          <w:color w:val="auto"/>
          <w:w w:val="99"/>
          <w:kern w:val="2"/>
          <w:highlight w:val="none"/>
        </w:rPr>
        <w:t>，</w:t>
      </w:r>
      <w:r>
        <w:rPr>
          <w:rFonts w:hint="eastAsia" w:ascii="Times New Roman" w:hAnsi="Times New Roman" w:cs="Times New Roman" w:eastAsiaTheme="minorEastAsia"/>
          <w:color w:val="auto"/>
          <w:w w:val="99"/>
          <w:kern w:val="2"/>
          <w:highlight w:val="none"/>
        </w:rPr>
        <w:t>本项目</w:t>
      </w:r>
      <w:r>
        <w:rPr>
          <w:rFonts w:ascii="Times New Roman" w:hAnsi="Times New Roman" w:eastAsiaTheme="minorEastAsia"/>
          <w:bCs/>
          <w:snapToGrid w:val="0"/>
          <w:color w:val="auto"/>
          <w:w w:val="99"/>
          <w:highlight w:val="none"/>
        </w:rPr>
        <w:t>单井钻井施工1</w:t>
      </w:r>
      <w:r>
        <w:rPr>
          <w:rFonts w:hint="eastAsia" w:ascii="Times New Roman" w:hAnsi="Times New Roman" w:eastAsiaTheme="minorEastAsia"/>
          <w:bCs/>
          <w:snapToGrid w:val="0"/>
          <w:color w:val="auto"/>
          <w:w w:val="99"/>
          <w:highlight w:val="none"/>
        </w:rPr>
        <w:t>3</w:t>
      </w:r>
      <w:r>
        <w:rPr>
          <w:rFonts w:ascii="Times New Roman" w:hAnsi="Times New Roman" w:eastAsiaTheme="minorEastAsia"/>
          <w:bCs/>
          <w:snapToGrid w:val="0"/>
          <w:color w:val="auto"/>
          <w:w w:val="99"/>
          <w:highlight w:val="none"/>
        </w:rPr>
        <w:t>d</w:t>
      </w:r>
      <w:r>
        <w:rPr>
          <w:rFonts w:hint="eastAsia" w:ascii="Times New Roman" w:hAnsi="Times New Roman" w:eastAsiaTheme="minorEastAsia"/>
          <w:bCs/>
          <w:snapToGrid w:val="0"/>
          <w:color w:val="auto"/>
          <w:w w:val="99"/>
          <w:highlight w:val="none"/>
        </w:rPr>
        <w:t>，</w:t>
      </w:r>
      <w:r>
        <w:rPr>
          <w:rFonts w:hint="eastAsia" w:ascii="Times New Roman" w:hAnsi="Times New Roman" w:eastAsiaTheme="minorEastAsia"/>
          <w:bCs/>
          <w:snapToGrid w:val="0"/>
          <w:color w:val="auto"/>
          <w:w w:val="99"/>
          <w:highlight w:val="none"/>
          <w:lang w:eastAsia="zh-CN"/>
        </w:rPr>
        <w:t>2个钻井队</w:t>
      </w:r>
      <w:r>
        <w:rPr>
          <w:rFonts w:ascii="Times New Roman" w:hAnsi="Times New Roman" w:eastAsiaTheme="minorEastAsia"/>
          <w:bCs/>
          <w:snapToGrid w:val="0"/>
          <w:color w:val="auto"/>
          <w:w w:val="99"/>
          <w:highlight w:val="none"/>
        </w:rPr>
        <w:t>同时施工</w:t>
      </w:r>
      <w:r>
        <w:rPr>
          <w:rFonts w:ascii="Times New Roman" w:hAnsi="Times New Roman" w:cs="Times New Roman" w:eastAsiaTheme="minorEastAsia"/>
          <w:color w:val="auto"/>
          <w:w w:val="99"/>
          <w:kern w:val="2"/>
          <w:highlight w:val="none"/>
        </w:rPr>
        <w:t>，废弃钻井液每天产生量约</w:t>
      </w:r>
      <w:r>
        <w:rPr>
          <w:rFonts w:hint="eastAsia" w:ascii="Times New Roman" w:hAnsi="Times New Roman" w:cs="Times New Roman" w:eastAsiaTheme="minorEastAsia"/>
          <w:color w:val="auto"/>
          <w:w w:val="99"/>
          <w:kern w:val="2"/>
          <w:highlight w:val="none"/>
          <w:lang w:val="en-US" w:eastAsia="zh-CN"/>
        </w:rPr>
        <w:t>56.86</w:t>
      </w:r>
      <w:r>
        <w:rPr>
          <w:rFonts w:ascii="Times New Roman" w:hAnsi="Times New Roman" w:cs="Times New Roman" w:eastAsiaTheme="minorEastAsia"/>
          <w:color w:val="auto"/>
          <w:w w:val="99"/>
          <w:kern w:val="2"/>
          <w:highlight w:val="none"/>
        </w:rPr>
        <w:t>m</w:t>
      </w:r>
      <w:r>
        <w:rPr>
          <w:rFonts w:ascii="Times New Roman" w:hAnsi="Times New Roman" w:cs="Times New Roman" w:eastAsiaTheme="minorEastAsia"/>
          <w:color w:val="auto"/>
          <w:w w:val="99"/>
          <w:kern w:val="2"/>
          <w:highlight w:val="none"/>
          <w:vertAlign w:val="superscript"/>
        </w:rPr>
        <w:t>3</w:t>
      </w:r>
      <w:r>
        <w:rPr>
          <w:rFonts w:ascii="Times New Roman" w:hAnsi="Times New Roman" w:cs="Times New Roman" w:eastAsiaTheme="minorEastAsia"/>
          <w:color w:val="auto"/>
          <w:w w:val="99"/>
          <w:kern w:val="2"/>
          <w:highlight w:val="none"/>
        </w:rPr>
        <w:t>（</w:t>
      </w:r>
      <w:r>
        <w:rPr>
          <w:rFonts w:hint="eastAsia" w:ascii="Times New Roman" w:hAnsi="Times New Roman" w:cs="Times New Roman" w:eastAsiaTheme="minorEastAsia"/>
          <w:color w:val="auto"/>
          <w:w w:val="99"/>
          <w:kern w:val="2"/>
          <w:highlight w:val="none"/>
        </w:rPr>
        <w:t>93.819</w:t>
      </w:r>
      <w:r>
        <w:rPr>
          <w:rFonts w:ascii="Times New Roman" w:hAnsi="Times New Roman" w:cs="Times New Roman" w:eastAsiaTheme="minorEastAsia"/>
          <w:color w:val="auto"/>
          <w:w w:val="99"/>
          <w:kern w:val="2"/>
          <w:highlight w:val="none"/>
        </w:rPr>
        <w:t>t）。</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（2）钻井岩屑</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钻井过程中，岩石经钻头和泥浆研磨破碎成岩屑，其中部分岩屑混进泥浆中，剩余岩屑经泥浆循环携带至井口，完井后进行无害化处理</w:t>
      </w:r>
      <w:r>
        <w:rPr>
          <w:rFonts w:hint="eastAsia" w:ascii="Times New Roman" w:hAnsi="Times New Roman" w:cs="Times New Roman" w:eastAsiaTheme="minorEastAsia"/>
          <w:color w:val="auto"/>
          <w:w w:val="99"/>
          <w:kern w:val="2"/>
          <w:highlight w:val="none"/>
        </w:rPr>
        <w:t>，钻井</w:t>
      </w:r>
      <w:r>
        <w:rPr>
          <w:rFonts w:ascii="Times New Roman" w:hAnsi="Times New Roman" w:cs="Times New Roman" w:eastAsiaTheme="minorEastAsia"/>
          <w:color w:val="auto"/>
          <w:w w:val="99"/>
          <w:kern w:val="2"/>
          <w:highlight w:val="none"/>
        </w:rPr>
        <w:t>岩屑属于一般固体废物，</w:t>
      </w:r>
      <w:r>
        <w:rPr>
          <w:rFonts w:hint="eastAsia" w:ascii="Times New Roman" w:hAnsi="Times New Roman" w:cs="Times New Roman" w:eastAsiaTheme="minorEastAsia"/>
          <w:color w:val="auto"/>
          <w:w w:val="99"/>
          <w:kern w:val="2"/>
          <w:highlight w:val="none"/>
        </w:rPr>
        <w:t>分类</w:t>
      </w:r>
      <w:r>
        <w:rPr>
          <w:rFonts w:ascii="Times New Roman" w:hAnsi="Times New Roman" w:cs="Times New Roman" w:eastAsiaTheme="minorEastAsia"/>
          <w:color w:val="auto"/>
          <w:w w:val="99"/>
          <w:kern w:val="2"/>
          <w:highlight w:val="none"/>
        </w:rPr>
        <w:t>代码为</w:t>
      </w:r>
      <w:r>
        <w:rPr>
          <w:rFonts w:hint="eastAsia" w:ascii="Times New Roman" w:hAnsi="Times New Roman" w:cs="Times New Roman" w:eastAsiaTheme="minorEastAsia"/>
          <w:color w:val="auto"/>
          <w:w w:val="99"/>
          <w:kern w:val="2"/>
          <w:highlight w:val="none"/>
        </w:rPr>
        <w:t>900-999-99</w:t>
      </w:r>
      <w:r>
        <w:rPr>
          <w:rFonts w:ascii="Times New Roman" w:hAnsi="Times New Roman" w:cs="Times New Roman" w:eastAsiaTheme="minorEastAsia"/>
          <w:color w:val="auto"/>
          <w:w w:val="99"/>
          <w:kern w:val="2"/>
          <w:highlight w:val="none"/>
        </w:rPr>
        <w:t>。根据</w:t>
      </w:r>
      <w:r>
        <w:rPr>
          <w:rFonts w:hint="eastAsia" w:ascii="Times New Roman" w:hAnsi="Times New Roman" w:cs="Times New Roman" w:eastAsiaTheme="minorEastAsia"/>
          <w:color w:val="auto"/>
          <w:w w:val="99"/>
          <w:kern w:val="2"/>
          <w:highlight w:val="none"/>
        </w:rPr>
        <w:t>十</w:t>
      </w:r>
      <w:r>
        <w:rPr>
          <w:rFonts w:ascii="Times New Roman" w:hAnsi="Times New Roman" w:cs="Times New Roman" w:eastAsiaTheme="minorEastAsia"/>
          <w:color w:val="auto"/>
          <w:w w:val="99"/>
          <w:kern w:val="2"/>
          <w:highlight w:val="none"/>
        </w:rPr>
        <w:t>厂多年钻井施工统计数据分析，每钻井1000m进尺产生岩屑60m</w:t>
      </w:r>
      <w:r>
        <w:rPr>
          <w:rFonts w:ascii="Times New Roman" w:hAnsi="Times New Roman" w:cs="Times New Roman" w:eastAsiaTheme="minorEastAsia"/>
          <w:color w:val="auto"/>
          <w:w w:val="99"/>
          <w:kern w:val="2"/>
          <w:highlight w:val="none"/>
          <w:vertAlign w:val="superscript"/>
        </w:rPr>
        <w:t>3</w:t>
      </w:r>
      <w:r>
        <w:rPr>
          <w:rFonts w:ascii="Times New Roman" w:hAnsi="Times New Roman" w:cs="Times New Roman" w:eastAsiaTheme="minorEastAsia"/>
          <w:color w:val="auto"/>
          <w:w w:val="99"/>
          <w:kern w:val="2"/>
          <w:highlight w:val="none"/>
        </w:rPr>
        <w:t>。本项目钻井进尺</w:t>
      </w:r>
      <w:r>
        <w:rPr>
          <w:rFonts w:hint="eastAsia" w:ascii="Times New Roman" w:hAnsi="Times New Roman" w:cs="Times New Roman" w:eastAsiaTheme="minorEastAsia"/>
          <w:bCs/>
          <w:color w:val="auto"/>
          <w:w w:val="99"/>
          <w:kern w:val="2"/>
          <w:highlight w:val="none"/>
          <w:lang w:eastAsia="zh-CN"/>
        </w:rPr>
        <w:t>79111m</w:t>
      </w:r>
      <w:r>
        <w:rPr>
          <w:rFonts w:ascii="Times New Roman" w:hAnsi="Times New Roman" w:cs="Times New Roman" w:eastAsiaTheme="minorEastAsia"/>
          <w:color w:val="auto"/>
          <w:w w:val="99"/>
          <w:kern w:val="2"/>
          <w:highlight w:val="none"/>
        </w:rPr>
        <w:t>，则钻井岩屑总产生量为</w:t>
      </w:r>
      <w:r>
        <w:rPr>
          <w:rFonts w:hint="eastAsia" w:ascii="Times New Roman" w:hAnsi="Times New Roman" w:cs="Times New Roman" w:eastAsiaTheme="minorEastAsia"/>
          <w:color w:val="auto"/>
          <w:w w:val="99"/>
          <w:kern w:val="2"/>
          <w:highlight w:val="none"/>
        </w:rPr>
        <w:t>4746.66</w:t>
      </w:r>
      <w:r>
        <w:rPr>
          <w:rFonts w:ascii="Times New Roman" w:hAnsi="Times New Roman" w:cs="Times New Roman" w:eastAsiaTheme="minorEastAsia"/>
          <w:color w:val="auto"/>
          <w:w w:val="99"/>
          <w:kern w:val="2"/>
          <w:highlight w:val="none"/>
        </w:rPr>
        <w:t>m</w:t>
      </w:r>
      <w:r>
        <w:rPr>
          <w:rFonts w:ascii="Times New Roman" w:hAnsi="Times New Roman" w:cs="Times New Roman" w:eastAsiaTheme="minorEastAsia"/>
          <w:color w:val="auto"/>
          <w:w w:val="99"/>
          <w:kern w:val="2"/>
          <w:highlight w:val="none"/>
          <w:vertAlign w:val="superscript"/>
        </w:rPr>
        <w:t>3</w:t>
      </w:r>
      <w:r>
        <w:rPr>
          <w:rFonts w:ascii="Times New Roman" w:hAnsi="Times New Roman" w:cs="Times New Roman" w:eastAsiaTheme="minorEastAsia"/>
          <w:color w:val="auto"/>
          <w:w w:val="99"/>
          <w:kern w:val="2"/>
          <w:highlight w:val="none"/>
        </w:rPr>
        <w:t>。</w:t>
      </w:r>
      <w:r>
        <w:rPr>
          <w:rFonts w:hint="eastAsia" w:ascii="Times New Roman" w:hAnsi="Times New Roman" w:cs="Times New Roman" w:eastAsiaTheme="minorEastAsia"/>
          <w:color w:val="auto"/>
          <w:w w:val="99"/>
          <w:kern w:val="2"/>
          <w:highlight w:val="none"/>
        </w:rPr>
        <w:t>本项目</w:t>
      </w:r>
      <w:r>
        <w:rPr>
          <w:rFonts w:ascii="Times New Roman" w:hAnsi="Times New Roman" w:eastAsiaTheme="minorEastAsia"/>
          <w:bCs/>
          <w:snapToGrid w:val="0"/>
          <w:color w:val="auto"/>
          <w:w w:val="99"/>
          <w:highlight w:val="none"/>
        </w:rPr>
        <w:t>单井钻井施工1</w:t>
      </w:r>
      <w:r>
        <w:rPr>
          <w:rFonts w:hint="eastAsia" w:ascii="Times New Roman" w:hAnsi="Times New Roman" w:eastAsiaTheme="minorEastAsia"/>
          <w:bCs/>
          <w:snapToGrid w:val="0"/>
          <w:color w:val="auto"/>
          <w:w w:val="99"/>
          <w:highlight w:val="none"/>
        </w:rPr>
        <w:t>3</w:t>
      </w:r>
      <w:r>
        <w:rPr>
          <w:rFonts w:ascii="Times New Roman" w:hAnsi="Times New Roman" w:eastAsiaTheme="minorEastAsia"/>
          <w:bCs/>
          <w:snapToGrid w:val="0"/>
          <w:color w:val="auto"/>
          <w:w w:val="99"/>
          <w:highlight w:val="none"/>
        </w:rPr>
        <w:t>d</w:t>
      </w:r>
      <w:r>
        <w:rPr>
          <w:rFonts w:hint="eastAsia" w:ascii="Times New Roman" w:hAnsi="Times New Roman" w:eastAsiaTheme="minorEastAsia"/>
          <w:bCs/>
          <w:snapToGrid w:val="0"/>
          <w:color w:val="auto"/>
          <w:w w:val="99"/>
          <w:highlight w:val="none"/>
        </w:rPr>
        <w:t>，</w:t>
      </w:r>
      <w:r>
        <w:rPr>
          <w:rFonts w:hint="eastAsia" w:ascii="Times New Roman" w:hAnsi="Times New Roman" w:eastAsiaTheme="minorEastAsia"/>
          <w:bCs/>
          <w:snapToGrid w:val="0"/>
          <w:color w:val="auto"/>
          <w:w w:val="99"/>
          <w:highlight w:val="none"/>
          <w:lang w:val="en-US" w:eastAsia="zh-CN"/>
        </w:rPr>
        <w:t>2</w:t>
      </w:r>
      <w:r>
        <w:rPr>
          <w:rFonts w:ascii="Times New Roman" w:hAnsi="Times New Roman" w:eastAsiaTheme="minorEastAsia"/>
          <w:bCs/>
          <w:snapToGrid w:val="0"/>
          <w:color w:val="auto"/>
          <w:w w:val="99"/>
          <w:highlight w:val="none"/>
        </w:rPr>
        <w:t>个钻井队同时施工</w:t>
      </w:r>
      <w:r>
        <w:rPr>
          <w:rFonts w:ascii="Times New Roman" w:hAnsi="Times New Roman" w:cs="Times New Roman" w:eastAsiaTheme="minorEastAsia"/>
          <w:color w:val="auto"/>
          <w:w w:val="99"/>
          <w:kern w:val="2"/>
          <w:highlight w:val="none"/>
        </w:rPr>
        <w:t>，钻井岩屑每天产生量约</w:t>
      </w:r>
      <w:r>
        <w:rPr>
          <w:rFonts w:hint="eastAsia" w:ascii="Times New Roman" w:hAnsi="Times New Roman" w:cs="Times New Roman" w:eastAsiaTheme="minorEastAsia"/>
          <w:color w:val="auto"/>
          <w:w w:val="99"/>
          <w:kern w:val="2"/>
          <w:highlight w:val="none"/>
          <w:lang w:val="en-US" w:eastAsia="zh-CN"/>
        </w:rPr>
        <w:t>16.6</w:t>
      </w:r>
      <w:r>
        <w:rPr>
          <w:rFonts w:ascii="Times New Roman" w:hAnsi="Times New Roman" w:cs="Times New Roman" w:eastAsiaTheme="minorEastAsia"/>
          <w:color w:val="auto"/>
          <w:w w:val="99"/>
          <w:kern w:val="2"/>
          <w:highlight w:val="none"/>
        </w:rPr>
        <w:t>m</w:t>
      </w:r>
      <w:r>
        <w:rPr>
          <w:rFonts w:ascii="Times New Roman" w:hAnsi="Times New Roman" w:cs="Times New Roman" w:eastAsiaTheme="minorEastAsia"/>
          <w:color w:val="auto"/>
          <w:w w:val="99"/>
          <w:kern w:val="2"/>
          <w:highlight w:val="none"/>
          <w:vertAlign w:val="superscript"/>
        </w:rPr>
        <w:t>3</w:t>
      </w:r>
      <w:r>
        <w:rPr>
          <w:rFonts w:ascii="Times New Roman" w:hAnsi="Times New Roman" w:cs="Times New Roman" w:eastAsiaTheme="minorEastAsia"/>
          <w:color w:val="auto"/>
          <w:w w:val="99"/>
          <w:kern w:val="2"/>
          <w:highlight w:val="none"/>
        </w:rPr>
        <w:t>。</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（3）废射孔液</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本项目新钻井钻完后需进行射孔作业，作业过程中将产生废射孔液</w:t>
      </w:r>
      <w:r>
        <w:rPr>
          <w:rFonts w:hint="eastAsia" w:ascii="Times New Roman" w:hAnsi="Times New Roman" w:cs="Times New Roman" w:eastAsiaTheme="minorEastAsia"/>
          <w:color w:val="auto"/>
          <w:w w:val="99"/>
          <w:kern w:val="2"/>
          <w:highlight w:val="none"/>
        </w:rPr>
        <w:t>，</w:t>
      </w:r>
      <w:r>
        <w:rPr>
          <w:rFonts w:ascii="Times New Roman" w:hAnsi="Times New Roman" w:cs="Times New Roman" w:eastAsiaTheme="minorEastAsia"/>
          <w:color w:val="auto"/>
          <w:w w:val="99"/>
          <w:kern w:val="2"/>
          <w:highlight w:val="none"/>
        </w:rPr>
        <w:t>属于一般固体废物，</w:t>
      </w:r>
      <w:r>
        <w:rPr>
          <w:rFonts w:hint="eastAsia" w:ascii="Times New Roman" w:hAnsi="Times New Roman" w:cs="Times New Roman" w:eastAsiaTheme="minorEastAsia"/>
          <w:color w:val="auto"/>
          <w:w w:val="99"/>
          <w:kern w:val="2"/>
          <w:highlight w:val="none"/>
        </w:rPr>
        <w:t>分类</w:t>
      </w:r>
      <w:r>
        <w:rPr>
          <w:rFonts w:ascii="Times New Roman" w:hAnsi="Times New Roman" w:cs="Times New Roman" w:eastAsiaTheme="minorEastAsia"/>
          <w:color w:val="auto"/>
          <w:w w:val="99"/>
          <w:kern w:val="2"/>
          <w:highlight w:val="none"/>
        </w:rPr>
        <w:t>代码为</w:t>
      </w:r>
      <w:r>
        <w:rPr>
          <w:rFonts w:hint="eastAsia" w:ascii="Times New Roman" w:hAnsi="Times New Roman" w:cs="Times New Roman" w:eastAsiaTheme="minorEastAsia"/>
          <w:color w:val="auto"/>
          <w:w w:val="99"/>
          <w:kern w:val="2"/>
          <w:highlight w:val="none"/>
        </w:rPr>
        <w:t>900-999-99</w:t>
      </w:r>
      <w:r>
        <w:rPr>
          <w:rFonts w:ascii="Times New Roman" w:hAnsi="Times New Roman" w:cs="Times New Roman" w:eastAsiaTheme="minorEastAsia"/>
          <w:color w:val="auto"/>
          <w:w w:val="99"/>
          <w:kern w:val="2"/>
          <w:highlight w:val="none"/>
        </w:rPr>
        <w:t>，每口井产生废射孔液约40m</w:t>
      </w:r>
      <w:r>
        <w:rPr>
          <w:rFonts w:ascii="Times New Roman" w:hAnsi="Times New Roman" w:cs="Times New Roman" w:eastAsiaTheme="minorEastAsia"/>
          <w:color w:val="auto"/>
          <w:w w:val="99"/>
          <w:kern w:val="2"/>
          <w:highlight w:val="none"/>
          <w:vertAlign w:val="superscript"/>
        </w:rPr>
        <w:t>3</w:t>
      </w:r>
      <w:r>
        <w:rPr>
          <w:rFonts w:ascii="Times New Roman" w:hAnsi="Times New Roman" w:cs="Times New Roman" w:eastAsiaTheme="minorEastAsia"/>
          <w:color w:val="auto"/>
          <w:w w:val="99"/>
          <w:kern w:val="2"/>
          <w:highlight w:val="none"/>
        </w:rPr>
        <w:t>，本工程</w:t>
      </w:r>
      <w:r>
        <w:rPr>
          <w:rFonts w:hint="eastAsia" w:ascii="Times New Roman" w:hAnsi="Times New Roman" w:cs="Times New Roman" w:eastAsiaTheme="minorEastAsia"/>
          <w:color w:val="auto"/>
          <w:w w:val="99"/>
          <w:kern w:val="2"/>
          <w:highlight w:val="none"/>
        </w:rPr>
        <w:t>4</w:t>
      </w:r>
      <w:r>
        <w:rPr>
          <w:rFonts w:hint="eastAsia" w:ascii="Times New Roman" w:hAnsi="Times New Roman" w:cs="Times New Roman" w:eastAsiaTheme="minorEastAsia"/>
          <w:color w:val="auto"/>
          <w:w w:val="99"/>
          <w:kern w:val="2"/>
          <w:highlight w:val="none"/>
          <w:lang w:val="en-US" w:eastAsia="zh-CN"/>
        </w:rPr>
        <w:t>4</w:t>
      </w:r>
      <w:r>
        <w:rPr>
          <w:rFonts w:hint="eastAsia" w:ascii="Times New Roman" w:hAnsi="Times New Roman" w:cs="Times New Roman" w:eastAsiaTheme="minorEastAsia"/>
          <w:color w:val="auto"/>
          <w:w w:val="99"/>
          <w:kern w:val="2"/>
          <w:highlight w:val="none"/>
        </w:rPr>
        <w:t>口</w:t>
      </w:r>
      <w:r>
        <w:rPr>
          <w:rFonts w:ascii="Times New Roman" w:hAnsi="Times New Roman" w:cs="Times New Roman" w:eastAsiaTheme="minorEastAsia"/>
          <w:color w:val="auto"/>
          <w:w w:val="99"/>
          <w:kern w:val="2"/>
          <w:highlight w:val="none"/>
        </w:rPr>
        <w:t>新钻井全部需要射孔，共计产生废射孔液</w:t>
      </w:r>
      <w:r>
        <w:rPr>
          <w:rFonts w:hint="eastAsia" w:ascii="Times New Roman" w:hAnsi="Times New Roman" w:cs="Times New Roman" w:eastAsiaTheme="minorEastAsia"/>
          <w:color w:val="auto"/>
          <w:w w:val="99"/>
          <w:kern w:val="2"/>
          <w:highlight w:val="none"/>
        </w:rPr>
        <w:t>1760m</w:t>
      </w:r>
      <w:r>
        <w:rPr>
          <w:rFonts w:hint="eastAsia" w:ascii="Times New Roman" w:hAnsi="Times New Roman" w:cs="Times New Roman" w:eastAsiaTheme="minorEastAsia"/>
          <w:color w:val="auto"/>
          <w:w w:val="99"/>
          <w:kern w:val="2"/>
          <w:highlight w:val="none"/>
          <w:vertAlign w:val="superscript"/>
        </w:rPr>
        <w:t>3</w:t>
      </w:r>
      <w:r>
        <w:rPr>
          <w:rFonts w:ascii="Times New Roman" w:hAnsi="Times New Roman" w:cs="Times New Roman" w:eastAsiaTheme="minorEastAsia"/>
          <w:color w:val="auto"/>
          <w:w w:val="99"/>
          <w:kern w:val="2"/>
          <w:highlight w:val="none"/>
        </w:rPr>
        <w:t>。本项目</w:t>
      </w:r>
      <w:r>
        <w:rPr>
          <w:rFonts w:hint="eastAsia" w:ascii="Times New Roman" w:hAnsi="Times New Roman" w:cs="Times New Roman" w:eastAsiaTheme="minorEastAsia"/>
          <w:color w:val="auto"/>
          <w:w w:val="99"/>
          <w:kern w:val="2"/>
          <w:highlight w:val="none"/>
        </w:rPr>
        <w:t>单井</w:t>
      </w:r>
      <w:r>
        <w:rPr>
          <w:rFonts w:ascii="Times New Roman" w:hAnsi="Times New Roman" w:eastAsiaTheme="minorEastAsia"/>
          <w:bCs/>
          <w:snapToGrid w:val="0"/>
          <w:color w:val="auto"/>
          <w:w w:val="99"/>
          <w:highlight w:val="none"/>
        </w:rPr>
        <w:t>射孔平均时间按1d计，</w:t>
      </w:r>
      <w:r>
        <w:rPr>
          <w:rFonts w:hint="eastAsia" w:ascii="Times New Roman" w:hAnsi="Times New Roman" w:eastAsiaTheme="minorEastAsia"/>
          <w:bCs/>
          <w:snapToGrid w:val="0"/>
          <w:color w:val="auto"/>
          <w:w w:val="99"/>
          <w:highlight w:val="none"/>
          <w:lang w:val="en-US" w:eastAsia="zh-CN"/>
        </w:rPr>
        <w:t>2</w:t>
      </w:r>
      <w:r>
        <w:rPr>
          <w:rFonts w:ascii="Times New Roman" w:hAnsi="Times New Roman" w:eastAsiaTheme="minorEastAsia"/>
          <w:bCs/>
          <w:snapToGrid w:val="0"/>
          <w:color w:val="auto"/>
          <w:w w:val="99"/>
          <w:highlight w:val="none"/>
        </w:rPr>
        <w:t>个钻井队同时施工</w:t>
      </w:r>
      <w:r>
        <w:rPr>
          <w:rFonts w:ascii="Times New Roman" w:hAnsi="Times New Roman" w:cs="Times New Roman" w:eastAsiaTheme="minorEastAsia"/>
          <w:color w:val="auto"/>
          <w:w w:val="99"/>
          <w:kern w:val="2"/>
          <w:highlight w:val="none"/>
        </w:rPr>
        <w:t>，废射孔液平均每天产生量约</w:t>
      </w:r>
      <w:r>
        <w:rPr>
          <w:rFonts w:hint="eastAsia" w:ascii="Times New Roman" w:hAnsi="Times New Roman" w:cs="Times New Roman" w:eastAsiaTheme="minorEastAsia"/>
          <w:color w:val="auto"/>
          <w:w w:val="99"/>
          <w:kern w:val="2"/>
          <w:highlight w:val="none"/>
          <w:lang w:val="en-US" w:eastAsia="zh-CN"/>
        </w:rPr>
        <w:t>80</w:t>
      </w:r>
      <w:r>
        <w:rPr>
          <w:rFonts w:ascii="Times New Roman" w:hAnsi="Times New Roman" w:cs="Times New Roman" w:eastAsiaTheme="minorEastAsia"/>
          <w:color w:val="auto"/>
          <w:w w:val="99"/>
          <w:kern w:val="2"/>
          <w:highlight w:val="none"/>
        </w:rPr>
        <w:t>m</w:t>
      </w:r>
      <w:r>
        <w:rPr>
          <w:rFonts w:ascii="Times New Roman" w:hAnsi="Times New Roman" w:cs="Times New Roman" w:eastAsiaTheme="minorEastAsia"/>
          <w:color w:val="auto"/>
          <w:w w:val="99"/>
          <w:kern w:val="2"/>
          <w:highlight w:val="none"/>
          <w:vertAlign w:val="superscript"/>
        </w:rPr>
        <w:t>3</w:t>
      </w:r>
      <w:r>
        <w:rPr>
          <w:rFonts w:ascii="Times New Roman" w:hAnsi="Times New Roman" w:cs="Times New Roman" w:eastAsiaTheme="minorEastAsia"/>
          <w:color w:val="auto"/>
          <w:w w:val="99"/>
          <w:kern w:val="2"/>
          <w:highlight w:val="none"/>
        </w:rPr>
        <w:t>。</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（4）废包装袋</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现场废弃包装袋主要为钻井材料中膨润土、纯碱、重晶石粉</w:t>
      </w:r>
      <w:r>
        <w:rPr>
          <w:rFonts w:hint="eastAsia" w:ascii="Times New Roman" w:hAnsi="Times New Roman" w:cs="Times New Roman" w:eastAsiaTheme="minorEastAsia"/>
          <w:color w:val="auto"/>
          <w:w w:val="99"/>
          <w:kern w:val="2"/>
          <w:highlight w:val="none"/>
        </w:rPr>
        <w:t>等</w:t>
      </w:r>
      <w:r>
        <w:rPr>
          <w:rFonts w:ascii="Times New Roman" w:hAnsi="Times New Roman" w:cs="Times New Roman" w:eastAsiaTheme="minorEastAsia"/>
          <w:color w:val="auto"/>
          <w:w w:val="99"/>
          <w:kern w:val="2"/>
          <w:highlight w:val="none"/>
        </w:rPr>
        <w:t>废弃包装，属于一般固体废物</w:t>
      </w:r>
      <w:r>
        <w:rPr>
          <w:rFonts w:hint="eastAsia" w:ascii="Times New Roman" w:hAnsi="Times New Roman" w:cs="Times New Roman" w:eastAsiaTheme="minorEastAsia"/>
          <w:color w:val="auto"/>
          <w:w w:val="99"/>
          <w:kern w:val="2"/>
          <w:highlight w:val="none"/>
        </w:rPr>
        <w:t>，分类</w:t>
      </w:r>
      <w:r>
        <w:rPr>
          <w:rFonts w:ascii="Times New Roman" w:hAnsi="Times New Roman" w:cs="Times New Roman" w:eastAsiaTheme="minorEastAsia"/>
          <w:color w:val="auto"/>
          <w:w w:val="99"/>
          <w:kern w:val="2"/>
          <w:highlight w:val="none"/>
        </w:rPr>
        <w:t>代码为</w:t>
      </w:r>
      <w:r>
        <w:rPr>
          <w:rFonts w:hint="eastAsia" w:ascii="Times New Roman" w:hAnsi="Times New Roman" w:cs="Times New Roman" w:eastAsiaTheme="minorEastAsia"/>
          <w:color w:val="auto"/>
          <w:w w:val="99"/>
          <w:kern w:val="2"/>
          <w:highlight w:val="none"/>
        </w:rPr>
        <w:t>900-999-99</w:t>
      </w:r>
      <w:r>
        <w:rPr>
          <w:rFonts w:ascii="Times New Roman" w:hAnsi="Times New Roman" w:cs="Times New Roman" w:eastAsiaTheme="minorEastAsia"/>
          <w:color w:val="auto"/>
          <w:w w:val="99"/>
          <w:kern w:val="2"/>
          <w:highlight w:val="none"/>
        </w:rPr>
        <w:t>。</w:t>
      </w:r>
      <w:r>
        <w:rPr>
          <w:rFonts w:hint="eastAsia" w:ascii="Times New Roman" w:hAnsi="Times New Roman" w:cs="Times New Roman" w:eastAsiaTheme="minorEastAsia"/>
          <w:color w:val="auto"/>
          <w:w w:val="99"/>
          <w:kern w:val="2"/>
          <w:highlight w:val="none"/>
        </w:rPr>
        <w:t>单个</w:t>
      </w:r>
      <w:r>
        <w:rPr>
          <w:rFonts w:ascii="Times New Roman" w:hAnsi="Times New Roman" w:cs="Times New Roman" w:eastAsiaTheme="minorEastAsia"/>
          <w:color w:val="auto"/>
          <w:w w:val="99"/>
          <w:kern w:val="2"/>
          <w:highlight w:val="none"/>
        </w:rPr>
        <w:t>包装袋包装规格为</w:t>
      </w:r>
      <w:r>
        <w:rPr>
          <w:rFonts w:hint="eastAsia" w:ascii="Times New Roman" w:hAnsi="Times New Roman" w:cs="Times New Roman" w:eastAsiaTheme="minorEastAsia"/>
          <w:color w:val="auto"/>
          <w:w w:val="99"/>
          <w:kern w:val="2"/>
          <w:highlight w:val="none"/>
        </w:rPr>
        <w:t>25</w:t>
      </w:r>
      <w:r>
        <w:rPr>
          <w:rFonts w:ascii="Times New Roman" w:hAnsi="Times New Roman" w:cs="Times New Roman" w:eastAsiaTheme="minorEastAsia"/>
          <w:color w:val="auto"/>
          <w:w w:val="99"/>
          <w:kern w:val="2"/>
          <w:highlight w:val="none"/>
        </w:rPr>
        <w:t>kg，单个包装袋重</w:t>
      </w:r>
      <w:r>
        <w:rPr>
          <w:rFonts w:hint="eastAsia" w:ascii="Times New Roman" w:hAnsi="Times New Roman" w:cs="Times New Roman" w:eastAsiaTheme="minorEastAsia"/>
          <w:color w:val="auto"/>
          <w:w w:val="99"/>
          <w:kern w:val="2"/>
          <w:highlight w:val="none"/>
        </w:rPr>
        <w:t>约0.0</w:t>
      </w:r>
      <w:r>
        <w:rPr>
          <w:rFonts w:ascii="Times New Roman" w:hAnsi="Times New Roman" w:cs="Times New Roman" w:eastAsiaTheme="minorEastAsia"/>
          <w:color w:val="auto"/>
          <w:w w:val="99"/>
          <w:kern w:val="2"/>
          <w:highlight w:val="none"/>
        </w:rPr>
        <w:t>1kg，</w:t>
      </w:r>
      <w:r>
        <w:rPr>
          <w:rFonts w:hint="eastAsia" w:ascii="Times New Roman" w:hAnsi="Times New Roman" w:cs="Times New Roman" w:eastAsiaTheme="minorEastAsia"/>
          <w:color w:val="auto"/>
          <w:w w:val="99"/>
          <w:kern w:val="2"/>
          <w:highlight w:val="none"/>
        </w:rPr>
        <w:t>因此</w:t>
      </w:r>
      <w:r>
        <w:rPr>
          <w:rFonts w:ascii="Times New Roman" w:hAnsi="Times New Roman" w:cs="Times New Roman" w:eastAsiaTheme="minorEastAsia"/>
          <w:color w:val="auto"/>
          <w:w w:val="99"/>
          <w:kern w:val="2"/>
          <w:highlight w:val="none"/>
        </w:rPr>
        <w:t>单井废包装袋产生量约为0.083t，本项目新钻</w:t>
      </w:r>
      <w:r>
        <w:rPr>
          <w:rFonts w:hint="eastAsia" w:ascii="Times New Roman" w:hAnsi="Times New Roman" w:cs="Times New Roman" w:eastAsiaTheme="minorEastAsia"/>
          <w:color w:val="auto"/>
          <w:w w:val="99"/>
          <w:kern w:val="2"/>
          <w:highlight w:val="none"/>
        </w:rPr>
        <w:t>4</w:t>
      </w:r>
      <w:r>
        <w:rPr>
          <w:rFonts w:hint="eastAsia" w:ascii="Times New Roman" w:hAnsi="Times New Roman" w:cs="Times New Roman" w:eastAsiaTheme="minorEastAsia"/>
          <w:color w:val="auto"/>
          <w:w w:val="99"/>
          <w:kern w:val="2"/>
          <w:highlight w:val="none"/>
          <w:lang w:val="en-US" w:eastAsia="zh-CN"/>
        </w:rPr>
        <w:t>4</w:t>
      </w:r>
      <w:r>
        <w:rPr>
          <w:rFonts w:hint="eastAsia" w:ascii="Times New Roman" w:hAnsi="Times New Roman" w:cs="Times New Roman" w:eastAsiaTheme="minorEastAsia"/>
          <w:color w:val="auto"/>
          <w:w w:val="99"/>
          <w:kern w:val="2"/>
          <w:highlight w:val="none"/>
        </w:rPr>
        <w:t>口</w:t>
      </w:r>
      <w:r>
        <w:rPr>
          <w:rFonts w:ascii="Times New Roman" w:hAnsi="Times New Roman" w:cs="Times New Roman" w:eastAsiaTheme="minorEastAsia"/>
          <w:color w:val="auto"/>
          <w:w w:val="99"/>
          <w:kern w:val="2"/>
          <w:highlight w:val="none"/>
        </w:rPr>
        <w:t>油井，故膨润土、纯碱、重晶石粉废弃包装产生量约为</w:t>
      </w:r>
      <w:r>
        <w:rPr>
          <w:rFonts w:hint="eastAsia" w:ascii="Times New Roman" w:hAnsi="Times New Roman" w:cs="Times New Roman" w:eastAsiaTheme="minorEastAsia"/>
          <w:color w:val="auto"/>
          <w:w w:val="99"/>
          <w:kern w:val="2"/>
          <w:highlight w:val="none"/>
        </w:rPr>
        <w:t>3.652</w:t>
      </w:r>
      <w:r>
        <w:rPr>
          <w:rFonts w:ascii="Times New Roman" w:hAnsi="Times New Roman" w:cs="Times New Roman" w:eastAsiaTheme="minorEastAsia"/>
          <w:color w:val="auto"/>
          <w:w w:val="99"/>
          <w:kern w:val="2"/>
          <w:highlight w:val="none"/>
        </w:rPr>
        <w:t>t。</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（5）废防渗布</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szCs w:val="20"/>
          <w:highlight w:val="none"/>
        </w:rPr>
        <w:t>为防止在钻井过程中钻井泥浆、钻井污水等污染地面从而造成对土壤、地下水的影响，需要在钻井过程</w:t>
      </w:r>
      <w:r>
        <w:rPr>
          <w:rFonts w:hint="eastAsia" w:ascii="Times New Roman" w:hAnsi="Times New Roman" w:cs="Times New Roman" w:eastAsiaTheme="minorEastAsia"/>
          <w:color w:val="auto"/>
          <w:w w:val="99"/>
          <w:kern w:val="2"/>
          <w:szCs w:val="20"/>
          <w:highlight w:val="none"/>
        </w:rPr>
        <w:t>中</w:t>
      </w:r>
      <w:r>
        <w:rPr>
          <w:rFonts w:ascii="Times New Roman" w:hAnsi="Times New Roman" w:cs="Times New Roman" w:eastAsiaTheme="minorEastAsia"/>
          <w:color w:val="auto"/>
          <w:w w:val="99"/>
          <w:kern w:val="2"/>
          <w:szCs w:val="20"/>
          <w:highlight w:val="none"/>
        </w:rPr>
        <w:t>在钻井平台附近铺设防渗布</w:t>
      </w:r>
      <w:r>
        <w:rPr>
          <w:rFonts w:hint="eastAsia" w:ascii="Times New Roman" w:hAnsi="Times New Roman" w:cs="Times New Roman" w:eastAsiaTheme="minorEastAsia"/>
          <w:color w:val="auto"/>
          <w:w w:val="99"/>
          <w:kern w:val="2"/>
          <w:highlight w:val="none"/>
        </w:rPr>
        <w:t>，</w:t>
      </w:r>
      <w:r>
        <w:rPr>
          <w:rFonts w:ascii="Times New Roman" w:hAnsi="Times New Roman" w:cs="Times New Roman" w:eastAsiaTheme="minorEastAsia"/>
          <w:color w:val="auto"/>
          <w:w w:val="99"/>
          <w:kern w:val="2"/>
          <w:highlight w:val="none"/>
        </w:rPr>
        <w:t>属于一般固体废物，</w:t>
      </w:r>
      <w:r>
        <w:rPr>
          <w:rFonts w:hint="eastAsia" w:ascii="Times New Roman" w:hAnsi="Times New Roman" w:cs="Times New Roman" w:eastAsiaTheme="minorEastAsia"/>
          <w:color w:val="auto"/>
          <w:w w:val="99"/>
          <w:kern w:val="2"/>
          <w:highlight w:val="none"/>
        </w:rPr>
        <w:t>分类</w:t>
      </w:r>
      <w:r>
        <w:rPr>
          <w:rFonts w:ascii="Times New Roman" w:hAnsi="Times New Roman" w:cs="Times New Roman" w:eastAsiaTheme="minorEastAsia"/>
          <w:color w:val="auto"/>
          <w:w w:val="99"/>
          <w:kern w:val="2"/>
          <w:highlight w:val="none"/>
        </w:rPr>
        <w:t>代码为</w:t>
      </w:r>
      <w:r>
        <w:rPr>
          <w:rFonts w:hint="eastAsia" w:ascii="Times New Roman" w:hAnsi="Times New Roman" w:cs="Times New Roman" w:eastAsiaTheme="minorEastAsia"/>
          <w:color w:val="auto"/>
          <w:w w:val="99"/>
          <w:kern w:val="2"/>
          <w:highlight w:val="none"/>
        </w:rPr>
        <w:t>900-999-99，</w:t>
      </w:r>
      <w:r>
        <w:rPr>
          <w:rFonts w:hint="eastAsia" w:ascii="Times New Roman" w:hAnsi="Times New Roman" w:cs="Times New Roman" w:eastAsiaTheme="minorEastAsia"/>
          <w:color w:val="auto"/>
          <w:w w:val="99"/>
          <w:kern w:val="2"/>
          <w:szCs w:val="20"/>
          <w:highlight w:val="none"/>
        </w:rPr>
        <w:t>本项目井场永久</w:t>
      </w:r>
      <w:r>
        <w:rPr>
          <w:rFonts w:ascii="Times New Roman" w:hAnsi="Times New Roman" w:cs="Times New Roman" w:eastAsiaTheme="minorEastAsia"/>
          <w:color w:val="auto"/>
          <w:w w:val="99"/>
          <w:kern w:val="2"/>
          <w:szCs w:val="20"/>
          <w:highlight w:val="none"/>
        </w:rPr>
        <w:t>占地</w:t>
      </w:r>
      <w:r>
        <w:rPr>
          <w:rFonts w:hint="eastAsia" w:ascii="Times New Roman" w:hAnsi="Times New Roman" w:cs="Times New Roman" w:eastAsiaTheme="minorEastAsia"/>
          <w:color w:val="auto"/>
          <w:w w:val="99"/>
          <w:kern w:val="2"/>
          <w:szCs w:val="20"/>
          <w:highlight w:val="none"/>
          <w:lang w:val="en-US" w:eastAsia="zh-CN"/>
        </w:rPr>
        <w:t>6.16</w:t>
      </w:r>
      <w:r>
        <w:rPr>
          <w:rFonts w:ascii="Times New Roman" w:hAnsi="Times New Roman" w:cs="Times New Roman" w:eastAsiaTheme="minorEastAsia"/>
          <w:color w:val="auto"/>
          <w:w w:val="99"/>
          <w:kern w:val="2"/>
          <w:szCs w:val="20"/>
          <w:highlight w:val="none"/>
        </w:rPr>
        <w:t>hm</w:t>
      </w:r>
      <w:r>
        <w:rPr>
          <w:rFonts w:ascii="Times New Roman" w:hAnsi="Times New Roman" w:cs="Times New Roman" w:eastAsiaTheme="minorEastAsia"/>
          <w:color w:val="auto"/>
          <w:w w:val="99"/>
          <w:kern w:val="2"/>
          <w:szCs w:val="20"/>
          <w:highlight w:val="none"/>
          <w:vertAlign w:val="superscript"/>
        </w:rPr>
        <w:t>2</w:t>
      </w:r>
      <w:r>
        <w:rPr>
          <w:rFonts w:ascii="Times New Roman" w:hAnsi="Times New Roman" w:cs="Times New Roman" w:eastAsiaTheme="minorEastAsia"/>
          <w:color w:val="auto"/>
          <w:w w:val="99"/>
          <w:kern w:val="2"/>
          <w:szCs w:val="20"/>
          <w:highlight w:val="none"/>
        </w:rPr>
        <w:t>，</w:t>
      </w:r>
      <w:r>
        <w:rPr>
          <w:rFonts w:hint="eastAsia" w:ascii="Times New Roman" w:hAnsi="Times New Roman" w:cs="Times New Roman" w:eastAsiaTheme="minorEastAsia"/>
          <w:color w:val="auto"/>
          <w:w w:val="99"/>
          <w:kern w:val="2"/>
          <w:szCs w:val="20"/>
          <w:highlight w:val="none"/>
        </w:rPr>
        <w:t>每</w:t>
      </w:r>
      <w:r>
        <w:rPr>
          <w:rFonts w:ascii="Times New Roman" w:hAnsi="Times New Roman" w:cs="Times New Roman" w:eastAsiaTheme="minorEastAsia"/>
          <w:color w:val="auto"/>
          <w:w w:val="99"/>
          <w:kern w:val="2"/>
          <w:szCs w:val="20"/>
          <w:highlight w:val="none"/>
        </w:rPr>
        <w:t>平米防渗布重</w:t>
      </w:r>
      <w:r>
        <w:rPr>
          <w:rFonts w:hint="eastAsia" w:ascii="Times New Roman" w:hAnsi="Times New Roman" w:cs="Times New Roman" w:eastAsiaTheme="minorEastAsia"/>
          <w:color w:val="auto"/>
          <w:w w:val="99"/>
          <w:kern w:val="2"/>
          <w:szCs w:val="20"/>
          <w:highlight w:val="none"/>
        </w:rPr>
        <w:t>约</w:t>
      </w:r>
      <w:r>
        <w:rPr>
          <w:rFonts w:ascii="Times New Roman" w:hAnsi="Times New Roman" w:cs="Times New Roman" w:eastAsiaTheme="minorEastAsia"/>
          <w:color w:val="auto"/>
          <w:w w:val="99"/>
          <w:kern w:val="2"/>
          <w:szCs w:val="20"/>
          <w:highlight w:val="none"/>
        </w:rPr>
        <w:t>0.25kg，故本工程共产生废弃防渗布</w:t>
      </w:r>
      <w:r>
        <w:rPr>
          <w:rFonts w:hint="eastAsia" w:ascii="Times New Roman" w:hAnsi="Times New Roman" w:cs="Times New Roman" w:eastAsiaTheme="minorEastAsia"/>
          <w:color w:val="auto"/>
          <w:w w:val="99"/>
          <w:kern w:val="2"/>
          <w:szCs w:val="20"/>
          <w:highlight w:val="none"/>
          <w:lang w:val="en-US" w:eastAsia="zh-CN"/>
        </w:rPr>
        <w:t>15.4</w:t>
      </w:r>
      <w:r>
        <w:rPr>
          <w:rFonts w:ascii="Times New Roman" w:hAnsi="Times New Roman" w:cs="Times New Roman" w:eastAsiaTheme="minorEastAsia"/>
          <w:color w:val="auto"/>
          <w:w w:val="99"/>
          <w:kern w:val="2"/>
          <w:szCs w:val="20"/>
          <w:highlight w:val="none"/>
        </w:rPr>
        <w:t>t。</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（6）生活垃圾</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本工程施工期每人产生生活垃圾0.5kg/d计，</w:t>
      </w:r>
      <w:r>
        <w:rPr>
          <w:rFonts w:hint="eastAsia" w:ascii="Times New Roman" w:hAnsi="Times New Roman" w:cs="Times New Roman" w:eastAsiaTheme="minorEastAsia"/>
          <w:color w:val="auto"/>
          <w:w w:val="99"/>
          <w:kern w:val="2"/>
          <w:highlight w:val="none"/>
        </w:rPr>
        <w:t>则</w:t>
      </w:r>
      <w:r>
        <w:rPr>
          <w:rFonts w:ascii="Times New Roman" w:hAnsi="Times New Roman" w:cs="Times New Roman" w:eastAsiaTheme="minorEastAsia"/>
          <w:color w:val="auto"/>
          <w:w w:val="99"/>
          <w:kern w:val="2"/>
          <w:highlight w:val="none"/>
        </w:rPr>
        <w:t>施工期生活垃圾产生量为</w:t>
      </w:r>
      <w:r>
        <w:rPr>
          <w:rFonts w:hint="eastAsia" w:ascii="Times New Roman" w:hAnsi="Times New Roman" w:cs="Times New Roman" w:eastAsiaTheme="minorEastAsia"/>
          <w:color w:val="auto"/>
          <w:w w:val="99"/>
          <w:kern w:val="2"/>
          <w:highlight w:val="none"/>
          <w:lang w:val="en-US" w:eastAsia="zh-CN"/>
        </w:rPr>
        <w:t>3.08</w:t>
      </w:r>
      <w:r>
        <w:rPr>
          <w:rFonts w:ascii="Times New Roman" w:hAnsi="Times New Roman" w:cs="Times New Roman" w:eastAsiaTheme="minorEastAsia"/>
          <w:color w:val="auto"/>
          <w:w w:val="99"/>
          <w:kern w:val="2"/>
          <w:highlight w:val="none"/>
        </w:rPr>
        <w:t>t。生活垃圾</w:t>
      </w:r>
      <w:r>
        <w:rPr>
          <w:rFonts w:hint="eastAsia" w:ascii="Times New Roman" w:hAnsi="Times New Roman" w:cs="Times New Roman" w:eastAsiaTheme="minorEastAsia"/>
          <w:color w:val="auto"/>
          <w:w w:val="99"/>
          <w:kern w:val="2"/>
          <w:highlight w:val="none"/>
        </w:rPr>
        <w:t>统一收集后运至</w:t>
      </w:r>
      <w:r>
        <w:rPr>
          <w:rFonts w:hint="eastAsia" w:ascii="Times New Roman" w:hAnsi="Times New Roman" w:cs="Times New Roman" w:eastAsiaTheme="minorEastAsia"/>
          <w:color w:val="auto"/>
          <w:w w:val="99"/>
          <w:kern w:val="2"/>
          <w:highlight w:val="none"/>
          <w:lang w:eastAsia="zh-CN"/>
        </w:rPr>
        <w:t>肇东市生活垃圾填埋场</w:t>
      </w:r>
      <w:r>
        <w:rPr>
          <w:rFonts w:hint="eastAsia" w:ascii="Times New Roman" w:hAnsi="Times New Roman" w:cs="Times New Roman" w:eastAsiaTheme="minorEastAsia"/>
          <w:color w:val="auto"/>
          <w:w w:val="99"/>
          <w:kern w:val="2"/>
          <w:highlight w:val="none"/>
        </w:rPr>
        <w:t>处理</w:t>
      </w:r>
      <w:r>
        <w:rPr>
          <w:rFonts w:ascii="Times New Roman" w:hAnsi="Times New Roman" w:cs="Times New Roman" w:eastAsiaTheme="minorEastAsia"/>
          <w:color w:val="auto"/>
          <w:w w:val="99"/>
          <w:kern w:val="2"/>
          <w:highlight w:val="none"/>
        </w:rPr>
        <w:t>。</w:t>
      </w:r>
    </w:p>
    <w:p>
      <w:pPr>
        <w:widowControl w:val="0"/>
        <w:spacing w:line="500" w:lineRule="exact"/>
        <w:ind w:firstLine="474" w:firstLineChars="200"/>
        <w:rPr>
          <w:rFonts w:ascii="Times New Roman" w:hAnsi="Times New Roman" w:cs="Times New Roman" w:eastAsiaTheme="minorEastAsia"/>
          <w:color w:val="auto"/>
          <w:w w:val="99"/>
          <w:kern w:val="2"/>
          <w:szCs w:val="32"/>
          <w:highlight w:val="none"/>
        </w:rPr>
      </w:pPr>
      <w:r>
        <w:rPr>
          <w:rFonts w:ascii="Times New Roman" w:hAnsi="Times New Roman" w:cs="Times New Roman" w:eastAsiaTheme="minorEastAsia"/>
          <w:color w:val="auto"/>
          <w:w w:val="99"/>
          <w:kern w:val="2"/>
          <w:szCs w:val="32"/>
          <w:highlight w:val="none"/>
        </w:rPr>
        <w:t>（7）危险废物</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由于本项目的钻井液中需要使用KOH，所以会产生包装KOH的废包装袋。</w:t>
      </w:r>
      <w:r>
        <w:rPr>
          <w:rFonts w:hint="eastAsia" w:ascii="Times New Roman" w:hAnsi="Times New Roman" w:cs="Times New Roman" w:eastAsiaTheme="minorEastAsia"/>
          <w:color w:val="auto"/>
          <w:w w:val="99"/>
          <w:kern w:val="2"/>
          <w:highlight w:val="none"/>
        </w:rPr>
        <w:t>单个</w:t>
      </w:r>
      <w:r>
        <w:rPr>
          <w:rFonts w:ascii="Times New Roman" w:hAnsi="Times New Roman" w:cs="Times New Roman" w:eastAsiaTheme="minorEastAsia"/>
          <w:color w:val="auto"/>
          <w:w w:val="99"/>
          <w:kern w:val="2"/>
          <w:highlight w:val="none"/>
        </w:rPr>
        <w:t>KOH包装袋包装规格为</w:t>
      </w:r>
      <w:r>
        <w:rPr>
          <w:rFonts w:hint="eastAsia" w:ascii="Times New Roman" w:hAnsi="Times New Roman" w:cs="Times New Roman" w:eastAsiaTheme="minorEastAsia"/>
          <w:color w:val="auto"/>
          <w:w w:val="99"/>
          <w:kern w:val="2"/>
          <w:highlight w:val="none"/>
        </w:rPr>
        <w:t>25</w:t>
      </w:r>
      <w:r>
        <w:rPr>
          <w:rFonts w:ascii="Times New Roman" w:hAnsi="Times New Roman" w:cs="Times New Roman" w:eastAsiaTheme="minorEastAsia"/>
          <w:color w:val="auto"/>
          <w:w w:val="99"/>
          <w:kern w:val="2"/>
          <w:highlight w:val="none"/>
        </w:rPr>
        <w:t>kg，单个包装袋重</w:t>
      </w:r>
      <w:r>
        <w:rPr>
          <w:rFonts w:hint="eastAsia" w:ascii="Times New Roman" w:hAnsi="Times New Roman" w:cs="Times New Roman" w:eastAsiaTheme="minorEastAsia"/>
          <w:color w:val="auto"/>
          <w:w w:val="99"/>
          <w:kern w:val="2"/>
          <w:highlight w:val="none"/>
        </w:rPr>
        <w:t>约0.0</w:t>
      </w:r>
      <w:r>
        <w:rPr>
          <w:rFonts w:ascii="Times New Roman" w:hAnsi="Times New Roman" w:cs="Times New Roman" w:eastAsiaTheme="minorEastAsia"/>
          <w:color w:val="auto"/>
          <w:w w:val="99"/>
          <w:kern w:val="2"/>
          <w:highlight w:val="none"/>
        </w:rPr>
        <w:t>1kg</w:t>
      </w:r>
      <w:r>
        <w:rPr>
          <w:rFonts w:hint="eastAsia" w:ascii="Times New Roman" w:hAnsi="Times New Roman" w:cs="Times New Roman" w:eastAsiaTheme="minorEastAsia"/>
          <w:color w:val="auto"/>
          <w:w w:val="99"/>
          <w:kern w:val="2"/>
          <w:highlight w:val="none"/>
        </w:rPr>
        <w:t>，根据</w:t>
      </w:r>
      <w:r>
        <w:rPr>
          <w:rFonts w:ascii="Times New Roman" w:hAnsi="Times New Roman" w:cs="Times New Roman" w:eastAsiaTheme="minorEastAsia"/>
          <w:color w:val="auto"/>
          <w:w w:val="99"/>
          <w:kern w:val="2"/>
          <w:highlight w:val="none"/>
        </w:rPr>
        <w:t>钻井液材料表，单井</w:t>
      </w:r>
      <w:r>
        <w:rPr>
          <w:rFonts w:hint="eastAsia" w:ascii="Times New Roman" w:hAnsi="Times New Roman" w:cs="Times New Roman" w:eastAsiaTheme="minorEastAsia"/>
          <w:color w:val="auto"/>
          <w:w w:val="99"/>
          <w:kern w:val="2"/>
          <w:highlight w:val="none"/>
        </w:rPr>
        <w:t>KOH用量</w:t>
      </w:r>
      <w:r>
        <w:rPr>
          <w:rFonts w:ascii="Times New Roman" w:hAnsi="Times New Roman" w:cs="Times New Roman" w:eastAsiaTheme="minorEastAsia"/>
          <w:color w:val="auto"/>
          <w:w w:val="99"/>
          <w:kern w:val="2"/>
          <w:highlight w:val="none"/>
        </w:rPr>
        <w:t>为</w:t>
      </w:r>
      <w:r>
        <w:rPr>
          <w:rFonts w:hint="eastAsia" w:ascii="Times New Roman" w:hAnsi="Times New Roman" w:cs="Times New Roman" w:eastAsiaTheme="minorEastAsia"/>
          <w:color w:val="auto"/>
          <w:w w:val="99"/>
          <w:kern w:val="2"/>
          <w:highlight w:val="none"/>
        </w:rPr>
        <w:t>0.2</w:t>
      </w:r>
      <w:r>
        <w:rPr>
          <w:rFonts w:ascii="Times New Roman" w:hAnsi="Times New Roman" w:cs="Times New Roman" w:eastAsiaTheme="minorEastAsia"/>
          <w:color w:val="auto"/>
          <w:w w:val="99"/>
          <w:kern w:val="2"/>
          <w:highlight w:val="none"/>
        </w:rPr>
        <w:t>t，则单井KOH包装袋产生量约为0.08kg，本项目新钻</w:t>
      </w:r>
      <w:r>
        <w:rPr>
          <w:rFonts w:hint="eastAsia" w:ascii="Times New Roman" w:hAnsi="Times New Roman" w:cs="Times New Roman" w:eastAsiaTheme="minorEastAsia"/>
          <w:color w:val="auto"/>
          <w:w w:val="99"/>
          <w:kern w:val="2"/>
          <w:highlight w:val="none"/>
        </w:rPr>
        <w:t>4</w:t>
      </w:r>
      <w:r>
        <w:rPr>
          <w:rFonts w:hint="eastAsia" w:ascii="Times New Roman" w:hAnsi="Times New Roman" w:cs="Times New Roman" w:eastAsiaTheme="minorEastAsia"/>
          <w:color w:val="auto"/>
          <w:w w:val="99"/>
          <w:kern w:val="2"/>
          <w:highlight w:val="none"/>
          <w:lang w:val="en-US" w:eastAsia="zh-CN"/>
        </w:rPr>
        <w:t>4</w:t>
      </w:r>
      <w:r>
        <w:rPr>
          <w:rFonts w:hint="eastAsia" w:ascii="Times New Roman" w:hAnsi="Times New Roman" w:cs="Times New Roman" w:eastAsiaTheme="minorEastAsia"/>
          <w:color w:val="auto"/>
          <w:w w:val="99"/>
          <w:kern w:val="2"/>
          <w:highlight w:val="none"/>
        </w:rPr>
        <w:t>口</w:t>
      </w:r>
      <w:r>
        <w:rPr>
          <w:rFonts w:ascii="Times New Roman" w:hAnsi="Times New Roman" w:cs="Times New Roman" w:eastAsiaTheme="minorEastAsia"/>
          <w:color w:val="auto"/>
          <w:w w:val="99"/>
          <w:kern w:val="2"/>
          <w:highlight w:val="none"/>
        </w:rPr>
        <w:t>油井，故KOH包装袋产生量约为0.0</w:t>
      </w:r>
      <w:r>
        <w:rPr>
          <w:rFonts w:hint="eastAsia" w:ascii="Times New Roman" w:hAnsi="Times New Roman" w:cs="Times New Roman" w:eastAsiaTheme="minorEastAsia"/>
          <w:color w:val="auto"/>
          <w:w w:val="99"/>
          <w:kern w:val="2"/>
          <w:highlight w:val="none"/>
          <w:lang w:val="en-US" w:eastAsia="zh-CN"/>
        </w:rPr>
        <w:t>0352</w:t>
      </w:r>
      <w:r>
        <w:rPr>
          <w:rFonts w:ascii="Times New Roman" w:hAnsi="Times New Roman" w:cs="Times New Roman" w:eastAsiaTheme="minorEastAsia"/>
          <w:color w:val="auto"/>
          <w:w w:val="99"/>
          <w:kern w:val="2"/>
          <w:highlight w:val="none"/>
        </w:rPr>
        <w:t>t。</w:t>
      </w:r>
      <w:r>
        <w:rPr>
          <w:rFonts w:ascii="Times New Roman" w:hAnsi="Times New Roman" w:cs="Times New Roman" w:eastAsiaTheme="minorEastAsia"/>
          <w:color w:val="auto"/>
          <w:w w:val="99"/>
          <w:kern w:val="2"/>
          <w:szCs w:val="22"/>
          <w:highlight w:val="none"/>
        </w:rPr>
        <w:t>根</w:t>
      </w:r>
      <w:r>
        <w:rPr>
          <w:rFonts w:ascii="Times New Roman" w:hAnsi="Times New Roman" w:cs="Times New Roman" w:eastAsiaTheme="minorEastAsia"/>
          <w:color w:val="auto"/>
          <w:w w:val="99"/>
          <w:kern w:val="2"/>
          <w:szCs w:val="20"/>
          <w:highlight w:val="none"/>
        </w:rPr>
        <w:t>据</w:t>
      </w:r>
      <w:r>
        <w:rPr>
          <w:rFonts w:ascii="Times New Roman" w:hAnsi="Times New Roman" w:cs="Times New Roman" w:eastAsiaTheme="minorEastAsia"/>
          <w:snapToGrid w:val="0"/>
          <w:color w:val="auto"/>
          <w:w w:val="99"/>
          <w:highlight w:val="none"/>
        </w:rPr>
        <w:t>《国家危险废物名录（2021年版）》（部令第15号）</w:t>
      </w:r>
      <w:r>
        <w:rPr>
          <w:rFonts w:ascii="Times New Roman" w:hAnsi="Times New Roman" w:cs="Times New Roman" w:eastAsiaTheme="minorEastAsia"/>
          <w:color w:val="auto"/>
          <w:w w:val="99"/>
          <w:kern w:val="2"/>
          <w:szCs w:val="20"/>
          <w:highlight w:val="none"/>
        </w:rPr>
        <w:t>，</w:t>
      </w:r>
      <w:r>
        <w:rPr>
          <w:rFonts w:ascii="Times New Roman" w:hAnsi="Times New Roman" w:cs="Times New Roman" w:eastAsiaTheme="minorEastAsia"/>
          <w:color w:val="auto"/>
          <w:w w:val="99"/>
          <w:kern w:val="2"/>
          <w:highlight w:val="none"/>
        </w:rPr>
        <w:t>KOH废包装袋</w:t>
      </w:r>
      <w:r>
        <w:rPr>
          <w:rFonts w:ascii="Times New Roman" w:hAnsi="Times New Roman" w:cs="Times New Roman" w:eastAsiaTheme="minorEastAsia"/>
          <w:color w:val="auto"/>
          <w:w w:val="99"/>
          <w:kern w:val="2"/>
          <w:szCs w:val="20"/>
          <w:highlight w:val="none"/>
        </w:rPr>
        <w:t>为危险废物，危险废物类别为HW49其他废物，代码为900-041-49“含有或沾染毒性、感染性危险废物的废弃包装物、容器、过滤吸附介质”，危险特性为T（毒性），</w:t>
      </w:r>
      <w:r>
        <w:rPr>
          <w:rFonts w:ascii="Times New Roman" w:hAnsi="Times New Roman" w:cs="Times New Roman" w:eastAsiaTheme="minorEastAsia"/>
          <w:color w:val="auto"/>
          <w:w w:val="99"/>
          <w:kern w:val="2"/>
          <w:highlight w:val="none"/>
        </w:rPr>
        <w:t>井场内废KOH包装袋经收集后直接由施工单位委托资质单位处理，不在井场暂存。</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本项目危险废物具体情况见表</w:t>
      </w:r>
      <w:r>
        <w:rPr>
          <w:rFonts w:ascii="Times New Roman" w:hAnsi="Times New Roman" w:cs="Times New Roman" w:eastAsiaTheme="minorEastAsia"/>
          <w:color w:val="auto"/>
          <w:w w:val="99"/>
          <w:highlight w:val="none"/>
        </w:rPr>
        <w:t>3.</w:t>
      </w:r>
      <w:r>
        <w:rPr>
          <w:rFonts w:hint="eastAsia" w:ascii="Times New Roman" w:hAnsi="Times New Roman" w:cs="Times New Roman" w:eastAsiaTheme="minorEastAsia"/>
          <w:color w:val="auto"/>
          <w:w w:val="99"/>
          <w:highlight w:val="none"/>
          <w:lang w:val="en-US" w:eastAsia="zh-CN"/>
        </w:rPr>
        <w:t>12</w:t>
      </w:r>
      <w:r>
        <w:rPr>
          <w:rFonts w:ascii="Times New Roman" w:hAnsi="Times New Roman" w:cs="Times New Roman" w:eastAsiaTheme="minorEastAsia"/>
          <w:color w:val="auto"/>
          <w:w w:val="99"/>
          <w:highlight w:val="none"/>
        </w:rPr>
        <w:t>-6</w:t>
      </w:r>
      <w:r>
        <w:rPr>
          <w:rFonts w:ascii="Times New Roman" w:hAnsi="Times New Roman" w:cs="Times New Roman" w:eastAsiaTheme="minorEastAsia"/>
          <w:color w:val="auto"/>
          <w:w w:val="99"/>
          <w:kern w:val="2"/>
          <w:szCs w:val="20"/>
          <w:highlight w:val="none"/>
        </w:rPr>
        <w:t>。</w:t>
      </w:r>
    </w:p>
    <w:p>
      <w:pPr>
        <w:widowControl w:val="0"/>
        <w:spacing w:line="500" w:lineRule="exact"/>
        <w:ind w:firstLine="474" w:firstLineChars="200"/>
        <w:rPr>
          <w:rFonts w:ascii="Times New Roman" w:hAnsi="Times New Roman" w:cs="Times New Roman" w:eastAsiaTheme="minorEastAsia"/>
          <w:b/>
          <w:bCs/>
          <w:color w:val="auto"/>
          <w:w w:val="99"/>
          <w:kern w:val="2"/>
          <w:highlight w:val="none"/>
        </w:rPr>
      </w:pPr>
      <w:r>
        <w:rPr>
          <w:rFonts w:ascii="Times New Roman" w:hAnsi="Times New Roman" w:cs="Times New Roman" w:eastAsiaTheme="minorEastAsia"/>
          <w:b/>
          <w:bCs/>
          <w:color w:val="auto"/>
          <w:w w:val="99"/>
          <w:kern w:val="2"/>
          <w:highlight w:val="none"/>
        </w:rPr>
        <w:t>表</w:t>
      </w:r>
      <w:r>
        <w:rPr>
          <w:rFonts w:ascii="Times New Roman" w:hAnsi="Times New Roman" w:cs="Times New Roman" w:eastAsiaTheme="minorEastAsia"/>
          <w:b/>
          <w:bCs/>
          <w:color w:val="auto"/>
          <w:w w:val="99"/>
          <w:highlight w:val="none"/>
        </w:rPr>
        <w:t>3.1</w:t>
      </w:r>
      <w:r>
        <w:rPr>
          <w:rFonts w:hint="eastAsia" w:ascii="Times New Roman" w:hAnsi="Times New Roman" w:cs="Times New Roman" w:eastAsiaTheme="minorEastAsia"/>
          <w:b/>
          <w:bCs/>
          <w:color w:val="auto"/>
          <w:w w:val="99"/>
          <w:highlight w:val="none"/>
          <w:lang w:val="en-US" w:eastAsia="zh-CN"/>
        </w:rPr>
        <w:t>2</w:t>
      </w:r>
      <w:r>
        <w:rPr>
          <w:rFonts w:ascii="Times New Roman" w:hAnsi="Times New Roman" w:cs="Times New Roman" w:eastAsiaTheme="minorEastAsia"/>
          <w:b/>
          <w:bCs/>
          <w:color w:val="auto"/>
          <w:w w:val="99"/>
          <w:highlight w:val="none"/>
        </w:rPr>
        <w:t>-6</w:t>
      </w:r>
      <w:r>
        <w:rPr>
          <w:rFonts w:ascii="Times New Roman" w:hAnsi="Times New Roman" w:cs="Times New Roman" w:eastAsiaTheme="minorEastAsia"/>
          <w:b/>
          <w:bCs/>
          <w:color w:val="auto"/>
          <w:w w:val="99"/>
          <w:kern w:val="2"/>
          <w:highlight w:val="none"/>
        </w:rPr>
        <w:t xml:space="preserve">                  危险废物情况一览表</w:t>
      </w:r>
    </w:p>
    <w:tbl>
      <w:tblPr>
        <w:tblStyle w:val="8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1061"/>
        <w:gridCol w:w="1245"/>
        <w:gridCol w:w="950"/>
        <w:gridCol w:w="846"/>
        <w:gridCol w:w="1136"/>
        <w:gridCol w:w="848"/>
        <w:gridCol w:w="22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危险废物名称</w:t>
            </w:r>
          </w:p>
        </w:tc>
        <w:tc>
          <w:tcPr>
            <w:tcW w:w="585"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危险废物类别</w:t>
            </w:r>
          </w:p>
        </w:tc>
        <w:tc>
          <w:tcPr>
            <w:tcW w:w="684"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危险废物</w:t>
            </w:r>
          </w:p>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代码</w:t>
            </w:r>
          </w:p>
        </w:tc>
        <w:tc>
          <w:tcPr>
            <w:tcW w:w="416"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产生量</w:t>
            </w:r>
          </w:p>
        </w:tc>
        <w:tc>
          <w:tcPr>
            <w:tcW w:w="469"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形态</w:t>
            </w:r>
          </w:p>
        </w:tc>
        <w:tc>
          <w:tcPr>
            <w:tcW w:w="625"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有害</w:t>
            </w:r>
          </w:p>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成分</w:t>
            </w:r>
          </w:p>
        </w:tc>
        <w:tc>
          <w:tcPr>
            <w:tcW w:w="470"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危险</w:t>
            </w:r>
          </w:p>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特性</w:t>
            </w:r>
          </w:p>
        </w:tc>
        <w:tc>
          <w:tcPr>
            <w:tcW w:w="1248"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KOH废包装袋</w:t>
            </w:r>
          </w:p>
        </w:tc>
        <w:tc>
          <w:tcPr>
            <w:tcW w:w="585"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HW49</w:t>
            </w:r>
          </w:p>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其他废物</w:t>
            </w:r>
            <w:r>
              <w:rPr>
                <w:rFonts w:ascii="Times New Roman" w:hAnsi="Times New Roman" w:cs="Times New Roman" w:eastAsiaTheme="minorEastAsia"/>
                <w:color w:val="auto"/>
                <w:w w:val="99"/>
                <w:sz w:val="21"/>
                <w:szCs w:val="21"/>
                <w:highlight w:val="none"/>
              </w:rPr>
              <w:t xml:space="preserve"> </w:t>
            </w:r>
          </w:p>
        </w:tc>
        <w:tc>
          <w:tcPr>
            <w:tcW w:w="684"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900-041-49</w:t>
            </w:r>
          </w:p>
        </w:tc>
        <w:tc>
          <w:tcPr>
            <w:tcW w:w="416"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0.0</w:t>
            </w:r>
            <w:r>
              <w:rPr>
                <w:rFonts w:hint="eastAsia" w:ascii="Times New Roman" w:hAnsi="Times New Roman" w:cs="Times New Roman" w:eastAsiaTheme="minorEastAsia"/>
                <w:color w:val="auto"/>
                <w:w w:val="99"/>
                <w:sz w:val="21"/>
                <w:szCs w:val="21"/>
                <w:highlight w:val="none"/>
                <w:lang w:val="en-US" w:eastAsia="zh-CN"/>
              </w:rPr>
              <w:t>0352</w:t>
            </w:r>
            <w:r>
              <w:rPr>
                <w:rFonts w:ascii="Times New Roman" w:hAnsi="Times New Roman" w:cs="Times New Roman" w:eastAsiaTheme="minorEastAsia"/>
                <w:color w:val="auto"/>
                <w:w w:val="99"/>
                <w:sz w:val="21"/>
                <w:szCs w:val="21"/>
                <w:highlight w:val="none"/>
              </w:rPr>
              <w:t>t</w:t>
            </w:r>
          </w:p>
        </w:tc>
        <w:tc>
          <w:tcPr>
            <w:tcW w:w="469"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固态</w:t>
            </w:r>
          </w:p>
        </w:tc>
        <w:tc>
          <w:tcPr>
            <w:tcW w:w="625"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KOH</w:t>
            </w:r>
          </w:p>
        </w:tc>
        <w:tc>
          <w:tcPr>
            <w:tcW w:w="470"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T/In</w:t>
            </w:r>
          </w:p>
        </w:tc>
        <w:tc>
          <w:tcPr>
            <w:tcW w:w="1248" w:type="pct"/>
            <w:vAlign w:val="center"/>
          </w:tcPr>
          <w:p>
            <w:pPr>
              <w:widowControl w:val="0"/>
              <w:spacing w:line="36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经收集后直接由施工单位委托资质单位处理，不在井场暂存。</w:t>
            </w:r>
          </w:p>
        </w:tc>
      </w:tr>
    </w:tbl>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本项目固体废物污染源源强核算结果见表</w:t>
      </w:r>
      <w:r>
        <w:rPr>
          <w:rFonts w:ascii="Times New Roman" w:hAnsi="Times New Roman" w:cs="Times New Roman" w:eastAsiaTheme="minorEastAsia"/>
          <w:color w:val="auto"/>
          <w:w w:val="99"/>
          <w:highlight w:val="none"/>
        </w:rPr>
        <w:t>3.1</w:t>
      </w:r>
      <w:r>
        <w:rPr>
          <w:rFonts w:hint="eastAsia" w:ascii="Times New Roman" w:hAnsi="Times New Roman" w:cs="Times New Roman" w:eastAsiaTheme="minorEastAsia"/>
          <w:color w:val="auto"/>
          <w:w w:val="99"/>
          <w:highlight w:val="none"/>
          <w:lang w:val="en-US" w:eastAsia="zh-CN"/>
        </w:rPr>
        <w:t>2</w:t>
      </w:r>
      <w:r>
        <w:rPr>
          <w:rFonts w:ascii="Times New Roman" w:hAnsi="Times New Roman" w:cs="Times New Roman" w:eastAsiaTheme="minorEastAsia"/>
          <w:color w:val="auto"/>
          <w:w w:val="99"/>
          <w:highlight w:val="none"/>
        </w:rPr>
        <w:t>-7</w:t>
      </w:r>
      <w:r>
        <w:rPr>
          <w:rFonts w:ascii="Times New Roman" w:hAnsi="Times New Roman" w:cs="Times New Roman" w:eastAsiaTheme="minorEastAsia"/>
          <w:color w:val="auto"/>
          <w:w w:val="99"/>
          <w:kern w:val="2"/>
          <w:szCs w:val="20"/>
          <w:highlight w:val="none"/>
        </w:rPr>
        <w:t>。</w:t>
      </w:r>
    </w:p>
    <w:p>
      <w:pPr>
        <w:widowControl w:val="0"/>
        <w:spacing w:line="500" w:lineRule="exact"/>
        <w:ind w:firstLine="474" w:firstLineChars="200"/>
        <w:rPr>
          <w:rFonts w:ascii="Times New Roman" w:hAnsi="Times New Roman" w:cs="Times New Roman" w:eastAsiaTheme="minorEastAsia"/>
          <w:b/>
          <w:bCs/>
          <w:color w:val="auto"/>
          <w:w w:val="99"/>
          <w:kern w:val="2"/>
          <w:highlight w:val="none"/>
        </w:rPr>
      </w:pPr>
      <w:r>
        <w:rPr>
          <w:rFonts w:ascii="Times New Roman" w:hAnsi="Times New Roman" w:cs="Times New Roman" w:eastAsiaTheme="minorEastAsia"/>
          <w:b/>
          <w:bCs/>
          <w:color w:val="auto"/>
          <w:w w:val="99"/>
          <w:kern w:val="2"/>
          <w:highlight w:val="none"/>
        </w:rPr>
        <w:t>表</w:t>
      </w:r>
      <w:r>
        <w:rPr>
          <w:rFonts w:ascii="Times New Roman" w:hAnsi="Times New Roman" w:cs="Times New Roman" w:eastAsiaTheme="minorEastAsia"/>
          <w:b/>
          <w:bCs/>
          <w:color w:val="auto"/>
          <w:w w:val="99"/>
          <w:highlight w:val="none"/>
        </w:rPr>
        <w:t>3.1</w:t>
      </w:r>
      <w:r>
        <w:rPr>
          <w:rFonts w:hint="eastAsia" w:ascii="Times New Roman" w:hAnsi="Times New Roman" w:cs="Times New Roman" w:eastAsiaTheme="minorEastAsia"/>
          <w:b/>
          <w:bCs/>
          <w:color w:val="auto"/>
          <w:w w:val="99"/>
          <w:highlight w:val="none"/>
          <w:lang w:val="en-US" w:eastAsia="zh-CN"/>
        </w:rPr>
        <w:t>2</w:t>
      </w:r>
      <w:r>
        <w:rPr>
          <w:rFonts w:ascii="Times New Roman" w:hAnsi="Times New Roman" w:cs="Times New Roman" w:eastAsiaTheme="minorEastAsia"/>
          <w:b/>
          <w:bCs/>
          <w:color w:val="auto"/>
          <w:w w:val="99"/>
          <w:highlight w:val="none"/>
        </w:rPr>
        <w:t>-7</w:t>
      </w:r>
      <w:r>
        <w:rPr>
          <w:rFonts w:ascii="Times New Roman" w:hAnsi="Times New Roman" w:cs="Times New Roman" w:eastAsiaTheme="minorEastAsia"/>
          <w:b/>
          <w:bCs/>
          <w:color w:val="auto"/>
          <w:w w:val="99"/>
          <w:kern w:val="2"/>
          <w:highlight w:val="none"/>
        </w:rPr>
        <w:t xml:space="preserve">           本项目固体废物污染源强核算结果表</w:t>
      </w:r>
    </w:p>
    <w:tbl>
      <w:tblPr>
        <w:tblStyle w:val="8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7"/>
        <w:gridCol w:w="1311"/>
        <w:gridCol w:w="1092"/>
        <w:gridCol w:w="1121"/>
        <w:gridCol w:w="1286"/>
        <w:gridCol w:w="1122"/>
        <w:gridCol w:w="28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3" w:type="pct"/>
            <w:vMerge w:val="restar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工序</w:t>
            </w:r>
          </w:p>
        </w:tc>
        <w:tc>
          <w:tcPr>
            <w:tcW w:w="735" w:type="pct"/>
            <w:vMerge w:val="restar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固体废物名称</w:t>
            </w:r>
          </w:p>
        </w:tc>
        <w:tc>
          <w:tcPr>
            <w:tcW w:w="1157" w:type="pct"/>
            <w:gridSpan w:val="2"/>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产生情况</w:t>
            </w:r>
          </w:p>
        </w:tc>
        <w:tc>
          <w:tcPr>
            <w:tcW w:w="1244" w:type="pct"/>
            <w:gridSpan w:val="2"/>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处置措施</w:t>
            </w:r>
          </w:p>
        </w:tc>
        <w:tc>
          <w:tcPr>
            <w:tcW w:w="1551" w:type="pct"/>
            <w:vMerge w:val="restar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最终排放去向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3"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735"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617"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核算方法</w:t>
            </w:r>
          </w:p>
        </w:tc>
        <w:tc>
          <w:tcPr>
            <w:tcW w:w="540"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产生量</w:t>
            </w:r>
          </w:p>
        </w:tc>
        <w:tc>
          <w:tcPr>
            <w:tcW w:w="721"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工艺</w:t>
            </w:r>
          </w:p>
        </w:tc>
        <w:tc>
          <w:tcPr>
            <w:tcW w:w="523"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处置量</w:t>
            </w:r>
          </w:p>
        </w:tc>
        <w:tc>
          <w:tcPr>
            <w:tcW w:w="1551"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3" w:type="pct"/>
            <w:vMerge w:val="restar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钻井</w:t>
            </w:r>
          </w:p>
        </w:tc>
        <w:tc>
          <w:tcPr>
            <w:tcW w:w="735"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废钻井液</w:t>
            </w:r>
          </w:p>
        </w:tc>
        <w:tc>
          <w:tcPr>
            <w:tcW w:w="617"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类比法</w:t>
            </w:r>
          </w:p>
        </w:tc>
        <w:tc>
          <w:tcPr>
            <w:tcW w:w="540"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16262.4</w:t>
            </w:r>
            <w:r>
              <w:rPr>
                <w:rFonts w:ascii="Times New Roman" w:hAnsi="Times New Roman" w:cs="Times New Roman" w:eastAsiaTheme="minorEastAsia"/>
                <w:color w:val="auto"/>
                <w:w w:val="99"/>
                <w:sz w:val="21"/>
                <w:szCs w:val="21"/>
                <w:highlight w:val="none"/>
              </w:rPr>
              <w:t>t</w:t>
            </w:r>
          </w:p>
        </w:tc>
        <w:tc>
          <w:tcPr>
            <w:tcW w:w="721"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无害化处理</w:t>
            </w:r>
          </w:p>
        </w:tc>
        <w:tc>
          <w:tcPr>
            <w:tcW w:w="1018" w:type="dxa"/>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16262.4</w:t>
            </w:r>
            <w:r>
              <w:rPr>
                <w:rFonts w:ascii="Times New Roman" w:hAnsi="Times New Roman" w:cs="Times New Roman" w:eastAsiaTheme="minorEastAsia"/>
                <w:color w:val="auto"/>
                <w:w w:val="99"/>
                <w:sz w:val="21"/>
                <w:szCs w:val="21"/>
                <w:highlight w:val="none"/>
              </w:rPr>
              <w:t>t</w:t>
            </w:r>
          </w:p>
        </w:tc>
        <w:tc>
          <w:tcPr>
            <w:tcW w:w="1551" w:type="pct"/>
            <w:vMerge w:val="restar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eastAsiaTheme="minorEastAsia"/>
                <w:color w:val="auto"/>
                <w:w w:val="99"/>
                <w:kern w:val="2"/>
                <w:sz w:val="21"/>
                <w:szCs w:val="21"/>
                <w:highlight w:val="none"/>
              </w:rPr>
              <w:t>泥浆槽收集，</w:t>
            </w:r>
            <w:r>
              <w:rPr>
                <w:rFonts w:eastAsiaTheme="minorEastAsia"/>
                <w:snapToGrid w:val="0"/>
                <w:color w:val="auto"/>
                <w:w w:val="99"/>
                <w:sz w:val="21"/>
                <w:szCs w:val="21"/>
                <w:highlight w:val="none"/>
              </w:rPr>
              <w:t>由施工单位拉运至</w:t>
            </w:r>
            <w:r>
              <w:rPr>
                <w:rFonts w:hint="eastAsia" w:eastAsiaTheme="minorEastAsia"/>
                <w:snapToGrid w:val="0"/>
                <w:color w:val="auto"/>
                <w:w w:val="99"/>
                <w:sz w:val="21"/>
                <w:szCs w:val="21"/>
                <w:highlight w:val="none"/>
              </w:rPr>
              <w:t>大庆油田昆仑集团有限公司环保分公司</w:t>
            </w:r>
            <w:r>
              <w:rPr>
                <w:rFonts w:eastAsiaTheme="minorEastAsia"/>
                <w:snapToGrid w:val="0"/>
                <w:color w:val="auto"/>
                <w:w w:val="99"/>
                <w:sz w:val="21"/>
                <w:szCs w:val="21"/>
                <w:highlight w:val="none"/>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3"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735"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钻井岩屑</w:t>
            </w:r>
          </w:p>
        </w:tc>
        <w:tc>
          <w:tcPr>
            <w:tcW w:w="617"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类比法</w:t>
            </w:r>
          </w:p>
        </w:tc>
        <w:tc>
          <w:tcPr>
            <w:tcW w:w="540"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4746.66</w:t>
            </w:r>
            <w:r>
              <w:rPr>
                <w:rFonts w:ascii="Times New Roman" w:hAnsi="Times New Roman" w:cs="Times New Roman" w:eastAsiaTheme="minorEastAsia"/>
                <w:color w:val="auto"/>
                <w:w w:val="99"/>
                <w:sz w:val="21"/>
                <w:szCs w:val="21"/>
                <w:highlight w:val="none"/>
              </w:rPr>
              <w:t>m</w:t>
            </w:r>
            <w:r>
              <w:rPr>
                <w:rFonts w:ascii="Times New Roman" w:hAnsi="Times New Roman" w:cs="Times New Roman" w:eastAsiaTheme="minorEastAsia"/>
                <w:color w:val="auto"/>
                <w:w w:val="99"/>
                <w:sz w:val="21"/>
                <w:szCs w:val="21"/>
                <w:highlight w:val="none"/>
                <w:vertAlign w:val="superscript"/>
              </w:rPr>
              <w:t>3</w:t>
            </w:r>
          </w:p>
        </w:tc>
        <w:tc>
          <w:tcPr>
            <w:tcW w:w="721"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无害化处理</w:t>
            </w:r>
          </w:p>
        </w:tc>
        <w:tc>
          <w:tcPr>
            <w:tcW w:w="1018" w:type="dxa"/>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4746.66</w:t>
            </w:r>
            <w:r>
              <w:rPr>
                <w:rFonts w:ascii="Times New Roman" w:hAnsi="Times New Roman" w:cs="Times New Roman" w:eastAsiaTheme="minorEastAsia"/>
                <w:color w:val="auto"/>
                <w:w w:val="99"/>
                <w:sz w:val="21"/>
                <w:szCs w:val="21"/>
                <w:highlight w:val="none"/>
              </w:rPr>
              <w:t>m</w:t>
            </w:r>
            <w:r>
              <w:rPr>
                <w:rFonts w:ascii="Times New Roman" w:hAnsi="Times New Roman" w:cs="Times New Roman" w:eastAsiaTheme="minorEastAsia"/>
                <w:color w:val="auto"/>
                <w:w w:val="99"/>
                <w:sz w:val="21"/>
                <w:szCs w:val="21"/>
                <w:highlight w:val="none"/>
                <w:vertAlign w:val="superscript"/>
              </w:rPr>
              <w:t>3</w:t>
            </w:r>
          </w:p>
        </w:tc>
        <w:tc>
          <w:tcPr>
            <w:tcW w:w="1551"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3"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735"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废射孔液</w:t>
            </w:r>
          </w:p>
        </w:tc>
        <w:tc>
          <w:tcPr>
            <w:tcW w:w="617"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类比法</w:t>
            </w:r>
          </w:p>
        </w:tc>
        <w:tc>
          <w:tcPr>
            <w:tcW w:w="540"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1760</w:t>
            </w:r>
            <w:r>
              <w:rPr>
                <w:rFonts w:hint="eastAsia" w:ascii="Times New Roman" w:hAnsi="Times New Roman" w:cs="Times New Roman" w:eastAsiaTheme="minorEastAsia"/>
                <w:color w:val="auto"/>
                <w:w w:val="99"/>
                <w:sz w:val="21"/>
                <w:szCs w:val="21"/>
                <w:highlight w:val="none"/>
              </w:rPr>
              <w:t>0m</w:t>
            </w:r>
            <w:r>
              <w:rPr>
                <w:rFonts w:hint="eastAsia" w:ascii="Times New Roman" w:hAnsi="Times New Roman" w:cs="Times New Roman" w:eastAsiaTheme="minorEastAsia"/>
                <w:color w:val="auto"/>
                <w:w w:val="99"/>
                <w:sz w:val="21"/>
                <w:szCs w:val="21"/>
                <w:highlight w:val="none"/>
                <w:vertAlign w:val="superscript"/>
              </w:rPr>
              <w:t>3</w:t>
            </w:r>
          </w:p>
        </w:tc>
        <w:tc>
          <w:tcPr>
            <w:tcW w:w="721"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无害化处理</w:t>
            </w:r>
          </w:p>
        </w:tc>
        <w:tc>
          <w:tcPr>
            <w:tcW w:w="1018" w:type="dxa"/>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1760</w:t>
            </w:r>
            <w:r>
              <w:rPr>
                <w:rFonts w:hint="eastAsia" w:ascii="Times New Roman" w:hAnsi="Times New Roman" w:cs="Times New Roman" w:eastAsiaTheme="minorEastAsia"/>
                <w:color w:val="auto"/>
                <w:w w:val="99"/>
                <w:sz w:val="21"/>
                <w:szCs w:val="21"/>
                <w:highlight w:val="none"/>
              </w:rPr>
              <w:t>0m</w:t>
            </w:r>
            <w:r>
              <w:rPr>
                <w:rFonts w:hint="eastAsia" w:ascii="Times New Roman" w:hAnsi="Times New Roman" w:cs="Times New Roman" w:eastAsiaTheme="minorEastAsia"/>
                <w:color w:val="auto"/>
                <w:w w:val="99"/>
                <w:sz w:val="21"/>
                <w:szCs w:val="21"/>
                <w:highlight w:val="none"/>
                <w:vertAlign w:val="superscript"/>
              </w:rPr>
              <w:t>3</w:t>
            </w:r>
          </w:p>
        </w:tc>
        <w:tc>
          <w:tcPr>
            <w:tcW w:w="1551"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3"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735"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生活垃圾</w:t>
            </w:r>
          </w:p>
        </w:tc>
        <w:tc>
          <w:tcPr>
            <w:tcW w:w="617"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类比法</w:t>
            </w:r>
          </w:p>
        </w:tc>
        <w:tc>
          <w:tcPr>
            <w:tcW w:w="540"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en-US" w:eastAsia="zh-CN"/>
              </w:rPr>
              <w:t>3.08</w:t>
            </w:r>
            <w:r>
              <w:rPr>
                <w:rFonts w:ascii="Times New Roman" w:hAnsi="Times New Roman" w:cs="Times New Roman" w:eastAsiaTheme="minorEastAsia"/>
                <w:color w:val="auto"/>
                <w:w w:val="99"/>
                <w:sz w:val="21"/>
                <w:szCs w:val="21"/>
                <w:highlight w:val="none"/>
              </w:rPr>
              <w:t>t</w:t>
            </w:r>
          </w:p>
        </w:tc>
        <w:tc>
          <w:tcPr>
            <w:tcW w:w="721"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卫生填埋</w:t>
            </w:r>
          </w:p>
        </w:tc>
        <w:tc>
          <w:tcPr>
            <w:tcW w:w="1018" w:type="dxa"/>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en-US" w:eastAsia="zh-CN"/>
              </w:rPr>
              <w:t>3.08</w:t>
            </w:r>
            <w:r>
              <w:rPr>
                <w:rFonts w:ascii="Times New Roman" w:hAnsi="Times New Roman" w:cs="Times New Roman" w:eastAsiaTheme="minorEastAsia"/>
                <w:color w:val="auto"/>
                <w:w w:val="99"/>
                <w:sz w:val="21"/>
                <w:szCs w:val="21"/>
                <w:highlight w:val="none"/>
              </w:rPr>
              <w:t>t</w:t>
            </w:r>
          </w:p>
        </w:tc>
        <w:tc>
          <w:tcPr>
            <w:tcW w:w="1551"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snapToGrid w:val="0"/>
                <w:color w:val="auto"/>
                <w:w w:val="99"/>
                <w:sz w:val="21"/>
                <w:szCs w:val="21"/>
                <w:highlight w:val="none"/>
              </w:rPr>
              <w:t>统一收集后运至</w:t>
            </w:r>
            <w:r>
              <w:rPr>
                <w:rFonts w:hint="eastAsia" w:ascii="Times New Roman" w:hAnsi="Times New Roman" w:cs="Times New Roman" w:eastAsiaTheme="minorEastAsia"/>
                <w:snapToGrid w:val="0"/>
                <w:color w:val="auto"/>
                <w:w w:val="99"/>
                <w:sz w:val="21"/>
                <w:szCs w:val="21"/>
                <w:highlight w:val="none"/>
                <w:lang w:eastAsia="zh-CN"/>
              </w:rPr>
              <w:t>肇东市生活垃圾填埋场</w:t>
            </w:r>
            <w:r>
              <w:rPr>
                <w:rFonts w:hint="eastAsia" w:ascii="Times New Roman" w:hAnsi="Times New Roman" w:cs="Times New Roman" w:eastAsiaTheme="minorEastAsia"/>
                <w:snapToGrid w:val="0"/>
                <w:color w:val="auto"/>
                <w:w w:val="99"/>
                <w:sz w:val="21"/>
                <w:szCs w:val="21"/>
                <w:highlight w:val="none"/>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3"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735"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膨润土、纯碱、重晶石粉废包装袋</w:t>
            </w:r>
          </w:p>
        </w:tc>
        <w:tc>
          <w:tcPr>
            <w:tcW w:w="617"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类比法</w:t>
            </w:r>
          </w:p>
        </w:tc>
        <w:tc>
          <w:tcPr>
            <w:tcW w:w="540"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en-US" w:eastAsia="zh-CN"/>
              </w:rPr>
              <w:t>3.652</w:t>
            </w:r>
            <w:r>
              <w:rPr>
                <w:rFonts w:ascii="Times New Roman" w:hAnsi="Times New Roman" w:cs="Times New Roman" w:eastAsiaTheme="minorEastAsia"/>
                <w:color w:val="auto"/>
                <w:w w:val="99"/>
                <w:sz w:val="21"/>
                <w:szCs w:val="21"/>
                <w:highlight w:val="none"/>
              </w:rPr>
              <w:t xml:space="preserve">t </w:t>
            </w:r>
          </w:p>
        </w:tc>
        <w:tc>
          <w:tcPr>
            <w:tcW w:w="721"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无害化处理</w:t>
            </w:r>
          </w:p>
        </w:tc>
        <w:tc>
          <w:tcPr>
            <w:tcW w:w="1018" w:type="dxa"/>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en-US" w:eastAsia="zh-CN"/>
              </w:rPr>
              <w:t>3.652</w:t>
            </w:r>
            <w:r>
              <w:rPr>
                <w:rFonts w:ascii="Times New Roman" w:hAnsi="Times New Roman" w:cs="Times New Roman" w:eastAsiaTheme="minorEastAsia"/>
                <w:color w:val="auto"/>
                <w:w w:val="99"/>
                <w:sz w:val="21"/>
                <w:szCs w:val="21"/>
                <w:highlight w:val="none"/>
              </w:rPr>
              <w:t xml:space="preserve">t </w:t>
            </w:r>
          </w:p>
        </w:tc>
        <w:tc>
          <w:tcPr>
            <w:tcW w:w="1551" w:type="pct"/>
            <w:vMerge w:val="restar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color w:val="auto"/>
                <w:w w:val="99"/>
                <w:kern w:val="2"/>
                <w:sz w:val="21"/>
                <w:highlight w:val="none"/>
              </w:rPr>
              <w:t>由施工单位统一收集后拉运至第八采油厂工业固废填埋场处理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3"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735"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废防渗布</w:t>
            </w:r>
          </w:p>
        </w:tc>
        <w:tc>
          <w:tcPr>
            <w:tcW w:w="617"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类比法</w:t>
            </w:r>
          </w:p>
        </w:tc>
        <w:tc>
          <w:tcPr>
            <w:tcW w:w="540"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15.4</w:t>
            </w:r>
            <w:r>
              <w:rPr>
                <w:rFonts w:ascii="Times New Roman" w:hAnsi="Times New Roman" w:cs="Times New Roman" w:eastAsiaTheme="minorEastAsia"/>
                <w:color w:val="auto"/>
                <w:w w:val="99"/>
                <w:sz w:val="21"/>
                <w:szCs w:val="21"/>
                <w:highlight w:val="none"/>
              </w:rPr>
              <w:t>t</w:t>
            </w:r>
          </w:p>
        </w:tc>
        <w:tc>
          <w:tcPr>
            <w:tcW w:w="721"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无害化处理</w:t>
            </w:r>
          </w:p>
        </w:tc>
        <w:tc>
          <w:tcPr>
            <w:tcW w:w="1018" w:type="dxa"/>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15.4</w:t>
            </w:r>
            <w:r>
              <w:rPr>
                <w:rFonts w:ascii="Times New Roman" w:hAnsi="Times New Roman" w:cs="Times New Roman" w:eastAsiaTheme="minorEastAsia"/>
                <w:color w:val="auto"/>
                <w:w w:val="99"/>
                <w:sz w:val="21"/>
                <w:szCs w:val="21"/>
                <w:highlight w:val="none"/>
              </w:rPr>
              <w:t>t</w:t>
            </w:r>
          </w:p>
        </w:tc>
        <w:tc>
          <w:tcPr>
            <w:tcW w:w="1551"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3"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735"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KOH包装袋</w:t>
            </w:r>
          </w:p>
        </w:tc>
        <w:tc>
          <w:tcPr>
            <w:tcW w:w="617"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类比法</w:t>
            </w:r>
          </w:p>
        </w:tc>
        <w:tc>
          <w:tcPr>
            <w:tcW w:w="540"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rPr>
              <w:t>0.0</w:t>
            </w:r>
            <w:r>
              <w:rPr>
                <w:rFonts w:hint="eastAsia" w:ascii="Times New Roman" w:hAnsi="Times New Roman" w:cs="Times New Roman" w:eastAsiaTheme="minorEastAsia"/>
                <w:color w:val="auto"/>
                <w:w w:val="99"/>
                <w:sz w:val="21"/>
                <w:szCs w:val="21"/>
                <w:highlight w:val="none"/>
                <w:lang w:val="en-US" w:eastAsia="zh-CN"/>
              </w:rPr>
              <w:t>0</w:t>
            </w:r>
            <w:r>
              <w:rPr>
                <w:rFonts w:hint="eastAsia" w:ascii="Times New Roman" w:hAnsi="Times New Roman" w:cs="Times New Roman" w:eastAsiaTheme="minorEastAsia"/>
                <w:color w:val="auto"/>
                <w:w w:val="99"/>
                <w:sz w:val="21"/>
                <w:szCs w:val="21"/>
                <w:highlight w:val="none"/>
              </w:rPr>
              <w:t>3</w:t>
            </w:r>
            <w:r>
              <w:rPr>
                <w:rFonts w:hint="eastAsia" w:ascii="Times New Roman" w:hAnsi="Times New Roman" w:cs="Times New Roman" w:eastAsiaTheme="minorEastAsia"/>
                <w:color w:val="auto"/>
                <w:w w:val="99"/>
                <w:sz w:val="21"/>
                <w:szCs w:val="21"/>
                <w:highlight w:val="none"/>
                <w:lang w:val="en-US" w:eastAsia="zh-CN"/>
              </w:rPr>
              <w:t>52</w:t>
            </w:r>
            <w:r>
              <w:rPr>
                <w:rFonts w:hint="eastAsia" w:ascii="Times New Roman" w:hAnsi="Times New Roman" w:cs="Times New Roman" w:eastAsiaTheme="minorEastAsia"/>
                <w:color w:val="auto"/>
                <w:w w:val="99"/>
                <w:sz w:val="21"/>
                <w:szCs w:val="21"/>
                <w:highlight w:val="none"/>
              </w:rPr>
              <w:t>t</w:t>
            </w:r>
          </w:p>
        </w:tc>
        <w:tc>
          <w:tcPr>
            <w:tcW w:w="721"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无害化处理</w:t>
            </w:r>
          </w:p>
        </w:tc>
        <w:tc>
          <w:tcPr>
            <w:tcW w:w="1018" w:type="dxa"/>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rPr>
              <w:t>0.0</w:t>
            </w:r>
            <w:r>
              <w:rPr>
                <w:rFonts w:hint="eastAsia" w:ascii="Times New Roman" w:hAnsi="Times New Roman" w:cs="Times New Roman" w:eastAsiaTheme="minorEastAsia"/>
                <w:color w:val="auto"/>
                <w:w w:val="99"/>
                <w:sz w:val="21"/>
                <w:szCs w:val="21"/>
                <w:highlight w:val="none"/>
                <w:lang w:val="en-US" w:eastAsia="zh-CN"/>
              </w:rPr>
              <w:t>0</w:t>
            </w:r>
            <w:r>
              <w:rPr>
                <w:rFonts w:hint="eastAsia" w:ascii="Times New Roman" w:hAnsi="Times New Roman" w:cs="Times New Roman" w:eastAsiaTheme="minorEastAsia"/>
                <w:color w:val="auto"/>
                <w:w w:val="99"/>
                <w:sz w:val="21"/>
                <w:szCs w:val="21"/>
                <w:highlight w:val="none"/>
              </w:rPr>
              <w:t>3</w:t>
            </w:r>
            <w:r>
              <w:rPr>
                <w:rFonts w:hint="eastAsia" w:ascii="Times New Roman" w:hAnsi="Times New Roman" w:cs="Times New Roman" w:eastAsiaTheme="minorEastAsia"/>
                <w:color w:val="auto"/>
                <w:w w:val="99"/>
                <w:sz w:val="21"/>
                <w:szCs w:val="21"/>
                <w:highlight w:val="none"/>
                <w:lang w:val="en-US" w:eastAsia="zh-CN"/>
              </w:rPr>
              <w:t>52</w:t>
            </w:r>
            <w:r>
              <w:rPr>
                <w:rFonts w:hint="eastAsia" w:ascii="Times New Roman" w:hAnsi="Times New Roman" w:cs="Times New Roman" w:eastAsiaTheme="minorEastAsia"/>
                <w:color w:val="auto"/>
                <w:w w:val="99"/>
                <w:sz w:val="21"/>
                <w:szCs w:val="21"/>
                <w:highlight w:val="none"/>
              </w:rPr>
              <w:t>t</w:t>
            </w:r>
          </w:p>
        </w:tc>
        <w:tc>
          <w:tcPr>
            <w:tcW w:w="1551"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经收集后直接由施工单位委托资质单位处理，不在井场暂存</w:t>
            </w:r>
          </w:p>
        </w:tc>
      </w:tr>
    </w:tbl>
    <w:p>
      <w:pPr>
        <w:pStyle w:val="7"/>
        <w:keepNext w:val="0"/>
        <w:keepLines w:val="0"/>
        <w:widowControl w:val="0"/>
        <w:rPr>
          <w:b/>
          <w:color w:val="auto"/>
          <w:w w:val="99"/>
          <w:kern w:val="2"/>
          <w:sz w:val="24"/>
          <w:szCs w:val="24"/>
          <w:highlight w:val="none"/>
        </w:rPr>
      </w:pPr>
      <w:bookmarkStart w:id="578" w:name="_Toc67523626"/>
      <w:bookmarkStart w:id="579" w:name="_Toc69690844"/>
      <w:bookmarkStart w:id="580" w:name="_Toc61597254"/>
      <w:bookmarkStart w:id="581" w:name="_Toc77667323"/>
      <w:bookmarkStart w:id="582" w:name="_Toc71371979"/>
      <w:bookmarkStart w:id="583" w:name="_Toc80105179"/>
      <w:bookmarkStart w:id="584" w:name="_Toc74812350"/>
      <w:bookmarkStart w:id="585" w:name="_Toc74812111"/>
      <w:r>
        <w:rPr>
          <w:b/>
          <w:color w:val="auto"/>
          <w:w w:val="99"/>
          <w:kern w:val="2"/>
          <w:sz w:val="24"/>
          <w:szCs w:val="24"/>
          <w:highlight w:val="none"/>
        </w:rPr>
        <w:t>3.1</w:t>
      </w:r>
      <w:r>
        <w:rPr>
          <w:rFonts w:hint="eastAsia"/>
          <w:b/>
          <w:color w:val="auto"/>
          <w:w w:val="99"/>
          <w:kern w:val="2"/>
          <w:sz w:val="24"/>
          <w:szCs w:val="24"/>
          <w:highlight w:val="none"/>
          <w:lang w:val="en-US" w:eastAsia="zh-CN"/>
        </w:rPr>
        <w:t>2</w:t>
      </w:r>
      <w:r>
        <w:rPr>
          <w:b/>
          <w:color w:val="auto"/>
          <w:w w:val="99"/>
          <w:kern w:val="2"/>
          <w:sz w:val="24"/>
          <w:szCs w:val="24"/>
          <w:highlight w:val="none"/>
        </w:rPr>
        <w:t>.5生态环境影响因素</w:t>
      </w:r>
      <w:bookmarkEnd w:id="578"/>
      <w:bookmarkEnd w:id="579"/>
      <w:bookmarkEnd w:id="580"/>
      <w:bookmarkEnd w:id="581"/>
      <w:bookmarkEnd w:id="582"/>
      <w:bookmarkEnd w:id="583"/>
      <w:bookmarkEnd w:id="584"/>
      <w:bookmarkEnd w:id="585"/>
    </w:p>
    <w:p>
      <w:pPr>
        <w:widowControl w:val="0"/>
        <w:spacing w:line="500" w:lineRule="exact"/>
        <w:ind w:firstLine="474" w:firstLineChars="200"/>
        <w:rPr>
          <w:rFonts w:ascii="Times New Roman" w:hAnsi="Times New Roman" w:cs="Times New Roman" w:eastAsiaTheme="minorEastAsia"/>
          <w:bCs/>
          <w:color w:val="auto"/>
          <w:w w:val="99"/>
          <w:kern w:val="2"/>
          <w:highlight w:val="none"/>
        </w:rPr>
      </w:pPr>
      <w:r>
        <w:rPr>
          <w:rFonts w:ascii="Times New Roman" w:hAnsi="Times New Roman" w:eastAsiaTheme="minorEastAsia"/>
          <w:color w:val="auto"/>
          <w:w w:val="99"/>
          <w:highlight w:val="none"/>
        </w:rPr>
        <w:t>根据《大庆市水土保持规划》（2015～2030年），</w:t>
      </w:r>
      <w:r>
        <w:rPr>
          <w:rFonts w:ascii="Times New Roman" w:hAnsi="Times New Roman"/>
          <w:color w:val="auto"/>
          <w:w w:val="99"/>
          <w:highlight w:val="none"/>
          <w:lang w:val="en"/>
        </w:rPr>
        <w:t>大庆市划定了市级水土流失重点预防区和重点治理区，本项目拟钻油井位于</w:t>
      </w:r>
      <w:r>
        <w:rPr>
          <w:rFonts w:hint="eastAsia" w:ascii="Times New Roman" w:hAnsi="Times New Roman"/>
          <w:color w:val="auto"/>
          <w:w w:val="99"/>
          <w:highlight w:val="none"/>
          <w:lang w:val="en"/>
        </w:rPr>
        <w:t>大庆市</w:t>
      </w:r>
      <w:r>
        <w:rPr>
          <w:rFonts w:hint="eastAsia" w:ascii="Times New Roman" w:hAnsi="Times New Roman"/>
          <w:color w:val="auto"/>
          <w:w w:val="99"/>
          <w:highlight w:val="none"/>
          <w:lang w:val="en" w:eastAsia="zh-CN"/>
        </w:rPr>
        <w:t>肇源县古恰镇</w:t>
      </w:r>
      <w:r>
        <w:rPr>
          <w:rFonts w:ascii="Times New Roman" w:hAnsi="Times New Roman"/>
          <w:color w:val="auto"/>
          <w:w w:val="99"/>
          <w:highlight w:val="none"/>
          <w:lang w:val="en"/>
        </w:rPr>
        <w:t>，</w:t>
      </w:r>
      <w:r>
        <w:rPr>
          <w:rFonts w:hint="eastAsia" w:ascii="Times New Roman" w:hAnsi="Times New Roman"/>
          <w:color w:val="auto"/>
          <w:w w:val="99"/>
          <w:highlight w:val="none"/>
          <w:lang w:val="en" w:eastAsia="zh-CN"/>
        </w:rPr>
        <w:t>不</w:t>
      </w:r>
      <w:r>
        <w:rPr>
          <w:rFonts w:ascii="Times New Roman" w:hAnsi="Times New Roman"/>
          <w:color w:val="auto"/>
          <w:w w:val="99"/>
          <w:highlight w:val="none"/>
          <w:lang w:val="en"/>
        </w:rPr>
        <w:t>属于市级水土流失重点预防区和重点治理区</w:t>
      </w:r>
      <w:r>
        <w:rPr>
          <w:rFonts w:ascii="Times New Roman" w:hAnsi="Times New Roman" w:eastAsiaTheme="minorEastAsia"/>
          <w:color w:val="auto"/>
          <w:w w:val="99"/>
          <w:highlight w:val="none"/>
          <w:lang w:val="en"/>
        </w:rPr>
        <w:t>。</w:t>
      </w:r>
    </w:p>
    <w:p>
      <w:pPr>
        <w:widowControl w:val="0"/>
        <w:tabs>
          <w:tab w:val="left" w:pos="5262"/>
        </w:tabs>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eastAsiaTheme="minorEastAsia"/>
          <w:bCs/>
          <w:snapToGrid w:val="0"/>
          <w:color w:val="auto"/>
          <w:w w:val="99"/>
          <w:highlight w:val="none"/>
        </w:rPr>
        <w:t>本项目新钻油井</w:t>
      </w:r>
      <w:r>
        <w:rPr>
          <w:rFonts w:hint="eastAsia" w:ascii="Times New Roman" w:hAnsi="Times New Roman" w:eastAsiaTheme="minorEastAsia"/>
          <w:bCs/>
          <w:snapToGrid w:val="0"/>
          <w:color w:val="auto"/>
          <w:w w:val="99"/>
          <w:highlight w:val="none"/>
        </w:rPr>
        <w:t>4</w:t>
      </w:r>
      <w:r>
        <w:rPr>
          <w:rFonts w:hint="eastAsia" w:ascii="Times New Roman" w:hAnsi="Times New Roman" w:eastAsiaTheme="minorEastAsia"/>
          <w:bCs/>
          <w:snapToGrid w:val="0"/>
          <w:color w:val="auto"/>
          <w:w w:val="99"/>
          <w:highlight w:val="none"/>
          <w:lang w:val="en-US" w:eastAsia="zh-CN"/>
        </w:rPr>
        <w:t>4</w:t>
      </w:r>
      <w:r>
        <w:rPr>
          <w:rFonts w:hint="eastAsia" w:ascii="Times New Roman" w:hAnsi="Times New Roman" w:eastAsiaTheme="minorEastAsia"/>
          <w:bCs/>
          <w:snapToGrid w:val="0"/>
          <w:color w:val="auto"/>
          <w:w w:val="99"/>
          <w:highlight w:val="none"/>
        </w:rPr>
        <w:t>口，</w:t>
      </w:r>
      <w:r>
        <w:rPr>
          <w:rFonts w:ascii="Times New Roman" w:hAnsi="Times New Roman" w:cs="Times New Roman" w:eastAsiaTheme="minorEastAsia"/>
          <w:color w:val="auto"/>
          <w:w w:val="99"/>
          <w:kern w:val="2"/>
          <w:highlight w:val="none"/>
        </w:rPr>
        <w:t>永久占地面积</w:t>
      </w:r>
      <w:r>
        <w:rPr>
          <w:rFonts w:hint="eastAsia" w:ascii="Times New Roman" w:hAnsi="Times New Roman" w:cs="Times New Roman" w:eastAsiaTheme="minorEastAsia"/>
          <w:color w:val="auto"/>
          <w:w w:val="99"/>
          <w:kern w:val="2"/>
          <w:highlight w:val="none"/>
          <w:lang w:val="en-US" w:eastAsia="zh-CN"/>
        </w:rPr>
        <w:t>6.16</w:t>
      </w:r>
      <w:r>
        <w:rPr>
          <w:rFonts w:ascii="Times New Roman" w:hAnsi="Times New Roman" w:cs="Times New Roman" w:eastAsiaTheme="minorEastAsia"/>
          <w:color w:val="auto"/>
          <w:w w:val="99"/>
          <w:kern w:val="2"/>
          <w:highlight w:val="none"/>
        </w:rPr>
        <w:t>hm</w:t>
      </w:r>
      <w:r>
        <w:rPr>
          <w:rFonts w:ascii="Times New Roman" w:hAnsi="Times New Roman" w:cs="Times New Roman" w:eastAsiaTheme="minorEastAsia"/>
          <w:color w:val="auto"/>
          <w:w w:val="99"/>
          <w:kern w:val="2"/>
          <w:highlight w:val="none"/>
          <w:vertAlign w:val="superscript"/>
        </w:rPr>
        <w:t>2</w:t>
      </w:r>
      <w:r>
        <w:rPr>
          <w:rFonts w:ascii="Times New Roman" w:hAnsi="Times New Roman" w:cs="Times New Roman" w:eastAsiaTheme="minorEastAsia"/>
          <w:color w:val="auto"/>
          <w:w w:val="99"/>
          <w:kern w:val="2"/>
          <w:highlight w:val="none"/>
        </w:rPr>
        <w:t>，临时占地面积</w:t>
      </w:r>
      <w:r>
        <w:rPr>
          <w:rFonts w:hint="eastAsia" w:ascii="Times New Roman" w:hAnsi="Times New Roman" w:cs="Times New Roman" w:eastAsiaTheme="minorEastAsia"/>
          <w:color w:val="auto"/>
          <w:w w:val="99"/>
          <w:kern w:val="2"/>
          <w:highlight w:val="none"/>
          <w:lang w:val="en-US" w:eastAsia="zh-CN"/>
        </w:rPr>
        <w:t>22.88</w:t>
      </w:r>
      <w:r>
        <w:rPr>
          <w:rFonts w:hint="eastAsia" w:ascii="Times New Roman" w:hAnsi="Times New Roman" w:cs="Times New Roman" w:eastAsiaTheme="minorEastAsia"/>
          <w:color w:val="auto"/>
          <w:w w:val="99"/>
          <w:kern w:val="2"/>
          <w:highlight w:val="none"/>
        </w:rPr>
        <w:t>hm</w:t>
      </w:r>
      <w:r>
        <w:rPr>
          <w:rFonts w:hint="eastAsia" w:ascii="Times New Roman" w:hAnsi="Times New Roman" w:cs="Times New Roman" w:eastAsiaTheme="minorEastAsia"/>
          <w:color w:val="auto"/>
          <w:w w:val="99"/>
          <w:kern w:val="2"/>
          <w:highlight w:val="none"/>
          <w:vertAlign w:val="superscript"/>
        </w:rPr>
        <w:t>2</w:t>
      </w:r>
      <w:r>
        <w:rPr>
          <w:rFonts w:ascii="Times New Roman" w:hAnsi="Times New Roman" w:cs="Times New Roman" w:eastAsiaTheme="minorEastAsia"/>
          <w:color w:val="auto"/>
          <w:w w:val="99"/>
          <w:kern w:val="2"/>
          <w:highlight w:val="none"/>
        </w:rPr>
        <w:t>，占地类型主要为耕地，</w:t>
      </w:r>
      <w:r>
        <w:rPr>
          <w:rFonts w:ascii="Times New Roman" w:hAnsi="Times New Roman" w:cs="Times New Roman" w:eastAsiaTheme="minorEastAsia"/>
          <w:bCs/>
          <w:color w:val="auto"/>
          <w:w w:val="99"/>
          <w:kern w:val="2"/>
          <w:highlight w:val="none"/>
        </w:rPr>
        <w:t>工程建设对生态的影响主要在施工期</w:t>
      </w:r>
      <w:r>
        <w:rPr>
          <w:rFonts w:hint="eastAsia" w:ascii="Times New Roman" w:hAnsi="Times New Roman" w:cs="Times New Roman" w:eastAsiaTheme="minorEastAsia"/>
          <w:bCs/>
          <w:color w:val="auto"/>
          <w:w w:val="99"/>
          <w:kern w:val="2"/>
          <w:highlight w:val="none"/>
        </w:rPr>
        <w:t>，</w:t>
      </w:r>
      <w:r>
        <w:rPr>
          <w:rFonts w:ascii="Times New Roman" w:hAnsi="Times New Roman" w:cs="Times New Roman" w:eastAsiaTheme="minorEastAsia"/>
          <w:color w:val="auto"/>
          <w:w w:val="99"/>
          <w:kern w:val="2"/>
          <w:szCs w:val="20"/>
          <w:highlight w:val="none"/>
        </w:rPr>
        <w:t>临时占地对周围生态环境影响主要体现在钻井、</w:t>
      </w:r>
      <w:r>
        <w:rPr>
          <w:rFonts w:hint="eastAsia" w:ascii="Times New Roman" w:hAnsi="Times New Roman" w:cs="Times New Roman" w:eastAsiaTheme="minorEastAsia"/>
          <w:color w:val="auto"/>
          <w:w w:val="99"/>
          <w:kern w:val="2"/>
          <w:szCs w:val="20"/>
          <w:highlight w:val="none"/>
        </w:rPr>
        <w:t>施工便道</w:t>
      </w:r>
      <w:r>
        <w:rPr>
          <w:rFonts w:ascii="Times New Roman" w:hAnsi="Times New Roman" w:cs="Times New Roman" w:eastAsiaTheme="minorEastAsia"/>
          <w:color w:val="auto"/>
          <w:w w:val="99"/>
          <w:kern w:val="2"/>
          <w:szCs w:val="20"/>
          <w:highlight w:val="none"/>
        </w:rPr>
        <w:t>等施工过程中，机械、运输车辆对植被的碾压、人员践踏、材料占地、土壤翻出堆放地表等活动将对工程周围的地表环境造成暂时性破坏，对地面植被会造成一定的破坏</w:t>
      </w:r>
      <w:r>
        <w:rPr>
          <w:rFonts w:hint="eastAsia" w:ascii="Times New Roman" w:hAnsi="Times New Roman" w:cs="Times New Roman" w:eastAsiaTheme="minorEastAsia"/>
          <w:color w:val="auto"/>
          <w:w w:val="99"/>
          <w:kern w:val="2"/>
          <w:szCs w:val="20"/>
          <w:highlight w:val="none"/>
        </w:rPr>
        <w:t>，</w:t>
      </w:r>
      <w:r>
        <w:rPr>
          <w:rFonts w:ascii="Times New Roman" w:hAnsi="Times New Roman" w:cs="Times New Roman" w:eastAsiaTheme="minorEastAsia"/>
          <w:bCs/>
          <w:color w:val="auto"/>
          <w:w w:val="99"/>
          <w:kern w:val="2"/>
          <w:highlight w:val="none"/>
        </w:rPr>
        <w:t>造成的土地裸露加剧水土流失</w:t>
      </w:r>
      <w:r>
        <w:rPr>
          <w:rFonts w:hint="eastAsia" w:ascii="Times New Roman" w:hAnsi="Times New Roman" w:cs="Times New Roman" w:eastAsiaTheme="minorEastAsia"/>
          <w:color w:val="auto"/>
          <w:w w:val="99"/>
          <w:kern w:val="2"/>
          <w:szCs w:val="20"/>
          <w:highlight w:val="none"/>
        </w:rPr>
        <w:t>；</w:t>
      </w:r>
      <w:r>
        <w:rPr>
          <w:rFonts w:ascii="Times New Roman" w:hAnsi="Times New Roman" w:cs="Times New Roman" w:eastAsiaTheme="minorEastAsia"/>
          <w:color w:val="auto"/>
          <w:w w:val="99"/>
          <w:kern w:val="2"/>
          <w:szCs w:val="20"/>
          <w:highlight w:val="none"/>
        </w:rPr>
        <w:t>永久占地对周围生态环境影响主要体现在井场、</w:t>
      </w:r>
      <w:r>
        <w:rPr>
          <w:rFonts w:hint="eastAsia" w:ascii="Times New Roman" w:hAnsi="Times New Roman" w:cs="Times New Roman" w:eastAsiaTheme="minorEastAsia"/>
          <w:color w:val="auto"/>
          <w:w w:val="99"/>
          <w:kern w:val="2"/>
          <w:szCs w:val="20"/>
          <w:highlight w:val="none"/>
        </w:rPr>
        <w:t>施工便道</w:t>
      </w:r>
      <w:r>
        <w:rPr>
          <w:rFonts w:ascii="Times New Roman" w:hAnsi="Times New Roman" w:cs="Times New Roman" w:eastAsiaTheme="minorEastAsia"/>
          <w:color w:val="auto"/>
          <w:w w:val="99"/>
          <w:kern w:val="2"/>
          <w:szCs w:val="20"/>
          <w:highlight w:val="none"/>
        </w:rPr>
        <w:t>的占地使原来连续分布的生态环境中形成斑块，产生地表温度、水分等物理异常，以及干扰地面植被，影响生态环境的类型和结构，但由于施工时间较短，这种影响是短期可逆的</w:t>
      </w:r>
      <w:r>
        <w:rPr>
          <w:rFonts w:hint="eastAsia" w:ascii="Times New Roman" w:hAnsi="Times New Roman" w:cs="Times New Roman" w:eastAsiaTheme="minorEastAsia"/>
          <w:color w:val="auto"/>
          <w:w w:val="99"/>
          <w:kern w:val="2"/>
          <w:szCs w:val="20"/>
          <w:highlight w:val="none"/>
        </w:rPr>
        <w:t>，在</w:t>
      </w:r>
      <w:r>
        <w:rPr>
          <w:rFonts w:ascii="Times New Roman" w:hAnsi="Times New Roman" w:cs="Times New Roman" w:eastAsiaTheme="minorEastAsia"/>
          <w:color w:val="auto"/>
          <w:w w:val="99"/>
          <w:kern w:val="2"/>
          <w:szCs w:val="20"/>
          <w:highlight w:val="none"/>
        </w:rPr>
        <w:t>施工结束后对临时占地进行恢复后对生态环境影响较小。</w:t>
      </w:r>
    </w:p>
    <w:p>
      <w:pPr>
        <w:pStyle w:val="5"/>
        <w:keepNext w:val="0"/>
        <w:keepLines w:val="0"/>
        <w:widowControl w:val="0"/>
        <w:rPr>
          <w:rFonts w:ascii="Times New Roman" w:hAnsi="Times New Roman"/>
          <w:b/>
          <w:snapToGrid w:val="0"/>
          <w:color w:val="auto"/>
          <w:w w:val="99"/>
          <w:highlight w:val="none"/>
        </w:rPr>
      </w:pPr>
      <w:bookmarkStart w:id="586" w:name="_Toc80105180"/>
      <w:bookmarkStart w:id="587" w:name="_Toc62550103"/>
      <w:r>
        <w:rPr>
          <w:rFonts w:hint="eastAsia" w:ascii="Times New Roman" w:hAnsi="Times New Roman"/>
          <w:b/>
          <w:snapToGrid w:val="0"/>
          <w:color w:val="auto"/>
          <w:w w:val="99"/>
          <w:highlight w:val="none"/>
        </w:rPr>
        <w:t>3.</w:t>
      </w:r>
      <w:r>
        <w:rPr>
          <w:rFonts w:ascii="Times New Roman" w:hAnsi="Times New Roman"/>
          <w:b/>
          <w:snapToGrid w:val="0"/>
          <w:color w:val="auto"/>
          <w:w w:val="99"/>
          <w:highlight w:val="none"/>
        </w:rPr>
        <w:t>1</w:t>
      </w:r>
      <w:r>
        <w:rPr>
          <w:rFonts w:hint="eastAsia" w:ascii="Times New Roman" w:hAnsi="Times New Roman"/>
          <w:b/>
          <w:snapToGrid w:val="0"/>
          <w:color w:val="auto"/>
          <w:w w:val="99"/>
          <w:highlight w:val="none"/>
          <w:lang w:val="en-US" w:eastAsia="zh-CN"/>
        </w:rPr>
        <w:t>3</w:t>
      </w:r>
      <w:r>
        <w:rPr>
          <w:rFonts w:ascii="Times New Roman" w:hAnsi="Times New Roman"/>
          <w:b/>
          <w:snapToGrid w:val="0"/>
          <w:color w:val="auto"/>
          <w:w w:val="99"/>
          <w:highlight w:val="none"/>
        </w:rPr>
        <w:t>清洁生产分析</w:t>
      </w:r>
      <w:bookmarkEnd w:id="586"/>
      <w:bookmarkEnd w:id="587"/>
    </w:p>
    <w:p>
      <w:pPr>
        <w:pStyle w:val="7"/>
        <w:keepNext w:val="0"/>
        <w:keepLines w:val="0"/>
        <w:widowControl w:val="0"/>
        <w:rPr>
          <w:b/>
          <w:color w:val="auto"/>
          <w:w w:val="99"/>
          <w:kern w:val="2"/>
          <w:sz w:val="24"/>
          <w:szCs w:val="24"/>
          <w:highlight w:val="none"/>
        </w:rPr>
      </w:pPr>
      <w:bookmarkStart w:id="588" w:name="_Toc80105181"/>
      <w:bookmarkStart w:id="589" w:name="_Toc77667325"/>
      <w:bookmarkStart w:id="590" w:name="_Toc74812352"/>
      <w:bookmarkStart w:id="591" w:name="_Toc74812113"/>
      <w:r>
        <w:rPr>
          <w:rFonts w:hint="eastAsia"/>
          <w:b/>
          <w:color w:val="auto"/>
          <w:w w:val="99"/>
          <w:kern w:val="2"/>
          <w:sz w:val="24"/>
          <w:szCs w:val="24"/>
          <w:highlight w:val="none"/>
        </w:rPr>
        <w:t>3.</w:t>
      </w:r>
      <w:r>
        <w:rPr>
          <w:b/>
          <w:color w:val="auto"/>
          <w:w w:val="99"/>
          <w:kern w:val="2"/>
          <w:sz w:val="24"/>
          <w:szCs w:val="24"/>
          <w:highlight w:val="none"/>
        </w:rPr>
        <w:t>1</w:t>
      </w:r>
      <w:r>
        <w:rPr>
          <w:rFonts w:hint="eastAsia"/>
          <w:b/>
          <w:color w:val="auto"/>
          <w:w w:val="99"/>
          <w:kern w:val="2"/>
          <w:sz w:val="24"/>
          <w:szCs w:val="24"/>
          <w:highlight w:val="none"/>
          <w:lang w:val="en-US" w:eastAsia="zh-CN"/>
        </w:rPr>
        <w:t>3</w:t>
      </w:r>
      <w:r>
        <w:rPr>
          <w:rFonts w:hint="eastAsia"/>
          <w:b/>
          <w:color w:val="auto"/>
          <w:w w:val="99"/>
          <w:kern w:val="2"/>
          <w:sz w:val="24"/>
          <w:szCs w:val="24"/>
          <w:highlight w:val="none"/>
        </w:rPr>
        <w:t>.1</w:t>
      </w:r>
      <w:r>
        <w:rPr>
          <w:b/>
          <w:color w:val="auto"/>
          <w:w w:val="99"/>
          <w:kern w:val="2"/>
          <w:sz w:val="24"/>
          <w:szCs w:val="24"/>
          <w:highlight w:val="none"/>
        </w:rPr>
        <w:t>先进的钻井技术</w:t>
      </w:r>
      <w:bookmarkEnd w:id="588"/>
      <w:bookmarkEnd w:id="589"/>
      <w:bookmarkEnd w:id="590"/>
      <w:bookmarkEnd w:id="591"/>
    </w:p>
    <w:p>
      <w:pPr>
        <w:widowControl w:val="0"/>
        <w:tabs>
          <w:tab w:val="left" w:pos="5262"/>
        </w:tabs>
        <w:spacing w:line="500" w:lineRule="exact"/>
        <w:ind w:firstLine="474" w:firstLineChars="200"/>
        <w:rPr>
          <w:rFonts w:ascii="Times New Roman" w:hAnsi="Times New Roman" w:cs="Times New Roman" w:eastAsiaTheme="minorEastAsia"/>
          <w:color w:val="auto"/>
          <w:w w:val="99"/>
          <w:kern w:val="2"/>
          <w:highlight w:val="none"/>
        </w:rPr>
      </w:pPr>
      <w:r>
        <w:rPr>
          <w:rFonts w:hint="eastAsia" w:ascii="Times New Roman" w:hAnsi="Times New Roman" w:cs="Times New Roman" w:eastAsiaTheme="minorEastAsia"/>
          <w:color w:val="auto"/>
          <w:w w:val="99"/>
          <w:kern w:val="2"/>
          <w:highlight w:val="none"/>
        </w:rPr>
        <w:t>（1）</w:t>
      </w:r>
      <w:r>
        <w:rPr>
          <w:rFonts w:ascii="Times New Roman" w:hAnsi="Times New Roman" w:cs="Times New Roman" w:eastAsiaTheme="minorEastAsia"/>
          <w:color w:val="auto"/>
          <w:w w:val="99"/>
          <w:kern w:val="2"/>
          <w:highlight w:val="none"/>
        </w:rPr>
        <w:t>本工程采用国内近先进的近平衡钻井技术，即通过把钻井</w:t>
      </w:r>
      <w:r>
        <w:rPr>
          <w:rFonts w:hint="eastAsia" w:ascii="Times New Roman" w:hAnsi="Times New Roman" w:cs="Times New Roman" w:eastAsiaTheme="minorEastAsia"/>
          <w:color w:val="auto"/>
          <w:w w:val="99"/>
          <w:kern w:val="2"/>
          <w:highlight w:val="none"/>
        </w:rPr>
        <w:t>泥浆</w:t>
      </w:r>
      <w:r>
        <w:rPr>
          <w:rFonts w:ascii="Times New Roman" w:hAnsi="Times New Roman" w:cs="Times New Roman" w:eastAsiaTheme="minorEastAsia"/>
          <w:color w:val="auto"/>
          <w:w w:val="99"/>
          <w:kern w:val="2"/>
          <w:highlight w:val="none"/>
        </w:rPr>
        <w:t>的液柱压力控制在高压层压力附近甚至低于高压层压力的钻井。该技术的应用使钻井质量大幅度提高，减小对气层的污染，提高单井产量。</w:t>
      </w:r>
    </w:p>
    <w:p>
      <w:pPr>
        <w:widowControl w:val="0"/>
        <w:tabs>
          <w:tab w:val="left" w:pos="5262"/>
        </w:tabs>
        <w:spacing w:line="500" w:lineRule="exact"/>
        <w:ind w:firstLine="474" w:firstLineChars="200"/>
        <w:rPr>
          <w:rFonts w:ascii="Times New Roman" w:hAnsi="Times New Roman" w:cs="Times New Roman" w:eastAsiaTheme="minorEastAsia"/>
          <w:color w:val="auto"/>
          <w:w w:val="99"/>
          <w:kern w:val="2"/>
          <w:highlight w:val="none"/>
        </w:rPr>
      </w:pPr>
      <w:r>
        <w:rPr>
          <w:rFonts w:hint="eastAsia" w:ascii="Times New Roman" w:hAnsi="Times New Roman" w:cs="Times New Roman" w:eastAsiaTheme="minorEastAsia"/>
          <w:color w:val="auto"/>
          <w:w w:val="99"/>
          <w:kern w:val="2"/>
          <w:highlight w:val="none"/>
        </w:rPr>
        <w:t>（</w:t>
      </w:r>
      <w:r>
        <w:rPr>
          <w:rFonts w:ascii="Times New Roman" w:hAnsi="Times New Roman" w:cs="Times New Roman" w:eastAsiaTheme="minorEastAsia"/>
          <w:color w:val="auto"/>
          <w:w w:val="99"/>
          <w:kern w:val="2"/>
          <w:highlight w:val="none"/>
        </w:rPr>
        <w:t>2）区块布井尽量采用丛式井，不但最大限度减少废物排放，而且减少了井场占</w:t>
      </w:r>
      <w:r>
        <w:rPr>
          <w:rFonts w:hint="eastAsia" w:ascii="Times New Roman" w:hAnsi="Times New Roman" w:cs="Times New Roman" w:eastAsiaTheme="minorEastAsia"/>
          <w:color w:val="auto"/>
          <w:w w:val="99"/>
          <w:kern w:val="2"/>
          <w:highlight w:val="none"/>
        </w:rPr>
        <w:t>地，从而减轻了对土壤、生态及植被的影响。</w:t>
      </w:r>
    </w:p>
    <w:p>
      <w:pPr>
        <w:widowControl w:val="0"/>
        <w:tabs>
          <w:tab w:val="left" w:pos="5262"/>
        </w:tabs>
        <w:spacing w:line="500" w:lineRule="exact"/>
        <w:ind w:firstLine="474" w:firstLineChars="200"/>
        <w:rPr>
          <w:rFonts w:ascii="Times New Roman" w:hAnsi="Times New Roman" w:cs="Times New Roman" w:eastAsiaTheme="minorEastAsia"/>
          <w:color w:val="auto"/>
          <w:w w:val="99"/>
          <w:kern w:val="2"/>
          <w:highlight w:val="none"/>
        </w:rPr>
      </w:pPr>
      <w:r>
        <w:rPr>
          <w:rFonts w:hint="eastAsia" w:ascii="Times New Roman" w:hAnsi="Times New Roman" w:cs="Times New Roman" w:eastAsiaTheme="minorEastAsia"/>
          <w:color w:val="auto"/>
          <w:w w:val="99"/>
          <w:kern w:val="2"/>
          <w:highlight w:val="none"/>
        </w:rPr>
        <w:t>（</w:t>
      </w:r>
      <w:r>
        <w:rPr>
          <w:rFonts w:ascii="Times New Roman" w:hAnsi="Times New Roman" w:cs="Times New Roman" w:eastAsiaTheme="minorEastAsia"/>
          <w:color w:val="auto"/>
          <w:w w:val="99"/>
          <w:kern w:val="2"/>
          <w:highlight w:val="none"/>
        </w:rPr>
        <w:t>3）作业井场将采用泥浆循环系统等环保设施，最大限度地减</w:t>
      </w:r>
      <w:r>
        <w:rPr>
          <w:rFonts w:hint="eastAsia" w:ascii="Times New Roman" w:hAnsi="Times New Roman" w:cs="Times New Roman" w:eastAsiaTheme="minorEastAsia"/>
          <w:color w:val="auto"/>
          <w:w w:val="99"/>
          <w:kern w:val="2"/>
          <w:highlight w:val="none"/>
        </w:rPr>
        <w:t>少废弃泥浆的产生和污染物的排放。</w:t>
      </w:r>
    </w:p>
    <w:p>
      <w:pPr>
        <w:widowControl w:val="0"/>
        <w:tabs>
          <w:tab w:val="left" w:pos="5262"/>
        </w:tabs>
        <w:spacing w:line="500" w:lineRule="exact"/>
        <w:ind w:firstLine="474" w:firstLineChars="200"/>
        <w:rPr>
          <w:rFonts w:ascii="Times New Roman" w:hAnsi="Times New Roman" w:cs="Times New Roman" w:eastAsiaTheme="minorEastAsia"/>
          <w:color w:val="auto"/>
          <w:w w:val="99"/>
          <w:kern w:val="2"/>
          <w:highlight w:val="none"/>
        </w:rPr>
      </w:pPr>
      <w:r>
        <w:rPr>
          <w:rFonts w:hint="eastAsia" w:ascii="Times New Roman" w:hAnsi="Times New Roman" w:cs="Times New Roman" w:eastAsiaTheme="minorEastAsia"/>
          <w:color w:val="auto"/>
          <w:w w:val="99"/>
          <w:kern w:val="2"/>
          <w:highlight w:val="none"/>
        </w:rPr>
        <w:t>（</w:t>
      </w:r>
      <w:r>
        <w:rPr>
          <w:rFonts w:ascii="Times New Roman" w:hAnsi="Times New Roman" w:cs="Times New Roman" w:eastAsiaTheme="minorEastAsia"/>
          <w:color w:val="auto"/>
          <w:w w:val="99"/>
          <w:kern w:val="2"/>
          <w:highlight w:val="none"/>
        </w:rPr>
        <w:t>4）在钻井时，井口安装井控装置，最大限度的避免井喷事故的发生</w:t>
      </w:r>
      <w:r>
        <w:rPr>
          <w:rFonts w:hint="eastAsia" w:ascii="Times New Roman" w:hAnsi="Times New Roman" w:cs="Times New Roman" w:eastAsiaTheme="minorEastAsia"/>
          <w:color w:val="auto"/>
          <w:w w:val="99"/>
          <w:kern w:val="2"/>
          <w:highlight w:val="none"/>
        </w:rPr>
        <w:t>。</w:t>
      </w:r>
    </w:p>
    <w:p>
      <w:pPr>
        <w:pStyle w:val="7"/>
        <w:keepNext w:val="0"/>
        <w:keepLines w:val="0"/>
        <w:widowControl w:val="0"/>
        <w:rPr>
          <w:b/>
          <w:color w:val="auto"/>
          <w:w w:val="99"/>
          <w:kern w:val="2"/>
          <w:sz w:val="24"/>
          <w:szCs w:val="24"/>
          <w:highlight w:val="none"/>
        </w:rPr>
      </w:pPr>
      <w:bookmarkStart w:id="592" w:name="_Toc74812114"/>
      <w:bookmarkStart w:id="593" w:name="_Toc77667326"/>
      <w:bookmarkStart w:id="594" w:name="_Toc74812353"/>
      <w:bookmarkStart w:id="595" w:name="_Toc80105182"/>
      <w:r>
        <w:rPr>
          <w:rFonts w:hint="eastAsia"/>
          <w:b/>
          <w:color w:val="auto"/>
          <w:w w:val="99"/>
          <w:kern w:val="2"/>
          <w:sz w:val="24"/>
          <w:szCs w:val="24"/>
          <w:highlight w:val="none"/>
        </w:rPr>
        <w:t>3.</w:t>
      </w:r>
      <w:r>
        <w:rPr>
          <w:b/>
          <w:color w:val="auto"/>
          <w:w w:val="99"/>
          <w:kern w:val="2"/>
          <w:sz w:val="24"/>
          <w:szCs w:val="24"/>
          <w:highlight w:val="none"/>
        </w:rPr>
        <w:t>1</w:t>
      </w:r>
      <w:r>
        <w:rPr>
          <w:rFonts w:hint="eastAsia"/>
          <w:b/>
          <w:color w:val="auto"/>
          <w:w w:val="99"/>
          <w:kern w:val="2"/>
          <w:sz w:val="24"/>
          <w:szCs w:val="24"/>
          <w:highlight w:val="none"/>
          <w:lang w:val="en-US" w:eastAsia="zh-CN"/>
        </w:rPr>
        <w:t>3</w:t>
      </w:r>
      <w:r>
        <w:rPr>
          <w:rFonts w:hint="eastAsia"/>
          <w:b/>
          <w:color w:val="auto"/>
          <w:w w:val="99"/>
          <w:kern w:val="2"/>
          <w:sz w:val="24"/>
          <w:szCs w:val="24"/>
          <w:highlight w:val="none"/>
        </w:rPr>
        <w:t>.2</w:t>
      </w:r>
      <w:r>
        <w:rPr>
          <w:b/>
          <w:color w:val="auto"/>
          <w:w w:val="99"/>
          <w:kern w:val="2"/>
          <w:sz w:val="24"/>
          <w:szCs w:val="24"/>
          <w:highlight w:val="none"/>
        </w:rPr>
        <w:t>清洁泥浆体系</w:t>
      </w:r>
      <w:bookmarkEnd w:id="592"/>
      <w:bookmarkEnd w:id="593"/>
      <w:bookmarkEnd w:id="594"/>
      <w:bookmarkEnd w:id="595"/>
    </w:p>
    <w:p>
      <w:pPr>
        <w:widowControl w:val="0"/>
        <w:tabs>
          <w:tab w:val="left" w:pos="5262"/>
        </w:tabs>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为保护该区生态，避免污染地下水和土壤，本工程全部采用无毒无害或毒性极小的水基钻井泥浆，为防止泥浆上返地面后对土壤的污染，泥浆中添加剂使用低毒的添加剂。使用循环密闭泥浆罐、振动筛、沉砂池等工艺设备，泥浆循环利用，减少废弃泥浆的产生。</w:t>
      </w:r>
    </w:p>
    <w:p>
      <w:pPr>
        <w:pStyle w:val="7"/>
        <w:keepNext w:val="0"/>
        <w:keepLines w:val="0"/>
        <w:widowControl w:val="0"/>
        <w:rPr>
          <w:b/>
          <w:color w:val="auto"/>
          <w:w w:val="99"/>
          <w:kern w:val="2"/>
          <w:sz w:val="24"/>
          <w:szCs w:val="24"/>
          <w:highlight w:val="none"/>
        </w:rPr>
      </w:pPr>
      <w:bookmarkStart w:id="596" w:name="_Toc80105183"/>
      <w:bookmarkStart w:id="597" w:name="_Toc74812354"/>
      <w:bookmarkStart w:id="598" w:name="_Toc77667327"/>
      <w:bookmarkStart w:id="599" w:name="_Toc74812115"/>
      <w:r>
        <w:rPr>
          <w:rFonts w:hint="eastAsia"/>
          <w:b/>
          <w:color w:val="auto"/>
          <w:w w:val="99"/>
          <w:kern w:val="2"/>
          <w:sz w:val="24"/>
          <w:szCs w:val="24"/>
          <w:highlight w:val="none"/>
        </w:rPr>
        <w:t>3</w:t>
      </w:r>
      <w:r>
        <w:rPr>
          <w:b/>
          <w:color w:val="auto"/>
          <w:w w:val="99"/>
          <w:kern w:val="2"/>
          <w:sz w:val="24"/>
          <w:szCs w:val="24"/>
          <w:highlight w:val="none"/>
        </w:rPr>
        <w:t>.1</w:t>
      </w:r>
      <w:r>
        <w:rPr>
          <w:rFonts w:hint="eastAsia"/>
          <w:b/>
          <w:color w:val="auto"/>
          <w:w w:val="99"/>
          <w:kern w:val="2"/>
          <w:sz w:val="24"/>
          <w:szCs w:val="24"/>
          <w:highlight w:val="none"/>
          <w:lang w:val="en-US" w:eastAsia="zh-CN"/>
        </w:rPr>
        <w:t>3</w:t>
      </w:r>
      <w:r>
        <w:rPr>
          <w:b/>
          <w:color w:val="auto"/>
          <w:w w:val="99"/>
          <w:kern w:val="2"/>
          <w:sz w:val="24"/>
          <w:szCs w:val="24"/>
          <w:highlight w:val="none"/>
        </w:rPr>
        <w:t>.3先进固井技术</w:t>
      </w:r>
      <w:bookmarkEnd w:id="596"/>
      <w:bookmarkEnd w:id="597"/>
      <w:bookmarkEnd w:id="598"/>
      <w:bookmarkEnd w:id="599"/>
    </w:p>
    <w:p>
      <w:pPr>
        <w:widowControl w:val="0"/>
        <w:tabs>
          <w:tab w:val="left" w:pos="5262"/>
        </w:tabs>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为保护该区地下水不受污染，钻井过程使用双层套管，在钻至井深达地下水时下入表层套管，固井水泥浆返至井口，确保安全封闭此深度内的潜水层和承压水层。固井工艺采用一次上返、全井段封固。若水泥浆没有返至地面，采用“一次</w:t>
      </w:r>
      <w:r>
        <w:rPr>
          <w:rFonts w:hint="eastAsia" w:ascii="Times New Roman" w:hAnsi="Times New Roman" w:cs="Times New Roman" w:eastAsiaTheme="minorEastAsia"/>
          <w:color w:val="auto"/>
          <w:w w:val="99"/>
          <w:kern w:val="2"/>
          <w:highlight w:val="none"/>
        </w:rPr>
        <w:t>上返</w:t>
      </w:r>
      <w:r>
        <w:rPr>
          <w:rFonts w:ascii="Times New Roman" w:hAnsi="Times New Roman" w:cs="Times New Roman" w:eastAsiaTheme="minorEastAsia"/>
          <w:color w:val="auto"/>
          <w:w w:val="99"/>
          <w:kern w:val="2"/>
          <w:highlight w:val="none"/>
        </w:rPr>
        <w:t>+井口回填”固井工艺。优先采用“常规密度+低密度”水泥浆体系，一次上返固井</w:t>
      </w:r>
      <w:r>
        <w:rPr>
          <w:rFonts w:hint="eastAsia" w:ascii="Times New Roman" w:hAnsi="Times New Roman" w:cs="Times New Roman" w:eastAsiaTheme="minorEastAsia"/>
          <w:color w:val="auto"/>
          <w:w w:val="99"/>
          <w:kern w:val="2"/>
          <w:highlight w:val="none"/>
        </w:rPr>
        <w:t>工艺，实现全井段封固。避免了各个含水层之间的地下水串层以及套外返水事故对地下水的污染。同时，固井水泥中加入防窜降失水剂，有效控制了泥浆的失水。</w:t>
      </w:r>
    </w:p>
    <w:p>
      <w:pPr>
        <w:pStyle w:val="7"/>
        <w:keepNext w:val="0"/>
        <w:keepLines w:val="0"/>
        <w:widowControl w:val="0"/>
        <w:rPr>
          <w:b/>
          <w:color w:val="auto"/>
          <w:w w:val="99"/>
          <w:kern w:val="2"/>
          <w:sz w:val="24"/>
          <w:szCs w:val="24"/>
          <w:highlight w:val="none"/>
        </w:rPr>
      </w:pPr>
      <w:bookmarkStart w:id="600" w:name="_Toc77667328"/>
      <w:bookmarkStart w:id="601" w:name="_Toc80105184"/>
      <w:bookmarkStart w:id="602" w:name="_Toc74812116"/>
      <w:bookmarkStart w:id="603" w:name="_Toc74812355"/>
      <w:r>
        <w:rPr>
          <w:rFonts w:hint="eastAsia"/>
          <w:b/>
          <w:color w:val="auto"/>
          <w:w w:val="99"/>
          <w:kern w:val="2"/>
          <w:sz w:val="24"/>
          <w:szCs w:val="24"/>
          <w:highlight w:val="none"/>
        </w:rPr>
        <w:t>3</w:t>
      </w:r>
      <w:r>
        <w:rPr>
          <w:b/>
          <w:color w:val="auto"/>
          <w:w w:val="99"/>
          <w:kern w:val="2"/>
          <w:sz w:val="24"/>
          <w:szCs w:val="24"/>
          <w:highlight w:val="none"/>
        </w:rPr>
        <w:t>.1</w:t>
      </w:r>
      <w:r>
        <w:rPr>
          <w:rFonts w:hint="eastAsia"/>
          <w:b/>
          <w:color w:val="auto"/>
          <w:w w:val="99"/>
          <w:kern w:val="2"/>
          <w:sz w:val="24"/>
          <w:szCs w:val="24"/>
          <w:highlight w:val="none"/>
          <w:lang w:val="en-US" w:eastAsia="zh-CN"/>
        </w:rPr>
        <w:t>3</w:t>
      </w:r>
      <w:r>
        <w:rPr>
          <w:b/>
          <w:color w:val="auto"/>
          <w:w w:val="99"/>
          <w:kern w:val="2"/>
          <w:sz w:val="24"/>
          <w:szCs w:val="24"/>
          <w:highlight w:val="none"/>
        </w:rPr>
        <w:t>.4先进的井控装置</w:t>
      </w:r>
      <w:bookmarkEnd w:id="600"/>
      <w:bookmarkEnd w:id="601"/>
      <w:bookmarkEnd w:id="602"/>
      <w:bookmarkEnd w:id="603"/>
    </w:p>
    <w:p>
      <w:pPr>
        <w:widowControl w:val="0"/>
        <w:tabs>
          <w:tab w:val="left" w:pos="5262"/>
        </w:tabs>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该项目的钻井施工队伍均配备了自封、全封、半封等各种井控设备，井口安装防喷器，钻井过程发现溢流时，可及时关闭井控装置，避免井喷的发生。</w:t>
      </w:r>
    </w:p>
    <w:p>
      <w:pPr>
        <w:pStyle w:val="7"/>
        <w:keepNext w:val="0"/>
        <w:keepLines w:val="0"/>
        <w:widowControl w:val="0"/>
        <w:rPr>
          <w:b/>
          <w:color w:val="auto"/>
          <w:w w:val="99"/>
          <w:kern w:val="2"/>
          <w:sz w:val="24"/>
          <w:szCs w:val="24"/>
          <w:highlight w:val="none"/>
        </w:rPr>
      </w:pPr>
      <w:bookmarkStart w:id="604" w:name="_Toc77667329"/>
      <w:bookmarkStart w:id="605" w:name="_Toc74812117"/>
      <w:bookmarkStart w:id="606" w:name="_Toc74812356"/>
      <w:bookmarkStart w:id="607" w:name="_Toc80105185"/>
      <w:r>
        <w:rPr>
          <w:rFonts w:hint="eastAsia"/>
          <w:b/>
          <w:color w:val="auto"/>
          <w:w w:val="99"/>
          <w:kern w:val="2"/>
          <w:sz w:val="24"/>
          <w:szCs w:val="24"/>
          <w:highlight w:val="none"/>
        </w:rPr>
        <w:t>3.</w:t>
      </w:r>
      <w:r>
        <w:rPr>
          <w:b/>
          <w:color w:val="auto"/>
          <w:w w:val="99"/>
          <w:kern w:val="2"/>
          <w:sz w:val="24"/>
          <w:szCs w:val="24"/>
          <w:highlight w:val="none"/>
        </w:rPr>
        <w:t>1</w:t>
      </w:r>
      <w:r>
        <w:rPr>
          <w:rFonts w:hint="eastAsia"/>
          <w:b/>
          <w:color w:val="auto"/>
          <w:w w:val="99"/>
          <w:kern w:val="2"/>
          <w:sz w:val="24"/>
          <w:szCs w:val="24"/>
          <w:highlight w:val="none"/>
          <w:lang w:val="en-US" w:eastAsia="zh-CN"/>
        </w:rPr>
        <w:t>3</w:t>
      </w:r>
      <w:r>
        <w:rPr>
          <w:b/>
          <w:color w:val="auto"/>
          <w:w w:val="99"/>
          <w:kern w:val="2"/>
          <w:sz w:val="24"/>
          <w:szCs w:val="24"/>
          <w:highlight w:val="none"/>
        </w:rPr>
        <w:t>.5</w:t>
      </w:r>
      <w:r>
        <w:rPr>
          <w:rFonts w:hint="eastAsia"/>
          <w:b/>
          <w:color w:val="auto"/>
          <w:w w:val="99"/>
          <w:kern w:val="2"/>
          <w:sz w:val="24"/>
          <w:szCs w:val="24"/>
          <w:highlight w:val="none"/>
        </w:rPr>
        <w:t>先进的</w:t>
      </w:r>
      <w:r>
        <w:rPr>
          <w:b/>
          <w:color w:val="auto"/>
          <w:w w:val="99"/>
          <w:kern w:val="2"/>
          <w:sz w:val="24"/>
          <w:szCs w:val="24"/>
          <w:highlight w:val="none"/>
        </w:rPr>
        <w:t>环境管理</w:t>
      </w:r>
      <w:bookmarkEnd w:id="604"/>
      <w:bookmarkEnd w:id="605"/>
      <w:bookmarkEnd w:id="606"/>
      <w:bookmarkEnd w:id="607"/>
    </w:p>
    <w:p>
      <w:pPr>
        <w:widowControl w:val="0"/>
        <w:tabs>
          <w:tab w:val="left" w:pos="5262"/>
        </w:tabs>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本项目在实施过程中，积极推行HSE管理体系，对项目实施HSE管理，同时对全体员工进行相应的HSE培训，使职工自觉遵守HSE管理体系并积极保护其人身安全和周围环境，尽量减少直至杜绝环境污染事故的发生。</w:t>
      </w:r>
    </w:p>
    <w:p>
      <w:pPr>
        <w:widowControl w:val="0"/>
        <w:tabs>
          <w:tab w:val="left" w:pos="5262"/>
        </w:tabs>
        <w:spacing w:line="500" w:lineRule="exact"/>
        <w:ind w:firstLine="474" w:firstLineChars="200"/>
        <w:jc w:val="both"/>
        <w:rPr>
          <w:rFonts w:ascii="Times New Roman" w:hAnsi="Times New Roman" w:cs="Times New Roman" w:eastAsiaTheme="minorEastAsia"/>
          <w:color w:val="auto"/>
          <w:w w:val="99"/>
          <w:kern w:val="2"/>
          <w:highlight w:val="none"/>
        </w:rPr>
      </w:pPr>
      <w:r>
        <w:rPr>
          <w:rFonts w:hint="eastAsia" w:ascii="Times New Roman" w:hAnsi="Times New Roman" w:cs="Times New Roman" w:eastAsiaTheme="minorEastAsia"/>
          <w:color w:val="auto"/>
          <w:w w:val="99"/>
          <w:kern w:val="2"/>
          <w:highlight w:val="none"/>
        </w:rPr>
        <w:t>通过与《石油天然气开采业污染防治技术政策》对比分析本项目清洁生产水平，本项目与《石油天然气开采业污染防治技术政策》中对清洁生产的各项指标对比见表</w:t>
      </w:r>
      <w:r>
        <w:rPr>
          <w:rFonts w:ascii="Times New Roman" w:hAnsi="Times New Roman" w:cs="Times New Roman" w:eastAsiaTheme="minorEastAsia"/>
          <w:color w:val="auto"/>
          <w:w w:val="99"/>
          <w:kern w:val="2"/>
          <w:highlight w:val="none"/>
        </w:rPr>
        <w:t>3.1</w:t>
      </w:r>
      <w:r>
        <w:rPr>
          <w:rFonts w:hint="eastAsia" w:ascii="Times New Roman" w:hAnsi="Times New Roman" w:cs="Times New Roman" w:eastAsiaTheme="minorEastAsia"/>
          <w:color w:val="auto"/>
          <w:w w:val="99"/>
          <w:kern w:val="2"/>
          <w:highlight w:val="none"/>
          <w:lang w:val="en-US" w:eastAsia="zh-CN"/>
        </w:rPr>
        <w:t>3</w:t>
      </w:r>
      <w:r>
        <w:rPr>
          <w:rFonts w:ascii="Times New Roman" w:hAnsi="Times New Roman" w:cs="Times New Roman" w:eastAsiaTheme="minorEastAsia"/>
          <w:color w:val="auto"/>
          <w:w w:val="99"/>
          <w:kern w:val="2"/>
          <w:highlight w:val="none"/>
        </w:rPr>
        <w:t>-1。</w:t>
      </w:r>
    </w:p>
    <w:p>
      <w:pPr>
        <w:widowControl w:val="0"/>
        <w:spacing w:line="500" w:lineRule="exact"/>
        <w:ind w:firstLine="474" w:firstLineChars="200"/>
        <w:jc w:val="both"/>
        <w:rPr>
          <w:rFonts w:ascii="Times New Roman" w:hAnsi="Times New Roman" w:cs="Times New Roman" w:eastAsiaTheme="minorEastAsia"/>
          <w:b/>
          <w:bCs w:val="0"/>
          <w:color w:val="auto"/>
          <w:w w:val="99"/>
          <w:szCs w:val="20"/>
          <w:highlight w:val="none"/>
        </w:rPr>
      </w:pPr>
      <w:r>
        <w:rPr>
          <w:rFonts w:ascii="Times New Roman" w:hAnsi="Times New Roman" w:cs="Times New Roman" w:eastAsiaTheme="minorEastAsia"/>
          <w:b/>
          <w:bCs w:val="0"/>
          <w:color w:val="auto"/>
          <w:w w:val="99"/>
          <w:kern w:val="21"/>
          <w:szCs w:val="20"/>
          <w:highlight w:val="none"/>
        </w:rPr>
        <w:t>表3.1</w:t>
      </w:r>
      <w:r>
        <w:rPr>
          <w:rFonts w:hint="eastAsia" w:ascii="Times New Roman" w:hAnsi="Times New Roman" w:cs="Times New Roman" w:eastAsiaTheme="minorEastAsia"/>
          <w:b/>
          <w:bCs w:val="0"/>
          <w:color w:val="auto"/>
          <w:w w:val="99"/>
          <w:kern w:val="21"/>
          <w:szCs w:val="20"/>
          <w:highlight w:val="none"/>
          <w:lang w:val="en-US" w:eastAsia="zh-CN"/>
        </w:rPr>
        <w:t>3</w:t>
      </w:r>
      <w:r>
        <w:rPr>
          <w:rFonts w:ascii="Times New Roman" w:hAnsi="Times New Roman" w:cs="Times New Roman" w:eastAsiaTheme="minorEastAsia"/>
          <w:b/>
          <w:bCs w:val="0"/>
          <w:color w:val="auto"/>
          <w:w w:val="99"/>
          <w:kern w:val="21"/>
          <w:szCs w:val="20"/>
          <w:highlight w:val="none"/>
        </w:rPr>
        <w:t xml:space="preserve">-1             </w:t>
      </w:r>
      <w:r>
        <w:rPr>
          <w:rFonts w:hint="eastAsia" w:ascii="Times New Roman" w:hAnsi="Times New Roman" w:cs="Times New Roman" w:eastAsiaTheme="minorEastAsia"/>
          <w:b/>
          <w:bCs w:val="0"/>
          <w:color w:val="auto"/>
          <w:w w:val="99"/>
          <w:highlight w:val="none"/>
        </w:rPr>
        <w:t>清洁生产分析一览表</w:t>
      </w:r>
    </w:p>
    <w:tbl>
      <w:tblPr>
        <w:tblStyle w:val="8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3756"/>
        <w:gridCol w:w="3804"/>
        <w:gridCol w:w="9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序号</w:t>
            </w:r>
          </w:p>
        </w:tc>
        <w:tc>
          <w:tcPr>
            <w:tcW w:w="2022"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《石油天然气开采业污染防治技术政策》有关清洁生产的要求</w:t>
            </w:r>
          </w:p>
        </w:tc>
        <w:tc>
          <w:tcPr>
            <w:tcW w:w="2048"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本项目处理方式</w:t>
            </w:r>
          </w:p>
        </w:tc>
        <w:tc>
          <w:tcPr>
            <w:tcW w:w="529"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1</w:t>
            </w:r>
          </w:p>
        </w:tc>
        <w:tc>
          <w:tcPr>
            <w:tcW w:w="2022"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油气田建设应总体规划，优化布局，整体开发，减少占地和油气损失，实现油气和废物的集中收集、处理处置</w:t>
            </w:r>
          </w:p>
        </w:tc>
        <w:tc>
          <w:tcPr>
            <w:tcW w:w="2048"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lang w:bidi="zh-CN"/>
              </w:rPr>
            </w:pPr>
            <w:r>
              <w:rPr>
                <w:rFonts w:hint="eastAsia" w:ascii="Times New Roman" w:hAnsi="Times New Roman" w:cs="Times New Roman" w:eastAsiaTheme="minorEastAsia"/>
                <w:color w:val="auto"/>
                <w:w w:val="99"/>
                <w:kern w:val="2"/>
                <w:sz w:val="21"/>
                <w:szCs w:val="21"/>
                <w:highlight w:val="none"/>
                <w:lang w:bidi="zh-CN"/>
              </w:rPr>
              <w:t>本项目施工</w:t>
            </w:r>
            <w:r>
              <w:rPr>
                <w:rFonts w:ascii="Times New Roman" w:hAnsi="Times New Roman" w:cs="Times New Roman" w:eastAsiaTheme="minorEastAsia"/>
                <w:color w:val="auto"/>
                <w:w w:val="99"/>
                <w:kern w:val="2"/>
                <w:sz w:val="21"/>
                <w:szCs w:val="21"/>
                <w:highlight w:val="none"/>
                <w:lang w:bidi="zh-CN"/>
              </w:rPr>
              <w:t>期各</w:t>
            </w:r>
            <w:r>
              <w:rPr>
                <w:rFonts w:hint="eastAsia" w:ascii="Times New Roman" w:hAnsi="Times New Roman" w:cs="Times New Roman" w:eastAsiaTheme="minorEastAsia"/>
                <w:color w:val="auto"/>
                <w:w w:val="99"/>
                <w:kern w:val="2"/>
                <w:sz w:val="21"/>
                <w:szCs w:val="21"/>
                <w:highlight w:val="none"/>
                <w:lang w:bidi="zh-CN"/>
              </w:rPr>
              <w:t>种废弃物均得到合理有效集中处理</w:t>
            </w:r>
          </w:p>
        </w:tc>
        <w:tc>
          <w:tcPr>
            <w:tcW w:w="529"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2</w:t>
            </w:r>
          </w:p>
        </w:tc>
        <w:tc>
          <w:tcPr>
            <w:tcW w:w="2022"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油气田开发不得使用含有国际公约禁用化学物质的油气田化学剂，逐步淘汰微毒及以上油气田化学剂，鼓励使用无毒油气田化学剂</w:t>
            </w:r>
          </w:p>
        </w:tc>
        <w:tc>
          <w:tcPr>
            <w:tcW w:w="2048" w:type="pct"/>
            <w:vAlign w:val="center"/>
          </w:tcPr>
          <w:p>
            <w:pPr>
              <w:widowControl w:val="0"/>
              <w:spacing w:line="320" w:lineRule="exact"/>
              <w:jc w:val="both"/>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本项目</w:t>
            </w:r>
            <w:r>
              <w:rPr>
                <w:rFonts w:ascii="Times New Roman" w:hAnsi="Times New Roman" w:cs="Times New Roman" w:eastAsiaTheme="minorEastAsia"/>
                <w:color w:val="auto"/>
                <w:w w:val="99"/>
                <w:kern w:val="2"/>
                <w:sz w:val="21"/>
                <w:highlight w:val="none"/>
              </w:rPr>
              <w:t>钻井施工过程</w:t>
            </w:r>
            <w:r>
              <w:rPr>
                <w:rFonts w:hint="eastAsia" w:ascii="Times New Roman" w:hAnsi="Times New Roman" w:cs="Times New Roman" w:eastAsiaTheme="minorEastAsia"/>
                <w:color w:val="auto"/>
                <w:w w:val="99"/>
                <w:kern w:val="2"/>
                <w:sz w:val="21"/>
                <w:highlight w:val="none"/>
              </w:rPr>
              <w:t>使用无毒无害油气田化学剂</w:t>
            </w:r>
          </w:p>
        </w:tc>
        <w:tc>
          <w:tcPr>
            <w:tcW w:w="529"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3</w:t>
            </w:r>
          </w:p>
        </w:tc>
        <w:tc>
          <w:tcPr>
            <w:tcW w:w="2022"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在勘探开发过程中，应防止产生落地原油。其中井下作业过程中应配备泄油器、刮油器等。落地原油应及时回收，落地原油回收率应达到</w:t>
            </w:r>
            <w:r>
              <w:rPr>
                <w:rFonts w:ascii="Times New Roman" w:hAnsi="Times New Roman" w:cs="Times New Roman" w:eastAsiaTheme="minorEastAsia"/>
                <w:color w:val="auto"/>
                <w:w w:val="99"/>
                <w:kern w:val="2"/>
                <w:sz w:val="21"/>
                <w:highlight w:val="none"/>
              </w:rPr>
              <w:t>100%</w:t>
            </w:r>
          </w:p>
        </w:tc>
        <w:tc>
          <w:tcPr>
            <w:tcW w:w="2048" w:type="pct"/>
            <w:vAlign w:val="center"/>
          </w:tcPr>
          <w:p>
            <w:pPr>
              <w:widowControl w:val="0"/>
              <w:spacing w:line="320" w:lineRule="exact"/>
              <w:jc w:val="both"/>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本项目</w:t>
            </w:r>
            <w:r>
              <w:rPr>
                <w:rFonts w:ascii="Times New Roman" w:hAnsi="Times New Roman" w:cs="Times New Roman" w:eastAsiaTheme="minorEastAsia"/>
                <w:color w:val="auto"/>
                <w:w w:val="99"/>
                <w:kern w:val="2"/>
                <w:sz w:val="21"/>
                <w:highlight w:val="none"/>
              </w:rPr>
              <w:t>钻井施工阶段井场</w:t>
            </w:r>
            <w:r>
              <w:rPr>
                <w:rFonts w:hint="eastAsia" w:ascii="Times New Roman" w:hAnsi="Times New Roman" w:cs="Times New Roman" w:eastAsiaTheme="minorEastAsia"/>
                <w:color w:val="auto"/>
                <w:w w:val="99"/>
                <w:kern w:val="2"/>
                <w:sz w:val="21"/>
                <w:highlight w:val="none"/>
              </w:rPr>
              <w:t>配备</w:t>
            </w:r>
            <w:r>
              <w:rPr>
                <w:rFonts w:ascii="Times New Roman" w:hAnsi="Times New Roman" w:cs="Times New Roman" w:eastAsiaTheme="minorEastAsia"/>
                <w:color w:val="auto"/>
                <w:w w:val="99"/>
                <w:kern w:val="2"/>
                <w:sz w:val="21"/>
                <w:highlight w:val="none"/>
              </w:rPr>
              <w:t>钢制泥浆槽，井场铺设</w:t>
            </w:r>
            <w:r>
              <w:rPr>
                <w:rFonts w:hint="eastAsia" w:ascii="Times New Roman" w:hAnsi="Times New Roman" w:cs="Times New Roman" w:eastAsiaTheme="minorEastAsia"/>
                <w:color w:val="auto"/>
                <w:w w:val="99"/>
                <w:kern w:val="2"/>
                <w:sz w:val="21"/>
                <w:highlight w:val="none"/>
              </w:rPr>
              <w:t>防渗布</w:t>
            </w:r>
            <w:r>
              <w:rPr>
                <w:rFonts w:ascii="Times New Roman" w:hAnsi="Times New Roman" w:cs="Times New Roman" w:eastAsiaTheme="minorEastAsia"/>
                <w:color w:val="auto"/>
                <w:w w:val="99"/>
                <w:kern w:val="2"/>
                <w:sz w:val="21"/>
                <w:highlight w:val="none"/>
              </w:rPr>
              <w:t>，</w:t>
            </w:r>
            <w:r>
              <w:rPr>
                <w:rFonts w:hint="eastAsia" w:ascii="Times New Roman" w:hAnsi="Times New Roman" w:cs="Times New Roman" w:eastAsiaTheme="minorEastAsia"/>
                <w:color w:val="auto"/>
                <w:w w:val="99"/>
                <w:kern w:val="2"/>
                <w:sz w:val="21"/>
                <w:highlight w:val="none"/>
              </w:rPr>
              <w:t>避免</w:t>
            </w:r>
            <w:r>
              <w:rPr>
                <w:rFonts w:ascii="Times New Roman" w:hAnsi="Times New Roman" w:cs="Times New Roman" w:eastAsiaTheme="minorEastAsia"/>
                <w:color w:val="auto"/>
                <w:w w:val="99"/>
                <w:kern w:val="2"/>
                <w:sz w:val="21"/>
                <w:highlight w:val="none"/>
              </w:rPr>
              <w:t>钻井</w:t>
            </w:r>
            <w:r>
              <w:rPr>
                <w:rFonts w:hint="eastAsia" w:ascii="Times New Roman" w:hAnsi="Times New Roman" w:cs="Times New Roman" w:eastAsiaTheme="minorEastAsia"/>
                <w:color w:val="auto"/>
                <w:w w:val="99"/>
                <w:kern w:val="2"/>
                <w:sz w:val="21"/>
                <w:highlight w:val="none"/>
              </w:rPr>
              <w:t>泥浆</w:t>
            </w:r>
            <w:r>
              <w:rPr>
                <w:rFonts w:ascii="Times New Roman" w:hAnsi="Times New Roman" w:cs="Times New Roman" w:eastAsiaTheme="minorEastAsia"/>
                <w:color w:val="auto"/>
                <w:w w:val="99"/>
                <w:kern w:val="2"/>
                <w:sz w:val="21"/>
                <w:highlight w:val="none"/>
              </w:rPr>
              <w:t>泄漏</w:t>
            </w:r>
            <w:r>
              <w:rPr>
                <w:rFonts w:hint="eastAsia" w:ascii="Times New Roman" w:hAnsi="Times New Roman" w:cs="Times New Roman" w:eastAsiaTheme="minorEastAsia"/>
                <w:color w:val="auto"/>
                <w:w w:val="99"/>
                <w:kern w:val="2"/>
                <w:sz w:val="21"/>
                <w:highlight w:val="none"/>
              </w:rPr>
              <w:t>污染</w:t>
            </w:r>
            <w:r>
              <w:rPr>
                <w:rFonts w:ascii="Times New Roman" w:hAnsi="Times New Roman" w:cs="Times New Roman" w:eastAsiaTheme="minorEastAsia"/>
                <w:color w:val="auto"/>
                <w:w w:val="99"/>
                <w:kern w:val="2"/>
                <w:sz w:val="21"/>
                <w:highlight w:val="none"/>
              </w:rPr>
              <w:t>土壤及地下水</w:t>
            </w:r>
          </w:p>
        </w:tc>
        <w:tc>
          <w:tcPr>
            <w:tcW w:w="529"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4</w:t>
            </w:r>
          </w:p>
        </w:tc>
        <w:tc>
          <w:tcPr>
            <w:tcW w:w="2022"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在油气勘探过程中，宜使用环保型炸药和可控震源，应采取防渗措施预防燃料泄漏对环境的污染</w:t>
            </w:r>
          </w:p>
        </w:tc>
        <w:tc>
          <w:tcPr>
            <w:tcW w:w="2048" w:type="pct"/>
            <w:vAlign w:val="center"/>
          </w:tcPr>
          <w:p>
            <w:pPr>
              <w:widowControl w:val="0"/>
              <w:spacing w:line="320" w:lineRule="exact"/>
              <w:jc w:val="both"/>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钻井过程使用柴油均储存在井场柴油罐中，柴油灌区设置围堰并采取重点防渗措施，避免泄漏</w:t>
            </w:r>
          </w:p>
        </w:tc>
        <w:tc>
          <w:tcPr>
            <w:tcW w:w="529"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5</w:t>
            </w:r>
          </w:p>
        </w:tc>
        <w:tc>
          <w:tcPr>
            <w:tcW w:w="2022"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在钻井过程中，鼓励采用环境友好的钻井液体系，配备完善的固控设备，钻井液循环率达到</w:t>
            </w:r>
            <w:r>
              <w:rPr>
                <w:rFonts w:ascii="Times New Roman" w:hAnsi="Times New Roman" w:cs="Times New Roman" w:eastAsiaTheme="minorEastAsia"/>
                <w:color w:val="auto"/>
                <w:w w:val="99"/>
                <w:kern w:val="2"/>
                <w:sz w:val="21"/>
                <w:highlight w:val="none"/>
              </w:rPr>
              <w:t>95%以</w:t>
            </w:r>
            <w:r>
              <w:rPr>
                <w:rFonts w:hint="eastAsia" w:ascii="Times New Roman" w:hAnsi="Times New Roman" w:cs="Times New Roman" w:eastAsiaTheme="minorEastAsia"/>
                <w:color w:val="auto"/>
                <w:w w:val="99"/>
                <w:kern w:val="2"/>
                <w:sz w:val="21"/>
                <w:highlight w:val="none"/>
              </w:rPr>
              <w:t>上，钻井过程产生的废水应回用</w:t>
            </w:r>
          </w:p>
        </w:tc>
        <w:tc>
          <w:tcPr>
            <w:tcW w:w="2048" w:type="pct"/>
            <w:vAlign w:val="center"/>
          </w:tcPr>
          <w:p>
            <w:pPr>
              <w:widowControl w:val="0"/>
              <w:spacing w:line="320" w:lineRule="exact"/>
              <w:jc w:val="both"/>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本项目使用无毒无害的水基钻井泥浆，循环率达到</w:t>
            </w:r>
            <w:r>
              <w:rPr>
                <w:rFonts w:ascii="Times New Roman" w:hAnsi="Times New Roman" w:cs="Times New Roman" w:eastAsiaTheme="minorEastAsia"/>
                <w:color w:val="auto"/>
                <w:w w:val="99"/>
                <w:kern w:val="2"/>
                <w:sz w:val="21"/>
                <w:highlight w:val="none"/>
              </w:rPr>
              <w:t xml:space="preserve"> 95%</w:t>
            </w:r>
            <w:r>
              <w:rPr>
                <w:rFonts w:hint="eastAsia" w:ascii="Times New Roman" w:hAnsi="Times New Roman" w:cs="Times New Roman" w:eastAsiaTheme="minorEastAsia"/>
                <w:color w:val="auto"/>
                <w:w w:val="99"/>
                <w:kern w:val="2"/>
                <w:sz w:val="21"/>
                <w:highlight w:val="none"/>
              </w:rPr>
              <w:t>以上，</w:t>
            </w:r>
            <w:r>
              <w:rPr>
                <w:rFonts w:ascii="Times New Roman" w:hAnsi="Times New Roman" w:cs="Times New Roman" w:eastAsiaTheme="minorEastAsia"/>
                <w:color w:val="auto"/>
                <w:w w:val="99"/>
                <w:kern w:val="2"/>
                <w:sz w:val="21"/>
                <w:highlight w:val="none"/>
              </w:rPr>
              <w:t>钻井废水进入井场泥浆槽中，</w:t>
            </w:r>
            <w:r>
              <w:rPr>
                <w:rFonts w:hint="eastAsia" w:ascii="Times New Roman" w:hAnsi="Times New Roman" w:cs="Times New Roman" w:eastAsiaTheme="minorEastAsia"/>
                <w:color w:val="auto"/>
                <w:w w:val="99"/>
                <w:kern w:val="2"/>
                <w:sz w:val="21"/>
                <w:highlight w:val="none"/>
              </w:rPr>
              <w:t>及时拉运至</w:t>
            </w:r>
            <w:r>
              <w:rPr>
                <w:rFonts w:ascii="Times New Roman" w:hAnsi="Times New Roman" w:cs="Times New Roman" w:eastAsiaTheme="minorEastAsia"/>
                <w:color w:val="auto"/>
                <w:w w:val="99"/>
                <w:kern w:val="2"/>
                <w:sz w:val="21"/>
                <w:highlight w:val="none"/>
              </w:rPr>
              <w:t>大庆油田昆仑集团有限公司环保分公司</w:t>
            </w:r>
            <w:r>
              <w:rPr>
                <w:rFonts w:hint="eastAsia" w:ascii="Times New Roman" w:hAnsi="Times New Roman" w:cs="Times New Roman" w:eastAsiaTheme="minorEastAsia"/>
                <w:color w:val="auto"/>
                <w:w w:val="99"/>
                <w:kern w:val="2"/>
                <w:sz w:val="21"/>
                <w:highlight w:val="none"/>
              </w:rPr>
              <w:t>处理</w:t>
            </w:r>
          </w:p>
        </w:tc>
        <w:tc>
          <w:tcPr>
            <w:tcW w:w="529"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6</w:t>
            </w:r>
          </w:p>
        </w:tc>
        <w:tc>
          <w:tcPr>
            <w:tcW w:w="2022"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酸化、压裂作业和试油（气）过程应采用防喷、地面管线防刺、防漏、防溢等措施</w:t>
            </w:r>
          </w:p>
        </w:tc>
        <w:tc>
          <w:tcPr>
            <w:tcW w:w="2048" w:type="pct"/>
            <w:vAlign w:val="center"/>
          </w:tcPr>
          <w:p>
            <w:pPr>
              <w:widowControl w:val="0"/>
              <w:spacing w:line="320" w:lineRule="exact"/>
              <w:jc w:val="both"/>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本项目不</w:t>
            </w:r>
            <w:r>
              <w:rPr>
                <w:rFonts w:ascii="Times New Roman" w:hAnsi="Times New Roman" w:cs="Times New Roman" w:eastAsiaTheme="minorEastAsia"/>
                <w:color w:val="auto"/>
                <w:w w:val="99"/>
                <w:kern w:val="2"/>
                <w:sz w:val="21"/>
                <w:highlight w:val="none"/>
              </w:rPr>
              <w:t>涉及酸化、压裂、试油过程。</w:t>
            </w:r>
          </w:p>
        </w:tc>
        <w:tc>
          <w:tcPr>
            <w:tcW w:w="529"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7</w:t>
            </w:r>
          </w:p>
        </w:tc>
        <w:tc>
          <w:tcPr>
            <w:tcW w:w="2022"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在开发过程中，适宜注水开采的油气田，应将采出水处理满足标准后回注；对于稠油注气开采，鼓励采出水处理后回注于注气锅炉</w:t>
            </w:r>
          </w:p>
        </w:tc>
        <w:tc>
          <w:tcPr>
            <w:tcW w:w="2048" w:type="pct"/>
            <w:vAlign w:val="center"/>
          </w:tcPr>
          <w:p>
            <w:pPr>
              <w:widowControl w:val="0"/>
              <w:spacing w:line="320" w:lineRule="exact"/>
              <w:jc w:val="both"/>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本项目钻井废水排入井场钢制泥浆槽，及时拉运至</w:t>
            </w:r>
            <w:r>
              <w:rPr>
                <w:rFonts w:ascii="Times New Roman" w:hAnsi="Times New Roman" w:cs="Times New Roman" w:eastAsiaTheme="minorEastAsia"/>
                <w:color w:val="auto"/>
                <w:w w:val="99"/>
                <w:kern w:val="2"/>
                <w:sz w:val="21"/>
                <w:highlight w:val="none"/>
              </w:rPr>
              <w:t>大庆油田昆仑集团有限公司环保分公司</w:t>
            </w:r>
            <w:r>
              <w:rPr>
                <w:rFonts w:hint="eastAsia" w:ascii="Times New Roman" w:hAnsi="Times New Roman" w:cs="Times New Roman" w:eastAsiaTheme="minorEastAsia"/>
                <w:color w:val="auto"/>
                <w:w w:val="99"/>
                <w:kern w:val="2"/>
                <w:sz w:val="21"/>
                <w:highlight w:val="none"/>
              </w:rPr>
              <w:t>处理，处理后的泥饼满足《废弃钻井液处理规范》（</w:t>
            </w:r>
            <w:r>
              <w:rPr>
                <w:rFonts w:ascii="Times New Roman" w:hAnsi="Times New Roman" w:cs="Times New Roman" w:eastAsiaTheme="minorEastAsia"/>
                <w:color w:val="auto"/>
                <w:w w:val="99"/>
                <w:kern w:val="2"/>
                <w:sz w:val="21"/>
                <w:highlight w:val="none"/>
              </w:rPr>
              <w:t>DB23/T693-2000）标准要求后外运至大庆钻探工程公司钻井二公司综合利用垫井场或铺路，压滤水由</w:t>
            </w:r>
            <w:r>
              <w:rPr>
                <w:rFonts w:hint="eastAsia" w:ascii="Times New Roman" w:hAnsi="Times New Roman" w:cs="Times New Roman" w:eastAsiaTheme="minorEastAsia"/>
                <w:color w:val="auto"/>
                <w:w w:val="99"/>
                <w:kern w:val="2"/>
                <w:sz w:val="21"/>
                <w:highlight w:val="none"/>
              </w:rPr>
              <w:t>大庆油田昆仑集团有限公司环保分公司</w:t>
            </w:r>
            <w:r>
              <w:rPr>
                <w:rFonts w:ascii="Times New Roman" w:hAnsi="Times New Roman" w:cs="Times New Roman" w:eastAsiaTheme="minorEastAsia"/>
                <w:color w:val="auto"/>
                <w:w w:val="99"/>
                <w:kern w:val="2"/>
                <w:sz w:val="21"/>
                <w:highlight w:val="none"/>
              </w:rPr>
              <w:t>送往</w:t>
            </w:r>
            <w:r>
              <w:rPr>
                <w:rFonts w:hint="eastAsia" w:ascii="Times New Roman" w:hAnsi="Times New Roman" w:cs="Times New Roman" w:eastAsiaTheme="minorEastAsia"/>
                <w:color w:val="auto"/>
                <w:w w:val="99"/>
                <w:kern w:val="2"/>
                <w:sz w:val="21"/>
                <w:highlight w:val="none"/>
              </w:rPr>
              <w:t>第十采油厂朝一联合站</w:t>
            </w:r>
            <w:r>
              <w:rPr>
                <w:rFonts w:ascii="Times New Roman" w:hAnsi="Times New Roman" w:cs="Times New Roman" w:eastAsiaTheme="minorEastAsia"/>
                <w:color w:val="auto"/>
                <w:w w:val="99"/>
                <w:kern w:val="2"/>
                <w:sz w:val="21"/>
                <w:highlight w:val="none"/>
              </w:rPr>
              <w:t>处理满足《大庆油田地面工程建设设计规定》（Q/SYDQ0639-2015）中“含油量≤8mg/L，悬浮固体≤3mg/L规定后回注油层</w:t>
            </w:r>
          </w:p>
        </w:tc>
        <w:tc>
          <w:tcPr>
            <w:tcW w:w="529"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符合</w:t>
            </w:r>
          </w:p>
        </w:tc>
      </w:tr>
    </w:tbl>
    <w:p>
      <w:pPr>
        <w:widowControl w:val="0"/>
        <w:tabs>
          <w:tab w:val="left" w:pos="5262"/>
        </w:tabs>
        <w:spacing w:line="44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根据上表可知，本项目符合《石油天然气开采业污染防治技术政策》中对清洁生产的各项指标要求，符合清洁生产要求，清洁生产水平达到国内先进水平。</w:t>
      </w:r>
    </w:p>
    <w:p>
      <w:pPr>
        <w:widowControl w:val="0"/>
        <w:tabs>
          <w:tab w:val="left" w:pos="5262"/>
        </w:tabs>
        <w:spacing w:line="500" w:lineRule="exact"/>
        <w:ind w:firstLine="474" w:firstLineChars="200"/>
        <w:rPr>
          <w:rFonts w:ascii="Times New Roman" w:hAnsi="Times New Roman" w:cs="Times New Roman" w:eastAsiaTheme="minorEastAsia"/>
          <w:color w:val="auto"/>
          <w:w w:val="99"/>
          <w:kern w:val="2"/>
          <w:highlight w:val="none"/>
        </w:rPr>
      </w:pPr>
    </w:p>
    <w:p>
      <w:pPr>
        <w:widowControl w:val="0"/>
        <w:tabs>
          <w:tab w:val="left" w:pos="5262"/>
        </w:tabs>
        <w:spacing w:line="500" w:lineRule="exact"/>
        <w:ind w:firstLine="474" w:firstLineChars="200"/>
        <w:rPr>
          <w:rFonts w:ascii="Times New Roman" w:hAnsi="Times New Roman" w:cs="Times New Roman" w:eastAsiaTheme="minorEastAsia"/>
          <w:color w:val="auto"/>
          <w:w w:val="99"/>
          <w:kern w:val="2"/>
          <w:highlight w:val="none"/>
        </w:rPr>
      </w:pPr>
    </w:p>
    <w:p>
      <w:pPr>
        <w:widowControl w:val="0"/>
        <w:tabs>
          <w:tab w:val="left" w:pos="5262"/>
        </w:tabs>
        <w:spacing w:line="500" w:lineRule="exact"/>
        <w:ind w:firstLine="474" w:firstLineChars="200"/>
        <w:rPr>
          <w:rFonts w:ascii="Times New Roman" w:hAnsi="Times New Roman" w:cs="Times New Roman" w:eastAsiaTheme="minorEastAsia"/>
          <w:color w:val="auto"/>
          <w:w w:val="99"/>
          <w:kern w:val="2"/>
          <w:highlight w:val="none"/>
        </w:rPr>
        <w:sectPr>
          <w:pgSz w:w="11907" w:h="16840"/>
          <w:pgMar w:top="1418" w:right="1418" w:bottom="1418" w:left="1418" w:header="851" w:footer="992" w:gutter="0"/>
          <w:pgBorders>
            <w:top w:val="none" w:sz="0" w:space="0"/>
            <w:left w:val="none" w:sz="0" w:space="0"/>
            <w:bottom w:val="none" w:sz="0" w:space="0"/>
            <w:right w:val="none" w:sz="0" w:space="0"/>
          </w:pgBorders>
          <w:cols w:space="720" w:num="1"/>
          <w:docGrid w:type="linesAndChars" w:linePitch="319" w:charSpace="0"/>
        </w:sectPr>
      </w:pPr>
    </w:p>
    <w:p>
      <w:pPr>
        <w:pStyle w:val="4"/>
        <w:widowControl w:val="0"/>
        <w:spacing w:line="500" w:lineRule="exact"/>
        <w:rPr>
          <w:rFonts w:ascii="Times New Roman" w:hAnsi="Times New Roman"/>
          <w:b/>
          <w:snapToGrid w:val="0"/>
          <w:color w:val="auto"/>
          <w:w w:val="99"/>
          <w:sz w:val="30"/>
          <w:szCs w:val="30"/>
          <w:highlight w:val="none"/>
        </w:rPr>
      </w:pPr>
      <w:bookmarkStart w:id="608" w:name="_Toc80105186"/>
      <w:bookmarkStart w:id="609" w:name="_Toc502736485"/>
      <w:r>
        <w:rPr>
          <w:rFonts w:ascii="Times New Roman" w:hAnsi="Times New Roman"/>
          <w:b/>
          <w:snapToGrid w:val="0"/>
          <w:color w:val="auto"/>
          <w:w w:val="99"/>
          <w:sz w:val="30"/>
          <w:szCs w:val="30"/>
          <w:highlight w:val="none"/>
        </w:rPr>
        <w:t>4环境现状调查与评价</w:t>
      </w:r>
      <w:bookmarkEnd w:id="608"/>
      <w:bookmarkEnd w:id="609"/>
    </w:p>
    <w:p>
      <w:pPr>
        <w:pStyle w:val="5"/>
        <w:keepNext w:val="0"/>
        <w:keepLines w:val="0"/>
        <w:widowControl w:val="0"/>
        <w:rPr>
          <w:rFonts w:ascii="Times New Roman" w:hAnsi="Times New Roman"/>
          <w:b/>
          <w:snapToGrid w:val="0"/>
          <w:color w:val="auto"/>
          <w:w w:val="99"/>
          <w:highlight w:val="none"/>
        </w:rPr>
      </w:pPr>
      <w:bookmarkStart w:id="610" w:name="_Toc475378598"/>
      <w:bookmarkStart w:id="611" w:name="_Toc502736486"/>
      <w:bookmarkStart w:id="612" w:name="_Toc80105187"/>
      <w:bookmarkStart w:id="613" w:name="_Toc472585619"/>
      <w:bookmarkStart w:id="614" w:name="_Toc127950100"/>
      <w:bookmarkStart w:id="615" w:name="_Toc472590896"/>
      <w:bookmarkStart w:id="616" w:name="_Toc296952023"/>
      <w:bookmarkStart w:id="617" w:name="_Toc449393546"/>
      <w:bookmarkStart w:id="618" w:name="_Toc255391947"/>
      <w:bookmarkStart w:id="619" w:name="_Toc101092159"/>
      <w:r>
        <w:rPr>
          <w:rFonts w:ascii="Times New Roman" w:hAnsi="Times New Roman"/>
          <w:b/>
          <w:snapToGrid w:val="0"/>
          <w:color w:val="auto"/>
          <w:w w:val="99"/>
          <w:highlight w:val="none"/>
        </w:rPr>
        <w:t>4.1自然环境</w:t>
      </w:r>
      <w:bookmarkEnd w:id="610"/>
      <w:bookmarkEnd w:id="611"/>
      <w:r>
        <w:rPr>
          <w:rFonts w:ascii="Times New Roman" w:hAnsi="Times New Roman"/>
          <w:b/>
          <w:snapToGrid w:val="0"/>
          <w:color w:val="auto"/>
          <w:w w:val="99"/>
          <w:highlight w:val="none"/>
        </w:rPr>
        <w:t>状况</w:t>
      </w:r>
      <w:bookmarkEnd w:id="612"/>
    </w:p>
    <w:bookmarkEnd w:id="613"/>
    <w:bookmarkEnd w:id="614"/>
    <w:bookmarkEnd w:id="615"/>
    <w:bookmarkEnd w:id="616"/>
    <w:bookmarkEnd w:id="617"/>
    <w:bookmarkEnd w:id="618"/>
    <w:bookmarkEnd w:id="619"/>
    <w:p>
      <w:pPr>
        <w:pStyle w:val="7"/>
        <w:keepNext w:val="0"/>
        <w:keepLines w:val="0"/>
        <w:widowControl w:val="0"/>
        <w:rPr>
          <w:b/>
          <w:color w:val="auto"/>
          <w:w w:val="99"/>
          <w:kern w:val="2"/>
          <w:sz w:val="24"/>
          <w:szCs w:val="24"/>
          <w:highlight w:val="none"/>
        </w:rPr>
      </w:pPr>
      <w:bookmarkStart w:id="620" w:name="_Toc74812120"/>
      <w:bookmarkStart w:id="621" w:name="_Toc244330526"/>
      <w:bookmarkStart w:id="622" w:name="_Toc244330360"/>
      <w:bookmarkStart w:id="623" w:name="_Toc402352943"/>
      <w:bookmarkStart w:id="624" w:name="_Toc74812359"/>
      <w:bookmarkStart w:id="625" w:name="_Toc77667332"/>
      <w:bookmarkStart w:id="626" w:name="_Toc71371982"/>
      <w:bookmarkStart w:id="627" w:name="_Toc61597257"/>
      <w:bookmarkStart w:id="628" w:name="_Toc57976695"/>
      <w:bookmarkStart w:id="629" w:name="_Toc69690847"/>
      <w:bookmarkStart w:id="630" w:name="_Toc57203273"/>
      <w:bookmarkStart w:id="631" w:name="_Toc244329286"/>
      <w:bookmarkStart w:id="632" w:name="_Toc67523629"/>
      <w:bookmarkStart w:id="633" w:name="_Toc80105188"/>
      <w:bookmarkStart w:id="634" w:name="_Toc17898192"/>
      <w:bookmarkStart w:id="635" w:name="_Toc422224741"/>
      <w:bookmarkStart w:id="636" w:name="_Toc57707943"/>
      <w:r>
        <w:rPr>
          <w:b/>
          <w:color w:val="auto"/>
          <w:w w:val="99"/>
          <w:kern w:val="2"/>
          <w:sz w:val="24"/>
          <w:szCs w:val="24"/>
          <w:highlight w:val="none"/>
        </w:rPr>
        <w:t>4.1.1地理位置</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pPr>
        <w:widowControl w:val="0"/>
        <w:spacing w:line="500" w:lineRule="exact"/>
        <w:ind w:firstLine="474" w:firstLineChars="200"/>
        <w:rPr>
          <w:rFonts w:ascii="Times New Roman" w:hAnsi="Times New Roman" w:cs="Times New Roman" w:eastAsiaTheme="minorEastAsia"/>
          <w:color w:val="auto"/>
          <w:w w:val="99"/>
          <w:highlight w:val="none"/>
        </w:rPr>
      </w:pPr>
      <w:bookmarkStart w:id="637" w:name="_Toc502736490"/>
      <w:bookmarkStart w:id="638" w:name="_Toc244330528"/>
      <w:bookmarkStart w:id="639" w:name="_Toc244330362"/>
      <w:bookmarkStart w:id="640" w:name="_Toc402352946"/>
      <w:bookmarkStart w:id="641" w:name="_Toc244329288"/>
      <w:bookmarkStart w:id="642" w:name="_Toc422224744"/>
      <w:r>
        <w:rPr>
          <w:rFonts w:ascii="Times New Roman" w:hAnsi="Times New Roman" w:cs="Times New Roman" w:eastAsiaTheme="minorEastAsia"/>
          <w:color w:val="auto"/>
          <w:w w:val="99"/>
          <w:highlight w:val="none"/>
        </w:rPr>
        <w:t>本项目位于</w:t>
      </w:r>
      <w:r>
        <w:rPr>
          <w:rFonts w:hint="eastAsia" w:ascii="Times New Roman" w:hAnsi="Times New Roman" w:cs="Times New Roman" w:eastAsiaTheme="minorEastAsia"/>
          <w:color w:val="auto"/>
          <w:w w:val="99"/>
          <w:highlight w:val="none"/>
        </w:rPr>
        <w:t>大庆市</w:t>
      </w:r>
      <w:r>
        <w:rPr>
          <w:rFonts w:hint="eastAsia" w:ascii="Times New Roman" w:hAnsi="Times New Roman" w:cs="Times New Roman" w:eastAsiaTheme="minorEastAsia"/>
          <w:color w:val="auto"/>
          <w:w w:val="99"/>
          <w:highlight w:val="none"/>
          <w:lang w:eastAsia="zh-CN"/>
        </w:rPr>
        <w:t>肇源县</w:t>
      </w:r>
      <w:r>
        <w:rPr>
          <w:rFonts w:ascii="Times New Roman" w:hAnsi="Times New Roman" w:cs="Times New Roman" w:eastAsiaTheme="minorEastAsia"/>
          <w:color w:val="auto"/>
          <w:w w:val="99"/>
          <w:highlight w:val="none"/>
        </w:rPr>
        <w:t>，</w:t>
      </w:r>
      <w:r>
        <w:rPr>
          <w:rFonts w:hint="eastAsia" w:ascii="Times New Roman" w:hAnsi="Times New Roman" w:cs="Times New Roman" w:eastAsiaTheme="minorEastAsia"/>
          <w:color w:val="auto"/>
          <w:w w:val="99"/>
          <w:highlight w:val="none"/>
        </w:rPr>
        <w:t>肇源油田构造上位于松辽盆地中央坳陷区朝阳沟阶地的肇源鼻状构造上，北邻</w:t>
      </w:r>
      <w:r>
        <w:rPr>
          <w:rFonts w:ascii="Times New Roman" w:hAnsi="Times New Roman" w:cs="Times New Roman" w:eastAsiaTheme="minorEastAsia"/>
          <w:color w:val="auto"/>
          <w:w w:val="99"/>
          <w:highlight w:val="none"/>
        </w:rPr>
        <w:t>永乐向斜、东邻裕民鼻状构造，西与头台鼻状构造相望。地理坐标为</w:t>
      </w:r>
      <w:r>
        <w:rPr>
          <w:rFonts w:hint="eastAsia" w:ascii="Times New Roman" w:hAnsi="Times New Roman" w:cs="Times New Roman" w:eastAsiaTheme="minorEastAsia"/>
          <w:color w:val="auto"/>
          <w:w w:val="99"/>
          <w:highlight w:val="none"/>
          <w:lang w:eastAsia="zh-CN"/>
        </w:rPr>
        <w:t>经度125°0′9.25″~ 124°59′46.39″，纬度45°33′21.53″~</w:t>
      </w:r>
      <w:r>
        <w:rPr>
          <w:rFonts w:hint="eastAsia" w:ascii="Times New Roman" w:hAnsi="Times New Roman" w:cs="Times New Roman" w:eastAsiaTheme="minorEastAsia"/>
          <w:color w:val="auto"/>
          <w:w w:val="99"/>
          <w:highlight w:val="none"/>
        </w:rPr>
        <w:t>45°34′50.00″</w:t>
      </w:r>
      <w:r>
        <w:rPr>
          <w:rFonts w:ascii="Times New Roman" w:hAnsi="Times New Roman" w:cs="Times New Roman" w:eastAsiaTheme="minorEastAsia"/>
          <w:color w:val="auto"/>
          <w:w w:val="99"/>
          <w:highlight w:val="none"/>
        </w:rPr>
        <w:t>。具体地理位置见附图1。</w:t>
      </w:r>
    </w:p>
    <w:p>
      <w:pPr>
        <w:pStyle w:val="7"/>
        <w:keepNext w:val="0"/>
        <w:keepLines w:val="0"/>
        <w:widowControl w:val="0"/>
        <w:rPr>
          <w:b/>
          <w:color w:val="auto"/>
          <w:w w:val="99"/>
          <w:kern w:val="2"/>
          <w:sz w:val="24"/>
          <w:szCs w:val="24"/>
          <w:highlight w:val="none"/>
        </w:rPr>
      </w:pPr>
      <w:bookmarkStart w:id="643" w:name="_Toc74812360"/>
      <w:bookmarkStart w:id="644" w:name="_Toc69690848"/>
      <w:bookmarkStart w:id="645" w:name="_Toc74812121"/>
      <w:bookmarkStart w:id="646" w:name="_Toc77667333"/>
      <w:bookmarkStart w:id="647" w:name="_Toc61597258"/>
      <w:bookmarkStart w:id="648" w:name="_Toc57707944"/>
      <w:bookmarkStart w:id="649" w:name="_Toc71371983"/>
      <w:bookmarkStart w:id="650" w:name="_Toc57203274"/>
      <w:bookmarkStart w:id="651" w:name="_Toc67523630"/>
      <w:bookmarkStart w:id="652" w:name="_Toc80105189"/>
      <w:bookmarkStart w:id="653" w:name="_Toc17898193"/>
      <w:bookmarkStart w:id="654" w:name="_Toc57976696"/>
      <w:r>
        <w:rPr>
          <w:b/>
          <w:color w:val="auto"/>
          <w:w w:val="99"/>
          <w:kern w:val="2"/>
          <w:sz w:val="24"/>
          <w:szCs w:val="24"/>
          <w:highlight w:val="none"/>
        </w:rPr>
        <w:t>4.1.2地形地貌</w:t>
      </w:r>
      <w:bookmarkEnd w:id="643"/>
      <w:bookmarkEnd w:id="644"/>
      <w:bookmarkEnd w:id="645"/>
      <w:bookmarkEnd w:id="646"/>
      <w:bookmarkEnd w:id="647"/>
      <w:bookmarkEnd w:id="648"/>
      <w:bookmarkEnd w:id="649"/>
      <w:bookmarkEnd w:id="650"/>
      <w:bookmarkEnd w:id="651"/>
      <w:bookmarkEnd w:id="652"/>
      <w:bookmarkEnd w:id="653"/>
      <w:bookmarkEnd w:id="654"/>
    </w:p>
    <w:p>
      <w:pPr>
        <w:widowControl w:val="0"/>
        <w:spacing w:line="500" w:lineRule="exact"/>
        <w:ind w:firstLine="474" w:firstLineChars="200"/>
        <w:rPr>
          <w:rFonts w:ascii="Times New Roman" w:hAnsi="Times New Roman" w:cs="Times New Roman" w:eastAsiaTheme="minorEastAsia"/>
          <w:bCs/>
          <w:color w:val="auto"/>
          <w:w w:val="99"/>
          <w:highlight w:val="none"/>
        </w:rPr>
      </w:pPr>
      <w:r>
        <w:rPr>
          <w:rFonts w:hint="eastAsia" w:ascii="Times New Roman" w:hAnsi="Times New Roman" w:cs="Times New Roman" w:eastAsiaTheme="minorEastAsia"/>
          <w:bCs/>
          <w:color w:val="auto"/>
          <w:w w:val="99"/>
          <w:highlight w:val="none"/>
          <w:lang w:eastAsia="zh-CN"/>
        </w:rPr>
        <w:t>肇源县</w:t>
      </w:r>
      <w:r>
        <w:rPr>
          <w:rFonts w:ascii="Times New Roman" w:hAnsi="Times New Roman" w:cs="Times New Roman" w:eastAsiaTheme="minorEastAsia"/>
          <w:bCs/>
          <w:color w:val="auto"/>
          <w:w w:val="99"/>
          <w:highlight w:val="none"/>
        </w:rPr>
        <w:t>地处松嫩平原西部，草原广阔，无山无岭，地势平坦，西南偏低，东北偏高，海拔高度在</w:t>
      </w:r>
      <w:r>
        <w:rPr>
          <w:rFonts w:ascii="Times New Roman" w:hAnsi="Times New Roman" w:cs="Times New Roman" w:eastAsiaTheme="minorEastAsia"/>
          <w:color w:val="auto"/>
          <w:w w:val="99"/>
          <w:highlight w:val="none"/>
        </w:rPr>
        <w:t>135.0-143.0m</w:t>
      </w:r>
      <w:r>
        <w:rPr>
          <w:rFonts w:ascii="Times New Roman" w:hAnsi="Times New Roman" w:cs="Times New Roman" w:eastAsiaTheme="minorEastAsia"/>
          <w:bCs/>
          <w:color w:val="auto"/>
          <w:w w:val="99"/>
          <w:highlight w:val="none"/>
        </w:rPr>
        <w:t>之间，地貌表现为波状起伏的平原，高处为平缓漫岗，低处是沼泽以及大大小小的碱泡子。</w:t>
      </w:r>
    </w:p>
    <w:p>
      <w:pPr>
        <w:pStyle w:val="7"/>
        <w:keepNext w:val="0"/>
        <w:keepLines w:val="0"/>
        <w:widowControl w:val="0"/>
        <w:rPr>
          <w:b/>
          <w:color w:val="auto"/>
          <w:w w:val="99"/>
          <w:kern w:val="2"/>
          <w:sz w:val="24"/>
          <w:szCs w:val="24"/>
          <w:highlight w:val="none"/>
        </w:rPr>
      </w:pPr>
      <w:bookmarkStart w:id="655" w:name="_Toc74812122"/>
      <w:bookmarkStart w:id="656" w:name="_Toc74812361"/>
      <w:bookmarkStart w:id="657" w:name="_Toc77667334"/>
      <w:bookmarkStart w:id="658" w:name="_Toc80105190"/>
      <w:bookmarkStart w:id="659" w:name="_Toc57203275"/>
      <w:bookmarkStart w:id="660" w:name="_Toc57976697"/>
      <w:bookmarkStart w:id="661" w:name="_Toc71371984"/>
      <w:bookmarkStart w:id="662" w:name="_Toc69690849"/>
      <w:bookmarkStart w:id="663" w:name="_Toc61597259"/>
      <w:bookmarkStart w:id="664" w:name="_Toc67523631"/>
      <w:bookmarkStart w:id="665" w:name="_Toc57707945"/>
      <w:r>
        <w:rPr>
          <w:b/>
          <w:color w:val="auto"/>
          <w:w w:val="99"/>
          <w:kern w:val="2"/>
          <w:sz w:val="24"/>
          <w:szCs w:val="24"/>
          <w:highlight w:val="none"/>
        </w:rPr>
        <w:t>4.1.3 气象特征</w:t>
      </w:r>
      <w:bookmarkEnd w:id="655"/>
      <w:bookmarkEnd w:id="656"/>
      <w:bookmarkEnd w:id="657"/>
      <w:bookmarkEnd w:id="658"/>
      <w:bookmarkEnd w:id="659"/>
      <w:bookmarkEnd w:id="660"/>
      <w:bookmarkEnd w:id="661"/>
      <w:bookmarkEnd w:id="662"/>
      <w:bookmarkEnd w:id="663"/>
      <w:bookmarkEnd w:id="664"/>
      <w:bookmarkEnd w:id="665"/>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该地区属北温带大陆性季风气候，四季分明，受蒙古内陆冷空气和海洋暖流季风影响较大，冬季漫长而寒冷干燥，夏季短暂而温湿多雨，春秋季风交替，气温变化大，冰封期长，无霜期短，冻土深达2-2.2m。</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气温：年平均气温3.3</w:t>
      </w:r>
      <w:r>
        <w:rPr>
          <w:rFonts w:hint="eastAsia"/>
          <w:color w:val="auto"/>
          <w:w w:val="99"/>
          <w:highlight w:val="none"/>
        </w:rPr>
        <w:t>℃</w:t>
      </w:r>
      <w:r>
        <w:rPr>
          <w:rFonts w:ascii="Times New Roman" w:hAnsi="Times New Roman" w:cs="Times New Roman" w:eastAsiaTheme="minorEastAsia"/>
          <w:color w:val="auto"/>
          <w:w w:val="99"/>
          <w:highlight w:val="none"/>
        </w:rPr>
        <w:t>，年极端最高气温38.9</w:t>
      </w:r>
      <w:r>
        <w:rPr>
          <w:rFonts w:hint="eastAsia"/>
          <w:color w:val="auto"/>
          <w:w w:val="99"/>
          <w:highlight w:val="none"/>
        </w:rPr>
        <w:t>℃</w:t>
      </w:r>
      <w:r>
        <w:rPr>
          <w:rFonts w:ascii="Times New Roman" w:hAnsi="Times New Roman" w:cs="Times New Roman" w:eastAsiaTheme="minorEastAsia"/>
          <w:color w:val="auto"/>
          <w:w w:val="99"/>
          <w:highlight w:val="none"/>
        </w:rPr>
        <w:t>，年极端最低气温-36.2</w:t>
      </w:r>
      <w:r>
        <w:rPr>
          <w:rFonts w:hint="eastAsia"/>
          <w:color w:val="auto"/>
          <w:w w:val="99"/>
          <w:highlight w:val="none"/>
        </w:rPr>
        <w:t>℃</w:t>
      </w:r>
      <w:r>
        <w:rPr>
          <w:rFonts w:ascii="Times New Roman" w:hAnsi="Times New Roman" w:cs="Times New Roman" w:eastAsiaTheme="minorEastAsia"/>
          <w:color w:val="auto"/>
          <w:w w:val="99"/>
          <w:highlight w:val="none"/>
        </w:rPr>
        <w:t>。</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风速：平均风速3.7 m/s，年最大风速为22.7m/s。</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降水量：年平均442.0mm，年最大降水量651.2 mm。</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降雪量：平均积雪158d，最大积雪深度220.0mm。</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蒸发量：年平均蒸发量1531.4mm，年最大蒸发量1711.0mm，年最小蒸发量1378.4mm。</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湿度：年平均相对湿度为63%。</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年日照时数：2595.8小时。</w:t>
      </w:r>
    </w:p>
    <w:p>
      <w:pPr>
        <w:pStyle w:val="7"/>
        <w:keepNext w:val="0"/>
        <w:keepLines w:val="0"/>
        <w:widowControl w:val="0"/>
        <w:rPr>
          <w:b/>
          <w:color w:val="auto"/>
          <w:w w:val="99"/>
          <w:kern w:val="2"/>
          <w:sz w:val="24"/>
          <w:szCs w:val="24"/>
          <w:highlight w:val="none"/>
        </w:rPr>
      </w:pPr>
      <w:bookmarkStart w:id="666" w:name="_Toc80105191"/>
      <w:bookmarkStart w:id="667" w:name="_Toc74812123"/>
      <w:bookmarkStart w:id="668" w:name="_Toc77667335"/>
      <w:bookmarkStart w:id="669" w:name="_Toc71371985"/>
      <w:bookmarkStart w:id="670" w:name="_Toc74812362"/>
      <w:r>
        <w:rPr>
          <w:b/>
          <w:color w:val="auto"/>
          <w:w w:val="99"/>
          <w:kern w:val="2"/>
          <w:sz w:val="24"/>
          <w:szCs w:val="24"/>
          <w:highlight w:val="none"/>
        </w:rPr>
        <w:t>4.1.4评价区水文地质条件</w:t>
      </w:r>
      <w:bookmarkEnd w:id="666"/>
      <w:bookmarkEnd w:id="667"/>
      <w:bookmarkEnd w:id="668"/>
      <w:bookmarkEnd w:id="669"/>
      <w:bookmarkEnd w:id="670"/>
    </w:p>
    <w:p>
      <w:pPr>
        <w:widowControl w:val="0"/>
        <w:spacing w:line="500" w:lineRule="exact"/>
        <w:rPr>
          <w:rFonts w:ascii="Times New Roman" w:hAnsi="Times New Roman" w:eastAsia="黑体" w:cs="Times New Roman"/>
          <w:b/>
          <w:color w:val="auto"/>
          <w:w w:val="99"/>
          <w:highlight w:val="none"/>
        </w:rPr>
      </w:pPr>
      <w:r>
        <w:rPr>
          <w:rFonts w:ascii="Times New Roman" w:hAnsi="Times New Roman" w:eastAsia="黑体" w:cs="Times New Roman"/>
          <w:b/>
          <w:color w:val="auto"/>
          <w:w w:val="99"/>
          <w:highlight w:val="none"/>
        </w:rPr>
        <w:t>4.1.4.1地形地貌</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评价区处于松花江及嫩江冲积平原北部，地形呈北高南低的广阔波状平原。评价区位于大庆市</w:t>
      </w:r>
      <w:r>
        <w:rPr>
          <w:rFonts w:hint="eastAsia" w:ascii="Times New Roman" w:hAnsi="Times New Roman" w:cs="Times New Roman" w:eastAsiaTheme="minorEastAsia"/>
          <w:color w:val="auto"/>
          <w:w w:val="99"/>
          <w:highlight w:val="none"/>
          <w:lang w:eastAsia="zh-CN"/>
        </w:rPr>
        <w:t>肇源县</w:t>
      </w:r>
      <w:r>
        <w:rPr>
          <w:rFonts w:ascii="Times New Roman" w:hAnsi="Times New Roman" w:cs="Times New Roman" w:eastAsiaTheme="minorEastAsia"/>
          <w:color w:val="auto"/>
          <w:w w:val="99"/>
          <w:highlight w:val="none"/>
        </w:rPr>
        <w:t>域内，地势平坦低洼，地面绝对标高在135.0-143.0m之间，地表径流条件较差。地貌成因类型及形态特征为冲湖积微波状起伏低平原，其上湖泊、沼泽湿地及盐碱低地较为发育。</w:t>
      </w:r>
    </w:p>
    <w:p>
      <w:pPr>
        <w:widowControl w:val="0"/>
        <w:spacing w:line="500" w:lineRule="exact"/>
        <w:rPr>
          <w:rFonts w:ascii="Times New Roman" w:hAnsi="Times New Roman" w:eastAsia="黑体" w:cs="Times New Roman"/>
          <w:b/>
          <w:color w:val="auto"/>
          <w:w w:val="99"/>
          <w:highlight w:val="none"/>
        </w:rPr>
      </w:pPr>
      <w:r>
        <w:rPr>
          <w:rFonts w:ascii="Times New Roman" w:hAnsi="Times New Roman" w:eastAsia="黑体" w:cs="Times New Roman"/>
          <w:b/>
          <w:color w:val="auto"/>
          <w:w w:val="99"/>
          <w:highlight w:val="none"/>
        </w:rPr>
        <w:t>4.1.4.2地质概况</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ascii="Times New Roman" w:hAnsi="Times New Roman" w:cs="Times New Roman" w:eastAsiaTheme="minorEastAsia"/>
          <w:color w:val="auto"/>
          <w:w w:val="99"/>
          <w:highlight w:val="none"/>
        </w:rPr>
        <w:t>区域地质构造属于徐家围子向斜构造的一部分，位于向斜构造的南部，由于白垩系晚期以来，白垩系明水组没有接受沉积操守剥蚀，受地质运动影响，第三系地层剥蚀严重，第四系以来长期处于上升阶段，第四系地层沉积较薄。</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ascii="Times New Roman" w:hAnsi="Times New Roman" w:cs="Times New Roman" w:eastAsiaTheme="minorEastAsia"/>
          <w:color w:val="auto"/>
          <w:w w:val="99"/>
          <w:highlight w:val="none"/>
        </w:rPr>
        <w:t>根据地质钻探资料分析，区域浅部地层从上到下依次为第四系、第四系，白垩系地层。</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ascii="Times New Roman" w:hAnsi="Times New Roman" w:cs="Times New Roman" w:eastAsiaTheme="minorEastAsia"/>
          <w:color w:val="auto"/>
          <w:w w:val="99"/>
          <w:highlight w:val="none"/>
        </w:rPr>
        <w:t>（1）白垩系明水组（K2m）</w:t>
      </w:r>
      <w:r>
        <w:rPr>
          <w:rFonts w:ascii="Times New Roman" w:hAnsi="Times New Roman" w:cs="Times New Roman" w:eastAsiaTheme="minorEastAsia"/>
          <w:color w:val="auto"/>
          <w:w w:val="99"/>
          <w:highlight w:val="none"/>
        </w:rPr>
        <w:tab/>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ascii="Times New Roman" w:hAnsi="Times New Roman" w:cs="Times New Roman" w:eastAsiaTheme="minorEastAsia"/>
          <w:color w:val="auto"/>
          <w:w w:val="99"/>
          <w:highlight w:val="none"/>
        </w:rPr>
        <w:t>1）明水组一段（K2m1）</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ascii="Times New Roman" w:hAnsi="Times New Roman" w:cs="Times New Roman" w:eastAsiaTheme="minorEastAsia"/>
          <w:color w:val="auto"/>
          <w:w w:val="99"/>
          <w:highlight w:val="none"/>
        </w:rPr>
        <w:t>明水组一段由灰绿色砂岩、泥质砂岩夹厚度为15.0～40.0m的两层灰黑色、灰色泥岩组成的两个明显正旋回沉积物组成。明水组一段在区内的厚度变化较大，局部地区相差较大，一般为120.0～163.5m，局部地区厚度大于200.0m。</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ascii="Times New Roman" w:hAnsi="Times New Roman" w:cs="Times New Roman" w:eastAsiaTheme="minorEastAsia"/>
          <w:color w:val="auto"/>
          <w:w w:val="99"/>
          <w:highlight w:val="none"/>
        </w:rPr>
        <w:t>2）明水组二段（K2m2）</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ascii="Times New Roman" w:hAnsi="Times New Roman" w:cs="Times New Roman" w:eastAsiaTheme="minorEastAsia"/>
          <w:color w:val="auto"/>
          <w:w w:val="99"/>
          <w:highlight w:val="none"/>
        </w:rPr>
        <w:t>明水组二段为棕红色、砖红、灰及灰绿色泥岩，泥质粉砂岩与灰、灰绿、灰白色细砂岩、中粗砂岩及含砾中粗砂岩组成的湖相沉积或以湖相为主的湖相冲积层。顶部砖红色泥岩分布较为稳定。明水组二段的主要特点是多种颜色混杂，以棕红色为主。明水组二段区域分布特征与明水组一段基本相同，只是分布范围略小。南向北逐渐增厚，一般120.0～220.0m。明水组二段与下伏明水组一段呈整合接触。</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w:t>
      </w:r>
      <w:r>
        <w:rPr>
          <w:rFonts w:hint="eastAsia" w:ascii="Times New Roman" w:hAnsi="Times New Roman" w:cs="Times New Roman" w:eastAsiaTheme="minorEastAsia"/>
          <w:color w:val="auto"/>
          <w:w w:val="99"/>
          <w:highlight w:val="none"/>
        </w:rPr>
        <w:t>第三系大安组</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ascii="Times New Roman" w:hAnsi="Times New Roman" w:cs="Times New Roman" w:eastAsiaTheme="minorEastAsia"/>
          <w:color w:val="auto"/>
          <w:w w:val="99"/>
          <w:highlight w:val="none"/>
        </w:rPr>
        <w:t>主要分布在大庆市南部肇州县至吉林省大安县一带，地层厚度为0</w:t>
      </w:r>
      <w:r>
        <w:rPr>
          <w:rFonts w:hint="eastAsia" w:ascii="Times New Roman" w:hAnsi="Times New Roman" w:cs="Times New Roman" w:eastAsiaTheme="minorEastAsia"/>
          <w:color w:val="auto"/>
          <w:w w:val="99"/>
          <w:highlight w:val="none"/>
        </w:rPr>
        <w:sym w:font="Symbol" w:char="F07E"/>
      </w:r>
      <w:r>
        <w:rPr>
          <w:rFonts w:hint="eastAsia" w:ascii="Times New Roman" w:hAnsi="Times New Roman" w:cs="Times New Roman" w:eastAsiaTheme="minorEastAsia"/>
          <w:color w:val="auto"/>
          <w:w w:val="99"/>
          <w:highlight w:val="none"/>
        </w:rPr>
        <w:t>48.5m。上部为黄、黄褐色砂质泥岩、泥岩，夹有黑色泥岩薄层。下部为灰褐色泥质粉砂岩，砂质泥岩、泥岩、泥质粉砂岩，质软，胶结疏松，成岩性较差。与下伏地层成不整合接触。</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ascii="Times New Roman" w:hAnsi="Times New Roman" w:cs="Times New Roman" w:eastAsiaTheme="minorEastAsia"/>
          <w:color w:val="auto"/>
          <w:w w:val="99"/>
          <w:highlight w:val="none"/>
        </w:rPr>
        <w:t>（3）第四系（Q）</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ascii="Times New Roman" w:hAnsi="Times New Roman" w:cs="Times New Roman" w:eastAsiaTheme="minorEastAsia"/>
          <w:color w:val="auto"/>
          <w:w w:val="99"/>
          <w:highlight w:val="none"/>
        </w:rPr>
        <w:t>1）全新统冲积层（Q4）</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ascii="Times New Roman" w:hAnsi="Times New Roman" w:cs="Times New Roman" w:eastAsiaTheme="minorEastAsia"/>
          <w:color w:val="auto"/>
          <w:w w:val="99"/>
          <w:highlight w:val="none"/>
        </w:rPr>
        <w:t>主要分布在河漫滩冲积层、低平原内残留湖泡的沉积层及近代风砂层等。厚度不等，只有数米，分布不稳定。</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ascii="Times New Roman" w:hAnsi="Times New Roman" w:cs="Times New Roman" w:eastAsiaTheme="minorEastAsia"/>
          <w:color w:val="auto"/>
          <w:w w:val="99"/>
          <w:highlight w:val="none"/>
        </w:rPr>
        <w:t>2）上更新统哈尔滨组（Q3）</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ascii="Times New Roman" w:hAnsi="Times New Roman" w:cs="Times New Roman" w:eastAsiaTheme="minorEastAsia"/>
          <w:color w:val="auto"/>
          <w:w w:val="99"/>
          <w:highlight w:val="none"/>
        </w:rPr>
        <w:t>广泛分布于区域，岩性为粉质粘土和粉细砂。粉质粘土：黄褐色</w:t>
      </w:r>
      <w:r>
        <w:rPr>
          <w:rFonts w:ascii="Times New Roman" w:hAnsi="Times New Roman" w:cs="Times New Roman" w:eastAsiaTheme="minorEastAsia"/>
          <w:color w:val="auto"/>
          <w:w w:val="99"/>
          <w:highlight w:val="none"/>
        </w:rPr>
        <w:t>-</w:t>
      </w:r>
      <w:r>
        <w:rPr>
          <w:rFonts w:hint="eastAsia" w:ascii="Times New Roman" w:hAnsi="Times New Roman" w:cs="Times New Roman" w:eastAsiaTheme="minorEastAsia"/>
          <w:color w:val="auto"/>
          <w:w w:val="99"/>
          <w:highlight w:val="none"/>
        </w:rPr>
        <w:t>褐黄色，软塑～可塑，土质不均匀，局部夹有粉土，手捻有砂粒感，含氧化铁斑点，中压缩性，干强度中等，韧性中等，稍有光滑，无摇振反应，地层厚度为5～10.5m。局部夹粉土、粉细砂层，微显层理，裂隙较发育，具有大的孔隙。分布于评价区表层。</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ascii="Times New Roman" w:hAnsi="Times New Roman" w:cs="Times New Roman" w:eastAsiaTheme="minorEastAsia"/>
          <w:color w:val="auto"/>
          <w:w w:val="99"/>
          <w:highlight w:val="none"/>
        </w:rPr>
        <w:t>3）中更新统荒山组（Q2）</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ascii="Times New Roman" w:hAnsi="Times New Roman" w:cs="Times New Roman" w:eastAsiaTheme="minorEastAsia"/>
          <w:color w:val="auto"/>
          <w:w w:val="99"/>
          <w:highlight w:val="none"/>
        </w:rPr>
        <w:t>广泛分布区域，岩性为河湖相沉积的灰黑色粘土，地层厚度较为均匀，微显层理，局部夹有粉细砂层，致密坚硬，局部由铁质浸染，地层厚度为25.0～30.5m。土质致密，渗透性较差，渗透系数一般在</w:t>
      </w:r>
      <w:r>
        <w:rPr>
          <w:rFonts w:ascii="Times New Roman" w:hAnsi="Times New Roman" w:cs="Times New Roman" w:eastAsiaTheme="minorEastAsia"/>
          <w:color w:val="auto"/>
          <w:w w:val="99"/>
          <w:highlight w:val="none"/>
        </w:rPr>
        <w:t>1.0</w:t>
      </w:r>
      <w:r>
        <w:rPr>
          <w:rFonts w:hint="eastAsia" w:ascii="Times New Roman" w:hAnsi="Times New Roman" w:cs="Times New Roman" w:eastAsiaTheme="minorEastAsia"/>
          <w:color w:val="auto"/>
          <w:w w:val="99"/>
          <w:highlight w:val="none"/>
        </w:rPr>
        <w:t>×</w:t>
      </w:r>
      <w:r>
        <w:rPr>
          <w:rFonts w:ascii="Times New Roman" w:hAnsi="Times New Roman" w:cs="Times New Roman" w:eastAsiaTheme="minorEastAsia"/>
          <w:color w:val="auto"/>
          <w:w w:val="99"/>
          <w:highlight w:val="none"/>
        </w:rPr>
        <w:t>10-6</w:t>
      </w:r>
      <w:r>
        <w:rPr>
          <w:rFonts w:hint="eastAsia" w:ascii="Times New Roman" w:hAnsi="Times New Roman" w:cs="Times New Roman" w:eastAsiaTheme="minorEastAsia"/>
          <w:color w:val="auto"/>
          <w:w w:val="99"/>
          <w:highlight w:val="none"/>
        </w:rPr>
        <w:t>～</w:t>
      </w:r>
      <w:r>
        <w:rPr>
          <w:rFonts w:ascii="Times New Roman" w:hAnsi="Times New Roman" w:cs="Times New Roman" w:eastAsiaTheme="minorEastAsia"/>
          <w:color w:val="auto"/>
          <w:w w:val="99"/>
          <w:highlight w:val="none"/>
        </w:rPr>
        <w:t>1.0</w:t>
      </w:r>
      <w:r>
        <w:rPr>
          <w:rFonts w:hint="eastAsia" w:ascii="Times New Roman" w:hAnsi="Times New Roman" w:cs="Times New Roman" w:eastAsiaTheme="minorEastAsia"/>
          <w:color w:val="auto"/>
          <w:w w:val="99"/>
          <w:highlight w:val="none"/>
        </w:rPr>
        <w:t>×</w:t>
      </w:r>
      <w:r>
        <w:rPr>
          <w:rFonts w:ascii="Times New Roman" w:hAnsi="Times New Roman" w:cs="Times New Roman" w:eastAsiaTheme="minorEastAsia"/>
          <w:color w:val="auto"/>
          <w:w w:val="99"/>
          <w:highlight w:val="none"/>
        </w:rPr>
        <w:t>10-7cm/s</w:t>
      </w:r>
      <w:r>
        <w:rPr>
          <w:rFonts w:hint="eastAsia" w:ascii="Times New Roman" w:hAnsi="Times New Roman" w:cs="Times New Roman" w:eastAsiaTheme="minorEastAsia"/>
          <w:color w:val="auto"/>
          <w:w w:val="99"/>
          <w:highlight w:val="none"/>
        </w:rPr>
        <w:t>，为区域弱透水层，由铁质浸染的斑点条带，含铁钙质结核及白色钙质斑点；</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ascii="Times New Roman" w:hAnsi="Times New Roman" w:cs="Times New Roman" w:eastAsiaTheme="minorEastAsia"/>
          <w:color w:val="auto"/>
          <w:w w:val="99"/>
          <w:highlight w:val="none"/>
        </w:rPr>
        <w:t>第四系与下伏第三系泰康组地层为不整合接触</w:t>
      </w:r>
      <w:r>
        <w:rPr>
          <w:rFonts w:ascii="Times New Roman" w:hAnsi="Times New Roman" w:cs="Times New Roman" w:eastAsiaTheme="minorEastAsia"/>
          <w:color w:val="auto"/>
          <w:w w:val="99"/>
          <w:highlight w:val="none"/>
        </w:rPr>
        <w:t>。</w:t>
      </w:r>
    </w:p>
    <w:p>
      <w:pPr>
        <w:widowControl w:val="0"/>
        <w:spacing w:line="500" w:lineRule="exact"/>
        <w:rPr>
          <w:rFonts w:ascii="Times New Roman" w:hAnsi="Times New Roman" w:eastAsia="黑体" w:cs="Times New Roman"/>
          <w:b/>
          <w:color w:val="auto"/>
          <w:w w:val="99"/>
          <w:highlight w:val="none"/>
        </w:rPr>
      </w:pPr>
      <w:r>
        <w:rPr>
          <w:rFonts w:ascii="Times New Roman" w:hAnsi="Times New Roman" w:eastAsia="黑体" w:cs="Times New Roman"/>
          <w:b/>
          <w:color w:val="auto"/>
          <w:w w:val="99"/>
          <w:highlight w:val="none"/>
        </w:rPr>
        <w:t>4.1.4.3地质构造</w:t>
      </w:r>
    </w:p>
    <w:p>
      <w:pPr>
        <w:pStyle w:val="113"/>
        <w:widowControl w:val="0"/>
        <w:spacing w:line="500" w:lineRule="exact"/>
        <w:ind w:firstLine="473"/>
        <w:rPr>
          <w:rFonts w:ascii="Times New Roman" w:hAnsi="Times New Roman" w:cs="Times New Roman" w:eastAsiaTheme="minorEastAsia"/>
          <w:color w:val="auto"/>
          <w:w w:val="99"/>
          <w:highlight w:val="none"/>
        </w:rPr>
      </w:pPr>
      <w:bookmarkStart w:id="671" w:name="_Toc74812124"/>
      <w:bookmarkStart w:id="672" w:name="_Toc71371986"/>
      <w:bookmarkStart w:id="673" w:name="_Toc74812363"/>
      <w:bookmarkStart w:id="674" w:name="_Toc77667336"/>
      <w:bookmarkStart w:id="675" w:name="_Toc80105192"/>
      <w:r>
        <w:rPr>
          <w:rFonts w:hint="eastAsia" w:ascii="Times New Roman" w:hAnsi="Times New Roman" w:cs="Times New Roman" w:eastAsiaTheme="minorEastAsia"/>
          <w:color w:val="auto"/>
          <w:w w:val="99"/>
          <w:highlight w:val="none"/>
        </w:rPr>
        <w:t>项目区位于松辽盆地北部区。松辽盆地是中、新生代形成的一北北东向菱形断拗盆地。沉积岩厚度最大可达6000m以上，区域地质构造位置属于徐家围子向斜构造一部分，位于向斜构造的南端。区内上部由第四系松散堆积物所覆盖，未发现断裂构造分布。</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ascii="Times New Roman" w:hAnsi="Times New Roman" w:cs="Times New Roman" w:eastAsiaTheme="minorEastAsia"/>
          <w:color w:val="auto"/>
          <w:w w:val="99"/>
          <w:highlight w:val="none"/>
        </w:rPr>
        <w:t>根据《中国地震动参数区划图》</w:t>
      </w:r>
      <w:r>
        <w:rPr>
          <w:rFonts w:ascii="Times New Roman" w:hAnsi="Times New Roman" w:cs="Times New Roman" w:eastAsiaTheme="minorEastAsia"/>
          <w:color w:val="auto"/>
          <w:w w:val="99"/>
          <w:highlight w:val="none"/>
        </w:rPr>
        <w:t>(GB18306—2001)</w:t>
      </w:r>
      <w:r>
        <w:rPr>
          <w:rFonts w:hint="eastAsia" w:ascii="Times New Roman" w:hAnsi="Times New Roman" w:cs="Times New Roman" w:eastAsiaTheme="minorEastAsia"/>
          <w:color w:val="auto"/>
          <w:w w:val="99"/>
          <w:highlight w:val="none"/>
        </w:rPr>
        <w:t>，本区地震动峰值加。速度为</w:t>
      </w:r>
      <w:r>
        <w:rPr>
          <w:rFonts w:ascii="Times New Roman" w:hAnsi="Times New Roman" w:cs="Times New Roman" w:eastAsiaTheme="minorEastAsia"/>
          <w:color w:val="auto"/>
          <w:w w:val="99"/>
          <w:highlight w:val="none"/>
        </w:rPr>
        <w:t>0.05g</w:t>
      </w:r>
      <w:r>
        <w:rPr>
          <w:rFonts w:hint="eastAsia" w:ascii="Times New Roman" w:hAnsi="Times New Roman" w:cs="Times New Roman" w:eastAsiaTheme="minorEastAsia"/>
          <w:color w:val="auto"/>
          <w:w w:val="99"/>
          <w:highlight w:val="none"/>
        </w:rPr>
        <w:t>，相应的地震基本烈度为Ⅵ度</w:t>
      </w:r>
      <w:r>
        <w:rPr>
          <w:rFonts w:ascii="Times New Roman" w:hAnsi="Times New Roman" w:cs="Times New Roman" w:eastAsiaTheme="minorEastAsia"/>
          <w:color w:val="auto"/>
          <w:w w:val="99"/>
          <w:highlight w:val="none"/>
        </w:rPr>
        <w:t>。</w:t>
      </w:r>
    </w:p>
    <w:p>
      <w:pPr>
        <w:pStyle w:val="7"/>
        <w:keepNext w:val="0"/>
        <w:keepLines w:val="0"/>
        <w:widowControl w:val="0"/>
        <w:rPr>
          <w:b/>
          <w:color w:val="auto"/>
          <w:w w:val="99"/>
          <w:kern w:val="2"/>
          <w:sz w:val="24"/>
          <w:szCs w:val="24"/>
          <w:highlight w:val="none"/>
        </w:rPr>
      </w:pPr>
      <w:r>
        <w:rPr>
          <w:b/>
          <w:color w:val="auto"/>
          <w:w w:val="99"/>
          <w:kern w:val="2"/>
          <w:sz w:val="24"/>
          <w:szCs w:val="24"/>
          <w:highlight w:val="none"/>
        </w:rPr>
        <w:t>4.1.5水文地质条件</w:t>
      </w:r>
      <w:bookmarkEnd w:id="671"/>
      <w:bookmarkEnd w:id="672"/>
      <w:bookmarkEnd w:id="673"/>
      <w:bookmarkEnd w:id="674"/>
      <w:bookmarkEnd w:id="675"/>
    </w:p>
    <w:p>
      <w:pPr>
        <w:widowControl w:val="0"/>
        <w:spacing w:line="500" w:lineRule="exact"/>
        <w:rPr>
          <w:rFonts w:ascii="Times New Roman" w:hAnsi="Times New Roman" w:eastAsia="黑体" w:cs="Times New Roman"/>
          <w:b/>
          <w:color w:val="auto"/>
          <w:w w:val="99"/>
          <w:highlight w:val="none"/>
        </w:rPr>
      </w:pPr>
      <w:r>
        <w:rPr>
          <w:rFonts w:ascii="Times New Roman" w:hAnsi="Times New Roman" w:eastAsia="黑体" w:cs="Times New Roman"/>
          <w:b/>
          <w:color w:val="auto"/>
          <w:w w:val="99"/>
          <w:highlight w:val="none"/>
        </w:rPr>
        <w:t>4.1.5.1地下水的形成条件</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ascii="Times New Roman" w:hAnsi="Times New Roman" w:cs="Times New Roman" w:eastAsiaTheme="minorEastAsia"/>
          <w:color w:val="auto"/>
          <w:w w:val="99"/>
          <w:highlight w:val="none"/>
        </w:rPr>
        <w:t>评价区位于松辽盆地的北部，区域地质构造位置属于徐家围子向斜构造一部分，位于向斜构造的南端。中生界白垩系沉积了巨厚的碎屑岩，第四系则覆盖全区，不整合于白垩系地层之上。在各组岩层中沉积有厚薄不均的砂、砂砾石层及砂岩、砂砾岩层，为地下水的赋存提供了良好的条件。</w:t>
      </w:r>
    </w:p>
    <w:p>
      <w:pPr>
        <w:widowControl w:val="0"/>
        <w:spacing w:line="500" w:lineRule="exact"/>
        <w:rPr>
          <w:rFonts w:hint="eastAsia" w:ascii="Times New Roman" w:hAnsi="Times New Roman" w:cs="Times New Roman" w:eastAsiaTheme="minorEastAsia"/>
          <w:color w:val="auto"/>
          <w:w w:val="99"/>
          <w:highlight w:val="none"/>
          <w:lang w:val="en-US" w:eastAsia="zh-CN"/>
        </w:rPr>
      </w:pPr>
      <w:r>
        <w:rPr>
          <w:rFonts w:hint="eastAsia" w:ascii="Times New Roman" w:hAnsi="Times New Roman" w:cs="Times New Roman" w:eastAsiaTheme="minorEastAsia"/>
          <w:color w:val="auto"/>
          <w:w w:val="99"/>
          <w:highlight w:val="none"/>
        </w:rPr>
        <w:t>根据地下水的埋藏条件及含水层介质、水力性质等，区内地下水类型可划分为第四系上更新统松散层孔隙潜水、第四系孔隙承压水、第三系孔隙裂隙承压水、白垩系上统明水组孔隙裂隙承压水</w:t>
      </w:r>
      <w:r>
        <w:rPr>
          <w:rFonts w:ascii="Times New Roman" w:hAnsi="Times New Roman" w:cs="Times New Roman" w:eastAsiaTheme="minorEastAsia"/>
          <w:color w:val="auto"/>
          <w:w w:val="99"/>
          <w:highlight w:val="none"/>
        </w:rPr>
        <w:t>。区域综合水文地质图见附图</w:t>
      </w:r>
      <w:r>
        <w:rPr>
          <w:rFonts w:hint="eastAsia" w:ascii="Times New Roman" w:hAnsi="Times New Roman" w:cs="Times New Roman" w:eastAsiaTheme="minorEastAsia"/>
          <w:color w:val="auto"/>
          <w:w w:val="99"/>
          <w:highlight w:val="none"/>
          <w:lang w:val="en-US" w:eastAsia="zh-CN"/>
        </w:rPr>
        <w:t>8</w:t>
      </w:r>
      <w:r>
        <w:rPr>
          <w:rFonts w:ascii="Times New Roman" w:hAnsi="Times New Roman" w:cs="Times New Roman" w:eastAsiaTheme="minorEastAsia"/>
          <w:color w:val="auto"/>
          <w:w w:val="99"/>
          <w:highlight w:val="none"/>
        </w:rPr>
        <w:t>，区域水文地质剖面图见附图</w:t>
      </w:r>
      <w:r>
        <w:rPr>
          <w:rFonts w:hint="eastAsia" w:ascii="Times New Roman" w:hAnsi="Times New Roman" w:cs="Times New Roman" w:eastAsiaTheme="minorEastAsia"/>
          <w:color w:val="auto"/>
          <w:w w:val="99"/>
          <w:highlight w:val="none"/>
          <w:lang w:val="en-US" w:eastAsia="zh-CN"/>
        </w:rPr>
        <w:t>9</w:t>
      </w:r>
    </w:p>
    <w:p>
      <w:pPr>
        <w:widowControl w:val="0"/>
        <w:spacing w:line="500" w:lineRule="exact"/>
        <w:rPr>
          <w:rFonts w:ascii="Times New Roman" w:hAnsi="Times New Roman" w:eastAsia="黑体" w:cs="Times New Roman"/>
          <w:b/>
          <w:color w:val="auto"/>
          <w:w w:val="99"/>
          <w:highlight w:val="none"/>
        </w:rPr>
      </w:pPr>
      <w:r>
        <w:rPr>
          <w:rFonts w:ascii="Times New Roman" w:hAnsi="Times New Roman" w:eastAsia="黑体" w:cs="Times New Roman"/>
          <w:b/>
          <w:color w:val="auto"/>
          <w:w w:val="99"/>
          <w:highlight w:val="none"/>
        </w:rPr>
        <w:t>4.1.5.2地下水类型及含水岩组特征</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（1）第四系上更新统松散层孔隙潜水</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ascii="Times New Roman" w:hAnsi="Times New Roman" w:cs="Times New Roman" w:eastAsiaTheme="minorEastAsia"/>
          <w:color w:val="auto"/>
          <w:w w:val="99"/>
          <w:highlight w:val="none"/>
        </w:rPr>
        <w:t>分布于全区，含水层岩性为上更新统哈尔滨组粉细砂组成，厚度0～3.5</w:t>
      </w:r>
      <w:r>
        <w:rPr>
          <w:rFonts w:ascii="Times New Roman" w:hAnsi="Times New Roman" w:cs="Times New Roman" w:eastAsiaTheme="minorEastAsia"/>
          <w:color w:val="auto"/>
          <w:w w:val="99"/>
          <w:highlight w:val="none"/>
        </w:rPr>
        <w:t>m</w:t>
      </w:r>
      <w:r>
        <w:rPr>
          <w:rFonts w:hint="eastAsia" w:ascii="Times New Roman" w:hAnsi="Times New Roman" w:cs="Times New Roman" w:eastAsiaTheme="minorEastAsia"/>
          <w:color w:val="auto"/>
          <w:w w:val="99"/>
          <w:highlight w:val="none"/>
        </w:rPr>
        <w:t>。地下水水位埋深2</w:t>
      </w:r>
      <w:r>
        <w:rPr>
          <w:rFonts w:ascii="Times New Roman" w:hAnsi="Times New Roman" w:cs="Times New Roman" w:eastAsiaTheme="minorEastAsia"/>
          <w:color w:val="auto"/>
          <w:w w:val="99"/>
          <w:highlight w:val="none"/>
        </w:rPr>
        <w:t>.4</w:t>
      </w:r>
      <w:r>
        <w:rPr>
          <w:rFonts w:hint="eastAsia" w:ascii="Times New Roman" w:hAnsi="Times New Roman" w:cs="Times New Roman" w:eastAsiaTheme="minorEastAsia"/>
          <w:color w:val="auto"/>
          <w:w w:val="99"/>
          <w:highlight w:val="none"/>
        </w:rPr>
        <w:t>～5</w:t>
      </w:r>
      <w:r>
        <w:rPr>
          <w:rFonts w:ascii="Times New Roman" w:hAnsi="Times New Roman" w:cs="Times New Roman" w:eastAsiaTheme="minorEastAsia"/>
          <w:color w:val="auto"/>
          <w:w w:val="99"/>
          <w:highlight w:val="none"/>
        </w:rPr>
        <w:t>.5m</w:t>
      </w:r>
      <w:r>
        <w:rPr>
          <w:rFonts w:hint="eastAsia" w:ascii="Times New Roman" w:hAnsi="Times New Roman" w:cs="Times New Roman" w:eastAsiaTheme="minorEastAsia"/>
          <w:color w:val="auto"/>
          <w:w w:val="99"/>
          <w:highlight w:val="none"/>
        </w:rPr>
        <w:t>，弱富水性，单井涌水量在300～</w:t>
      </w:r>
      <w:r>
        <w:rPr>
          <w:rFonts w:ascii="Times New Roman" w:hAnsi="Times New Roman" w:cs="Times New Roman" w:eastAsiaTheme="minorEastAsia"/>
          <w:color w:val="auto"/>
          <w:w w:val="99"/>
          <w:highlight w:val="none"/>
        </w:rPr>
        <w:t>100m3/d</w:t>
      </w:r>
      <w:r>
        <w:rPr>
          <w:rFonts w:hint="eastAsia" w:ascii="Times New Roman" w:hAnsi="Times New Roman" w:cs="Times New Roman" w:eastAsiaTheme="minorEastAsia"/>
          <w:color w:val="auto"/>
          <w:w w:val="99"/>
          <w:highlight w:val="none"/>
        </w:rPr>
        <w:t>，地下水化学类型以</w:t>
      </w:r>
      <w:r>
        <w:rPr>
          <w:rFonts w:ascii="Times New Roman" w:hAnsi="Times New Roman" w:cs="Times New Roman" w:eastAsiaTheme="minorEastAsia"/>
          <w:color w:val="auto"/>
          <w:w w:val="99"/>
          <w:highlight w:val="none"/>
        </w:rPr>
        <w:t>HCO3</w:t>
      </w:r>
      <w:r>
        <w:rPr>
          <w:rFonts w:hint="eastAsia" w:ascii="Times New Roman" w:hAnsi="Times New Roman" w:cs="Times New Roman" w:eastAsiaTheme="minorEastAsia"/>
          <w:color w:val="auto"/>
          <w:w w:val="99"/>
          <w:highlight w:val="none"/>
        </w:rPr>
        <w:t>—</w:t>
      </w:r>
      <w:r>
        <w:rPr>
          <w:rFonts w:ascii="Times New Roman" w:hAnsi="Times New Roman" w:cs="Times New Roman" w:eastAsiaTheme="minorEastAsia"/>
          <w:color w:val="auto"/>
          <w:w w:val="99"/>
          <w:highlight w:val="none"/>
        </w:rPr>
        <w:t>Na</w:t>
      </w:r>
      <w:r>
        <w:rPr>
          <w:rFonts w:hint="eastAsia" w:ascii="Times New Roman" w:hAnsi="Times New Roman" w:cs="Times New Roman" w:eastAsiaTheme="minorEastAsia"/>
          <w:color w:val="auto"/>
          <w:w w:val="99"/>
          <w:highlight w:val="none"/>
        </w:rPr>
        <w:t>、</w:t>
      </w:r>
      <w:r>
        <w:rPr>
          <w:rFonts w:ascii="Times New Roman" w:hAnsi="Times New Roman" w:cs="Times New Roman" w:eastAsiaTheme="minorEastAsia"/>
          <w:color w:val="auto"/>
          <w:w w:val="99"/>
          <w:highlight w:val="none"/>
        </w:rPr>
        <w:t>HCO3</w:t>
      </w:r>
      <w:r>
        <w:rPr>
          <w:rFonts w:hint="eastAsia" w:ascii="Times New Roman" w:hAnsi="Times New Roman" w:cs="Times New Roman" w:eastAsiaTheme="minorEastAsia"/>
          <w:color w:val="auto"/>
          <w:w w:val="99"/>
          <w:highlight w:val="none"/>
        </w:rPr>
        <w:t>—</w:t>
      </w:r>
      <w:r>
        <w:rPr>
          <w:rFonts w:ascii="Times New Roman" w:hAnsi="Times New Roman" w:cs="Times New Roman" w:eastAsiaTheme="minorEastAsia"/>
          <w:color w:val="auto"/>
          <w:w w:val="99"/>
          <w:highlight w:val="none"/>
        </w:rPr>
        <w:t>Na</w:t>
      </w:r>
      <w:r>
        <w:rPr>
          <w:rFonts w:hint="eastAsia" w:ascii="Times New Roman" w:hAnsi="Times New Roman" w:cs="Times New Roman" w:eastAsiaTheme="minorEastAsia"/>
          <w:color w:val="auto"/>
          <w:w w:val="99"/>
          <w:highlight w:val="none"/>
        </w:rPr>
        <w:t>·C</w:t>
      </w:r>
      <w:r>
        <w:rPr>
          <w:rFonts w:ascii="Times New Roman" w:hAnsi="Times New Roman" w:cs="Times New Roman" w:eastAsiaTheme="minorEastAsia"/>
          <w:color w:val="auto"/>
          <w:w w:val="99"/>
          <w:highlight w:val="none"/>
        </w:rPr>
        <w:t>a</w:t>
      </w:r>
      <w:r>
        <w:rPr>
          <w:rFonts w:hint="eastAsia" w:ascii="Times New Roman" w:hAnsi="Times New Roman" w:cs="Times New Roman" w:eastAsiaTheme="minorEastAsia"/>
          <w:color w:val="auto"/>
          <w:w w:val="99"/>
          <w:highlight w:val="none"/>
        </w:rPr>
        <w:t>型水为主。该层水为大气降水的垂直入渗补给，无开采供水条件</w:t>
      </w:r>
      <w:r>
        <w:rPr>
          <w:rFonts w:ascii="Times New Roman" w:hAnsi="Times New Roman" w:cs="Times New Roman" w:eastAsiaTheme="minorEastAsia"/>
          <w:color w:val="auto"/>
          <w:w w:val="99"/>
          <w:highlight w:val="none"/>
        </w:rPr>
        <w:t>。</w:t>
      </w:r>
    </w:p>
    <w:p>
      <w:pPr>
        <w:pStyle w:val="113"/>
        <w:widowControl w:val="0"/>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w:t>
      </w:r>
      <w:r>
        <w:rPr>
          <w:rFonts w:hint="eastAsia" w:ascii="Times New Roman" w:hAnsi="Times New Roman" w:cs="Times New Roman" w:eastAsiaTheme="minorEastAsia"/>
          <w:color w:val="auto"/>
          <w:w w:val="99"/>
          <w:highlight w:val="none"/>
        </w:rPr>
        <w:t>第四系白土山组孔隙承压水</w:t>
      </w:r>
    </w:p>
    <w:p>
      <w:pPr>
        <w:pStyle w:val="113"/>
        <w:widowControl w:val="0"/>
        <w:spacing w:line="500" w:lineRule="exact"/>
        <w:ind w:firstLine="473"/>
        <w:jc w:val="both"/>
        <w:rPr>
          <w:rFonts w:ascii="Times New Roman" w:hAnsi="Times New Roman" w:cs="Times New Roman" w:eastAsiaTheme="minorEastAsia"/>
          <w:color w:val="auto"/>
          <w:w w:val="99"/>
          <w:highlight w:val="none"/>
        </w:rPr>
      </w:pPr>
      <w:r>
        <w:rPr>
          <w:rFonts w:hint="eastAsia" w:ascii="Times New Roman" w:hAnsi="Times New Roman" w:cs="Times New Roman" w:eastAsiaTheme="minorEastAsia"/>
          <w:color w:val="auto"/>
          <w:w w:val="99"/>
          <w:highlight w:val="none"/>
        </w:rPr>
        <w:t>第四系白土山组孔隙承压含水层主要由河流相沉积的灰白色、杂色砂砾石组成。偶夹白色高岭土透镜体。主要分布于区域的南部，含水层厚度小于</w:t>
      </w:r>
      <w:r>
        <w:rPr>
          <w:rFonts w:ascii="Times New Roman" w:hAnsi="Times New Roman" w:cs="Times New Roman" w:eastAsiaTheme="minorEastAsia"/>
          <w:color w:val="auto"/>
          <w:w w:val="99"/>
          <w:highlight w:val="none"/>
        </w:rPr>
        <w:t>2-5m</w:t>
      </w:r>
      <w:r>
        <w:rPr>
          <w:rFonts w:hint="eastAsia" w:ascii="Times New Roman" w:hAnsi="Times New Roman" w:cs="Times New Roman" w:eastAsiaTheme="minorEastAsia"/>
          <w:color w:val="auto"/>
          <w:w w:val="99"/>
          <w:highlight w:val="none"/>
        </w:rPr>
        <w:t>。含水层顶板埋深为25.0~30.0</w:t>
      </w:r>
      <w:r>
        <w:rPr>
          <w:rFonts w:ascii="Times New Roman" w:hAnsi="Times New Roman" w:cs="Times New Roman" w:eastAsiaTheme="minorEastAsia"/>
          <w:color w:val="auto"/>
          <w:w w:val="99"/>
          <w:highlight w:val="none"/>
        </w:rPr>
        <w:t>m</w:t>
      </w:r>
      <w:r>
        <w:rPr>
          <w:rFonts w:hint="eastAsia" w:ascii="Times New Roman" w:hAnsi="Times New Roman" w:cs="Times New Roman" w:eastAsiaTheme="minorEastAsia"/>
          <w:color w:val="auto"/>
          <w:w w:val="99"/>
          <w:highlight w:val="none"/>
        </w:rPr>
        <w:t>，呈由西向东增大态势。</w:t>
      </w:r>
    </w:p>
    <w:p>
      <w:pPr>
        <w:pStyle w:val="113"/>
        <w:widowControl w:val="0"/>
        <w:spacing w:line="500" w:lineRule="exact"/>
        <w:ind w:firstLine="473"/>
        <w:jc w:val="both"/>
        <w:rPr>
          <w:rFonts w:ascii="Times New Roman" w:hAnsi="Times New Roman" w:cs="Times New Roman" w:eastAsiaTheme="minorEastAsia"/>
          <w:color w:val="auto"/>
          <w:w w:val="99"/>
          <w:highlight w:val="none"/>
        </w:rPr>
      </w:pPr>
      <w:r>
        <w:rPr>
          <w:rFonts w:hint="eastAsia" w:ascii="Times New Roman" w:hAnsi="Times New Roman" w:cs="Times New Roman" w:eastAsiaTheme="minorEastAsia"/>
          <w:color w:val="auto"/>
          <w:w w:val="99"/>
          <w:highlight w:val="none"/>
        </w:rPr>
        <w:t>白土山组孔隙承压含水层颗粒粗大，分选较好，孔隙连通，有效孔隙度大，透水性强，富水性好。单井涌水量（237mm井管）一般都能达到500～800m3/d，水质为重碳酸钠型水</w:t>
      </w:r>
      <w:r>
        <w:rPr>
          <w:rFonts w:ascii="Times New Roman" w:hAnsi="Times New Roman" w:cs="Times New Roman" w:eastAsiaTheme="minorEastAsia"/>
          <w:color w:val="auto"/>
          <w:w w:val="99"/>
          <w:highlight w:val="none"/>
        </w:rPr>
        <w:t>。</w:t>
      </w:r>
    </w:p>
    <w:p>
      <w:pPr>
        <w:pStyle w:val="113"/>
        <w:widowControl w:val="0"/>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w:t>
      </w:r>
      <w:r>
        <w:rPr>
          <w:rFonts w:hint="eastAsia" w:ascii="Times New Roman" w:hAnsi="Times New Roman" w:cs="Times New Roman" w:eastAsiaTheme="minorEastAsia"/>
          <w:color w:val="auto"/>
          <w:w w:val="99"/>
          <w:highlight w:val="none"/>
        </w:rPr>
        <w:t>第三系大安组孔隙裂隙承压水</w:t>
      </w:r>
    </w:p>
    <w:p>
      <w:pPr>
        <w:pStyle w:val="113"/>
        <w:widowControl w:val="0"/>
        <w:spacing w:line="500" w:lineRule="exact"/>
        <w:ind w:firstLine="473"/>
        <w:jc w:val="both"/>
        <w:rPr>
          <w:rFonts w:ascii="Times New Roman" w:hAnsi="Times New Roman" w:cs="Times New Roman" w:eastAsiaTheme="minorEastAsia"/>
          <w:color w:val="auto"/>
          <w:w w:val="99"/>
          <w:highlight w:val="none"/>
        </w:rPr>
      </w:pPr>
      <w:r>
        <w:rPr>
          <w:rFonts w:hint="eastAsia" w:ascii="Times New Roman" w:hAnsi="Times New Roman" w:cs="Times New Roman" w:eastAsiaTheme="minorEastAsia"/>
          <w:color w:val="auto"/>
          <w:w w:val="99"/>
          <w:highlight w:val="none"/>
        </w:rPr>
        <w:t>上部，灰白色灰绿色粉砂岩和灰绿色青灰色层泥岩。中部深灰色粘土页岩和泥岩。下部灰白色含砾砂岩和砂砾岩。主要分布在区域的东南部，含水层为砂岩粉砂岩。含水层厚度一般为</w:t>
      </w:r>
      <w:r>
        <w:rPr>
          <w:rFonts w:ascii="Times New Roman" w:hAnsi="Times New Roman" w:cs="Times New Roman" w:eastAsiaTheme="minorEastAsia"/>
          <w:color w:val="auto"/>
          <w:w w:val="99"/>
          <w:highlight w:val="none"/>
        </w:rPr>
        <w:t>9-12</w:t>
      </w:r>
      <w:r>
        <w:rPr>
          <w:rFonts w:hint="eastAsia" w:ascii="Times New Roman" w:hAnsi="Times New Roman" w:cs="Times New Roman" w:eastAsiaTheme="minorEastAsia"/>
          <w:color w:val="auto"/>
          <w:w w:val="99"/>
          <w:highlight w:val="none"/>
        </w:rPr>
        <w:t>m，顶板埋深东西条带为</w:t>
      </w:r>
      <w:r>
        <w:rPr>
          <w:rFonts w:ascii="Times New Roman" w:hAnsi="Times New Roman" w:cs="Times New Roman" w:eastAsiaTheme="minorEastAsia"/>
          <w:color w:val="auto"/>
          <w:w w:val="99"/>
          <w:highlight w:val="none"/>
        </w:rPr>
        <w:t>40-52</w:t>
      </w:r>
      <w:r>
        <w:rPr>
          <w:rFonts w:hint="eastAsia" w:ascii="Times New Roman" w:hAnsi="Times New Roman" w:cs="Times New Roman" w:eastAsiaTheme="minorEastAsia"/>
          <w:color w:val="auto"/>
          <w:w w:val="99"/>
          <w:highlight w:val="none"/>
        </w:rPr>
        <w:t>m，井涌水量</w:t>
      </w:r>
      <w:r>
        <w:rPr>
          <w:rFonts w:ascii="Times New Roman" w:hAnsi="Times New Roman" w:cs="Times New Roman" w:eastAsiaTheme="minorEastAsia"/>
          <w:color w:val="auto"/>
          <w:w w:val="99"/>
          <w:highlight w:val="none"/>
        </w:rPr>
        <w:t>860-1250</w:t>
      </w:r>
      <w:r>
        <w:rPr>
          <w:rFonts w:hint="eastAsia" w:ascii="Times New Roman" w:hAnsi="Times New Roman" w:cs="Times New Roman" w:eastAsiaTheme="minorEastAsia"/>
          <w:color w:val="auto"/>
          <w:w w:val="99"/>
          <w:highlight w:val="none"/>
        </w:rPr>
        <w:t>吨</w:t>
      </w:r>
      <w:r>
        <w:rPr>
          <w:rFonts w:ascii="Times New Roman" w:hAnsi="Times New Roman" w:cs="Times New Roman" w:eastAsiaTheme="minorEastAsia"/>
          <w:color w:val="auto"/>
          <w:w w:val="99"/>
          <w:highlight w:val="none"/>
        </w:rPr>
        <w:t>/</w:t>
      </w:r>
      <w:r>
        <w:rPr>
          <w:rFonts w:hint="eastAsia" w:ascii="Times New Roman" w:hAnsi="Times New Roman" w:cs="Times New Roman" w:eastAsiaTheme="minorEastAsia"/>
          <w:color w:val="auto"/>
          <w:w w:val="99"/>
          <w:highlight w:val="none"/>
        </w:rPr>
        <w:t>日</w:t>
      </w:r>
      <w:r>
        <w:rPr>
          <w:rFonts w:ascii="Times New Roman" w:hAnsi="Times New Roman" w:cs="Times New Roman" w:eastAsiaTheme="minorEastAsia"/>
          <w:color w:val="auto"/>
          <w:w w:val="99"/>
          <w:highlight w:val="none"/>
        </w:rPr>
        <w:t>。</w:t>
      </w:r>
    </w:p>
    <w:p>
      <w:pPr>
        <w:pStyle w:val="113"/>
        <w:widowControl w:val="0"/>
        <w:spacing w:line="500" w:lineRule="exact"/>
        <w:ind w:firstLine="473"/>
        <w:jc w:val="both"/>
        <w:rPr>
          <w:rFonts w:ascii="Times New Roman" w:hAnsi="Times New Roman" w:cs="Times New Roman" w:eastAsiaTheme="minorEastAsia"/>
          <w:color w:val="auto"/>
          <w:w w:val="99"/>
          <w:highlight w:val="none"/>
        </w:rPr>
      </w:pPr>
      <w:r>
        <w:rPr>
          <w:rFonts w:hint="eastAsia" w:ascii="Times New Roman" w:hAnsi="Times New Roman" w:cs="Times New Roman" w:eastAsiaTheme="minorEastAsia"/>
          <w:color w:val="auto"/>
          <w:w w:val="99"/>
          <w:highlight w:val="none"/>
        </w:rPr>
        <w:t>（4）白垩系上统明水组孔隙裂隙承压水含水层</w:t>
      </w:r>
    </w:p>
    <w:p>
      <w:pPr>
        <w:pStyle w:val="113"/>
        <w:widowControl w:val="0"/>
        <w:spacing w:line="500" w:lineRule="exact"/>
        <w:ind w:firstLine="473"/>
        <w:jc w:val="both"/>
        <w:rPr>
          <w:rFonts w:ascii="Times New Roman" w:hAnsi="Times New Roman" w:cs="Times New Roman" w:eastAsiaTheme="minorEastAsia"/>
          <w:color w:val="auto"/>
          <w:w w:val="99"/>
          <w:highlight w:val="none"/>
        </w:rPr>
      </w:pPr>
      <w:r>
        <w:rPr>
          <w:rFonts w:hint="eastAsia" w:ascii="Times New Roman" w:hAnsi="Times New Roman" w:cs="Times New Roman" w:eastAsiaTheme="minorEastAsia"/>
          <w:color w:val="auto"/>
          <w:w w:val="99"/>
          <w:highlight w:val="none"/>
        </w:rPr>
        <w:t>明水组二段：岩性主要是含中粗砂岩组成，质软，成岩性较差，含水层分布不均，连续性较差，透水性一般、富水性一般，含砾砂岩含水层单层厚度较薄，层数较多，一般由4-6个层组成，单层厚度3</w:t>
      </w:r>
      <w:r>
        <w:rPr>
          <w:rFonts w:ascii="Times New Roman" w:hAnsi="Times New Roman" w:cs="Times New Roman" w:eastAsiaTheme="minorEastAsia"/>
          <w:color w:val="auto"/>
          <w:w w:val="99"/>
          <w:highlight w:val="none"/>
        </w:rPr>
        <w:t>.0</w:t>
      </w:r>
      <w:r>
        <w:rPr>
          <w:rFonts w:hint="eastAsia" w:ascii="Times New Roman" w:hAnsi="Times New Roman" w:cs="Times New Roman" w:eastAsiaTheme="minorEastAsia"/>
          <w:color w:val="auto"/>
          <w:w w:val="99"/>
          <w:highlight w:val="none"/>
        </w:rPr>
        <w:t>～20</w:t>
      </w:r>
      <w:r>
        <w:rPr>
          <w:rFonts w:ascii="Times New Roman" w:hAnsi="Times New Roman" w:cs="Times New Roman" w:eastAsiaTheme="minorEastAsia"/>
          <w:color w:val="auto"/>
          <w:w w:val="99"/>
          <w:highlight w:val="none"/>
        </w:rPr>
        <w:t>.0</w:t>
      </w:r>
      <w:r>
        <w:rPr>
          <w:rFonts w:hint="eastAsia" w:ascii="Times New Roman" w:hAnsi="Times New Roman" w:cs="Times New Roman" w:eastAsiaTheme="minorEastAsia"/>
          <w:color w:val="auto"/>
          <w:w w:val="99"/>
          <w:highlight w:val="none"/>
        </w:rPr>
        <w:t>m，含水层顶板埋深50～70</w:t>
      </w:r>
      <w:r>
        <w:rPr>
          <w:rFonts w:ascii="Times New Roman" w:hAnsi="Times New Roman" w:cs="Times New Roman" w:eastAsiaTheme="minorEastAsia"/>
          <w:color w:val="auto"/>
          <w:w w:val="99"/>
          <w:highlight w:val="none"/>
        </w:rPr>
        <w:t>m</w:t>
      </w:r>
      <w:r>
        <w:rPr>
          <w:rFonts w:hint="eastAsia" w:ascii="Times New Roman" w:hAnsi="Times New Roman" w:cs="Times New Roman" w:eastAsiaTheme="minorEastAsia"/>
          <w:color w:val="auto"/>
          <w:w w:val="99"/>
          <w:highlight w:val="none"/>
        </w:rPr>
        <w:t>，二段含水层组单井涌水量一般可达800～1200</w:t>
      </w:r>
      <w:r>
        <w:rPr>
          <w:rFonts w:ascii="Times New Roman" w:hAnsi="Times New Roman" w:cs="Times New Roman" w:eastAsiaTheme="minorEastAsia"/>
          <w:color w:val="auto"/>
          <w:w w:val="99"/>
          <w:highlight w:val="none"/>
        </w:rPr>
        <w:t>m3/d</w:t>
      </w:r>
      <w:r>
        <w:rPr>
          <w:rFonts w:hint="eastAsia" w:ascii="Times New Roman" w:hAnsi="Times New Roman" w:cs="Times New Roman" w:eastAsiaTheme="minorEastAsia"/>
          <w:color w:val="auto"/>
          <w:w w:val="99"/>
          <w:highlight w:val="none"/>
        </w:rPr>
        <w:t>（273mm）。</w:t>
      </w:r>
    </w:p>
    <w:p>
      <w:pPr>
        <w:pStyle w:val="113"/>
        <w:widowControl w:val="0"/>
        <w:spacing w:line="500" w:lineRule="exact"/>
        <w:ind w:firstLine="473"/>
        <w:jc w:val="both"/>
        <w:rPr>
          <w:rFonts w:ascii="Times New Roman" w:hAnsi="Times New Roman" w:cs="Times New Roman" w:eastAsiaTheme="minorEastAsia"/>
          <w:color w:val="auto"/>
          <w:w w:val="99"/>
          <w:highlight w:val="none"/>
        </w:rPr>
      </w:pPr>
      <w:r>
        <w:rPr>
          <w:rFonts w:hint="eastAsia" w:ascii="Times New Roman" w:hAnsi="Times New Roman" w:cs="Times New Roman" w:eastAsiaTheme="minorEastAsia"/>
          <w:color w:val="auto"/>
          <w:w w:val="99"/>
          <w:highlight w:val="none"/>
        </w:rPr>
        <w:t>明水组一段：岩性主要是含砾砂岩和砂砾岩组成，质软，成岩性较差，含水层分布稳定性较好，透水性一般、富水性一般，一段含砾砂岩含水层单层厚度较薄，层数一般3－5层，单层厚度3</w:t>
      </w:r>
      <w:r>
        <w:rPr>
          <w:rFonts w:ascii="Times New Roman" w:hAnsi="Times New Roman" w:cs="Times New Roman" w:eastAsiaTheme="minorEastAsia"/>
          <w:color w:val="auto"/>
          <w:w w:val="99"/>
          <w:highlight w:val="none"/>
        </w:rPr>
        <w:t>.0</w:t>
      </w:r>
      <w:r>
        <w:rPr>
          <w:rFonts w:hint="eastAsia" w:ascii="Times New Roman" w:hAnsi="Times New Roman" w:cs="Times New Roman" w:eastAsiaTheme="minorEastAsia"/>
          <w:color w:val="auto"/>
          <w:w w:val="99"/>
          <w:highlight w:val="none"/>
        </w:rPr>
        <w:t>～29</w:t>
      </w:r>
      <w:r>
        <w:rPr>
          <w:rFonts w:ascii="Times New Roman" w:hAnsi="Times New Roman" w:cs="Times New Roman" w:eastAsiaTheme="minorEastAsia"/>
          <w:color w:val="auto"/>
          <w:w w:val="99"/>
          <w:highlight w:val="none"/>
        </w:rPr>
        <w:t>.0m</w:t>
      </w:r>
      <w:r>
        <w:rPr>
          <w:rFonts w:hint="eastAsia" w:ascii="Times New Roman" w:hAnsi="Times New Roman" w:cs="Times New Roman" w:eastAsiaTheme="minorEastAsia"/>
          <w:color w:val="auto"/>
          <w:w w:val="99"/>
          <w:highlight w:val="none"/>
        </w:rPr>
        <w:t>，累计含水层厚度10</w:t>
      </w:r>
      <w:r>
        <w:rPr>
          <w:rFonts w:ascii="Times New Roman" w:hAnsi="Times New Roman" w:cs="Times New Roman" w:eastAsiaTheme="minorEastAsia"/>
          <w:color w:val="auto"/>
          <w:w w:val="99"/>
          <w:highlight w:val="none"/>
        </w:rPr>
        <w:t>.0</w:t>
      </w:r>
      <w:r>
        <w:rPr>
          <w:rFonts w:hint="eastAsia" w:ascii="Times New Roman" w:hAnsi="Times New Roman" w:cs="Times New Roman" w:eastAsiaTheme="minorEastAsia"/>
          <w:color w:val="auto"/>
          <w:w w:val="99"/>
          <w:highlight w:val="none"/>
        </w:rPr>
        <w:t>～45</w:t>
      </w:r>
      <w:r>
        <w:rPr>
          <w:rFonts w:ascii="Times New Roman" w:hAnsi="Times New Roman" w:cs="Times New Roman" w:eastAsiaTheme="minorEastAsia"/>
          <w:color w:val="auto"/>
          <w:w w:val="99"/>
          <w:highlight w:val="none"/>
        </w:rPr>
        <w:t>.0</w:t>
      </w:r>
      <w:r>
        <w:rPr>
          <w:rFonts w:hint="eastAsia" w:ascii="Times New Roman" w:hAnsi="Times New Roman" w:cs="Times New Roman" w:eastAsiaTheme="minorEastAsia"/>
          <w:color w:val="auto"/>
          <w:w w:val="99"/>
          <w:highlight w:val="none"/>
        </w:rPr>
        <w:t>m，含水层顶板埋深60～120m。单井涌水量（237mm井管）一般都能达到1000～1500m3/d，水质为重碳酸钠型水。</w:t>
      </w:r>
    </w:p>
    <w:p>
      <w:pPr>
        <w:pStyle w:val="113"/>
        <w:widowControl w:val="0"/>
        <w:spacing w:line="500" w:lineRule="exact"/>
        <w:ind w:firstLine="473"/>
        <w:jc w:val="both"/>
        <w:rPr>
          <w:rFonts w:hint="eastAsia" w:ascii="Times New Roman" w:hAnsi="Times New Roman" w:cs="Times New Roman" w:eastAsiaTheme="minorEastAsia"/>
          <w:color w:val="auto"/>
          <w:w w:val="99"/>
          <w:highlight w:val="none"/>
          <w:lang w:eastAsia="zh-CN"/>
        </w:rPr>
      </w:pPr>
      <w:r>
        <w:rPr>
          <w:rFonts w:hint="eastAsia" w:ascii="Times New Roman" w:hAnsi="Times New Roman" w:cs="Times New Roman" w:eastAsiaTheme="minorEastAsia"/>
          <w:color w:val="auto"/>
          <w:w w:val="99"/>
          <w:highlight w:val="none"/>
        </w:rPr>
        <w:t>明水组含水层的矿化度为480—860g/L，总硬度为66-95</w:t>
      </w:r>
      <w:r>
        <w:rPr>
          <w:rFonts w:ascii="Times New Roman" w:hAnsi="Times New Roman" w:cs="Times New Roman" w:eastAsiaTheme="minorEastAsia"/>
          <w:color w:val="auto"/>
          <w:w w:val="99"/>
          <w:highlight w:val="none"/>
        </w:rPr>
        <w:t>mg/L</w:t>
      </w:r>
      <w:r>
        <w:rPr>
          <w:rFonts w:hint="eastAsia" w:ascii="Times New Roman" w:hAnsi="Times New Roman" w:cs="Times New Roman" w:eastAsiaTheme="minorEastAsia"/>
          <w:color w:val="auto"/>
          <w:w w:val="99"/>
          <w:highlight w:val="none"/>
        </w:rPr>
        <w:t>（以</w:t>
      </w:r>
      <w:r>
        <w:rPr>
          <w:rFonts w:ascii="Times New Roman" w:hAnsi="Times New Roman" w:cs="Times New Roman" w:eastAsiaTheme="minorEastAsia"/>
          <w:color w:val="auto"/>
          <w:w w:val="99"/>
          <w:highlight w:val="none"/>
        </w:rPr>
        <w:t>CaCO3</w:t>
      </w:r>
      <w:r>
        <w:rPr>
          <w:rFonts w:hint="eastAsia" w:ascii="Times New Roman" w:hAnsi="Times New Roman" w:cs="Times New Roman" w:eastAsiaTheme="minorEastAsia"/>
          <w:color w:val="auto"/>
          <w:w w:val="99"/>
          <w:highlight w:val="none"/>
        </w:rPr>
        <w:t>计），水质类型为重碳酸钠型水</w:t>
      </w:r>
      <w:r>
        <w:rPr>
          <w:rFonts w:hint="eastAsia" w:ascii="Times New Roman" w:hAnsi="Times New Roman" w:cs="Times New Roman" w:eastAsiaTheme="minorEastAsia"/>
          <w:color w:val="auto"/>
          <w:w w:val="99"/>
          <w:highlight w:val="none"/>
          <w:lang w:eastAsia="zh-CN"/>
        </w:rPr>
        <w:t>。</w:t>
      </w:r>
    </w:p>
    <w:p>
      <w:pPr>
        <w:widowControl w:val="0"/>
        <w:spacing w:line="500" w:lineRule="exact"/>
        <w:rPr>
          <w:rFonts w:ascii="Times New Roman" w:hAnsi="Times New Roman" w:eastAsia="黑体" w:cs="Times New Roman"/>
          <w:b/>
          <w:color w:val="auto"/>
          <w:w w:val="99"/>
          <w:highlight w:val="none"/>
        </w:rPr>
      </w:pPr>
      <w:r>
        <w:rPr>
          <w:rFonts w:ascii="Times New Roman" w:hAnsi="Times New Roman" w:eastAsia="黑体" w:cs="Times New Roman"/>
          <w:b/>
          <w:color w:val="auto"/>
          <w:w w:val="99"/>
          <w:highlight w:val="none"/>
        </w:rPr>
        <w:t>4.1.5.3地下水的补给、径流和排泄条件</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地质环境决定了地下水的补给、径流、排泄规律。而其补给、径流和排泄构成了含水层地下水流系统的形成条件。</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 xml:space="preserve">（1）地下水补给   </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color w:val="auto"/>
          <w:w w:val="99"/>
          <w:highlight w:val="none"/>
        </w:rPr>
        <w:t>①</w:t>
      </w:r>
      <w:r>
        <w:rPr>
          <w:rFonts w:ascii="Times New Roman" w:hAnsi="Times New Roman" w:cs="Times New Roman" w:eastAsiaTheme="minorEastAsia"/>
          <w:color w:val="auto"/>
          <w:w w:val="99"/>
          <w:highlight w:val="none"/>
        </w:rPr>
        <w:t>大气降雨补给</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 xml:space="preserve">从区域主要含水层分布可以看出，含水层的补给主要地表水补给和降雨垂向补给上部第四系孔隙潜水含水层，潜水通过透水层越流补给下部的泰康组、明水组含水层。  </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color w:val="auto"/>
          <w:w w:val="99"/>
          <w:highlight w:val="none"/>
        </w:rPr>
        <w:t>②</w:t>
      </w:r>
      <w:r>
        <w:rPr>
          <w:rFonts w:ascii="Times New Roman" w:hAnsi="Times New Roman" w:cs="Times New Roman" w:eastAsiaTheme="minorEastAsia"/>
          <w:color w:val="auto"/>
          <w:w w:val="99"/>
          <w:highlight w:val="none"/>
        </w:rPr>
        <w:t>地表水体的入渗补给</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项目区内分布的湖泡水的入渗水量构成了第四系潜水补给的主要来源。</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color w:val="auto"/>
          <w:w w:val="99"/>
          <w:highlight w:val="none"/>
        </w:rPr>
        <w:t>③</w:t>
      </w:r>
      <w:r>
        <w:rPr>
          <w:rFonts w:ascii="Times New Roman" w:hAnsi="Times New Roman" w:cs="Times New Roman" w:eastAsiaTheme="minorEastAsia"/>
          <w:color w:val="auto"/>
          <w:w w:val="99"/>
          <w:highlight w:val="none"/>
        </w:rPr>
        <w:t>侧向补给</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在天然条件下，主要来自区域以外广泛连续分布的同一含水层中的地下水，地下水在水动力驱动下，通过水平方向径流补给区域内地下水，根据水文地质分布特征，项目区地下水侧向主要接受由北向西南方向都有一定量的地下水侧向补给。</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（2）地下水径流规律</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项目区内地下水的径流方向在不同层位有所不同。上部潜水含水层主要由粉细砂组成，颗粒较细，分布不连续，透水性较差，且受地形影响，地下水径流滞缓，项目区范围内地下水流向不明显，区域上总体流向随地势由东北向西南流。</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（3）地下水排泄</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在人为活动影响条件下，项目区地下水的排泄主要有三种类型，即蒸发排泄、侧向径流排泄、人工开采。</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color w:val="auto"/>
          <w:w w:val="99"/>
          <w:highlight w:val="none"/>
        </w:rPr>
        <w:t>①</w:t>
      </w:r>
      <w:r>
        <w:rPr>
          <w:rFonts w:ascii="Times New Roman" w:hAnsi="Times New Roman" w:cs="Times New Roman" w:eastAsiaTheme="minorEastAsia"/>
          <w:color w:val="auto"/>
          <w:w w:val="99"/>
          <w:highlight w:val="none"/>
        </w:rPr>
        <w:t>潜水蒸发排泄</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该区属干旱、半干旱季风气候区，区内水面和沼泽湿地较为发育，由于气候干燥，尤其是在多风少雨的春末初夏，降水量小240mm，蒸发强度大（1100-1600mm），因此蒸发是潜水的主要排泄方式。</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color w:val="auto"/>
          <w:w w:val="99"/>
          <w:highlight w:val="none"/>
        </w:rPr>
        <w:t>②</w:t>
      </w:r>
      <w:r>
        <w:rPr>
          <w:rFonts w:ascii="Times New Roman" w:hAnsi="Times New Roman" w:cs="Times New Roman" w:eastAsiaTheme="minorEastAsia"/>
          <w:color w:val="auto"/>
          <w:w w:val="99"/>
          <w:highlight w:val="none"/>
        </w:rPr>
        <w:t>侧向径流排泄</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地下水通过同一含水层向区域西南部径流流出区域。</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color w:val="auto"/>
          <w:w w:val="99"/>
          <w:highlight w:val="none"/>
        </w:rPr>
        <w:t>③</w:t>
      </w:r>
      <w:r>
        <w:rPr>
          <w:rFonts w:ascii="Times New Roman" w:hAnsi="Times New Roman" w:cs="Times New Roman" w:eastAsiaTheme="minorEastAsia"/>
          <w:color w:val="auto"/>
          <w:w w:val="99"/>
          <w:highlight w:val="none"/>
        </w:rPr>
        <w:t>人工开采</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区域是地下水人工开采主要地区。根据统计资料，目前区域已建成工农业、生活用水井500多眼。区域地下现状年总开采量为1450.00×10</w:t>
      </w:r>
      <w:r>
        <w:rPr>
          <w:rFonts w:ascii="Times New Roman" w:hAnsi="Times New Roman" w:cs="Times New Roman" w:eastAsiaTheme="minorEastAsia"/>
          <w:color w:val="auto"/>
          <w:w w:val="99"/>
          <w:highlight w:val="none"/>
          <w:vertAlign w:val="superscript"/>
        </w:rPr>
        <w:t>4</w:t>
      </w:r>
      <w:r>
        <w:rPr>
          <w:rFonts w:ascii="Times New Roman" w:hAnsi="Times New Roman" w:cs="Times New Roman" w:eastAsiaTheme="minorEastAsia"/>
          <w:color w:val="auto"/>
          <w:w w:val="99"/>
          <w:highlight w:val="none"/>
        </w:rPr>
        <w:t>m</w:t>
      </w:r>
      <w:r>
        <w:rPr>
          <w:rFonts w:ascii="Times New Roman" w:hAnsi="Times New Roman" w:cs="Times New Roman" w:eastAsiaTheme="minorEastAsia"/>
          <w:color w:val="auto"/>
          <w:w w:val="99"/>
          <w:highlight w:val="none"/>
          <w:vertAlign w:val="superscript"/>
        </w:rPr>
        <w:t>3</w:t>
      </w:r>
      <w:r>
        <w:rPr>
          <w:rFonts w:ascii="Times New Roman" w:hAnsi="Times New Roman" w:cs="Times New Roman" w:eastAsiaTheme="minorEastAsia"/>
          <w:color w:val="auto"/>
          <w:w w:val="99"/>
          <w:highlight w:val="none"/>
        </w:rPr>
        <w:t>/a。</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开采层主要为第三系泰康组和白垩系明水组承压含水层，开采深度一般在70～220m。</w:t>
      </w:r>
    </w:p>
    <w:p>
      <w:pPr>
        <w:pStyle w:val="7"/>
        <w:keepNext w:val="0"/>
        <w:keepLines w:val="0"/>
        <w:widowControl w:val="0"/>
        <w:rPr>
          <w:b/>
          <w:color w:val="auto"/>
          <w:w w:val="99"/>
          <w:kern w:val="2"/>
          <w:sz w:val="24"/>
          <w:szCs w:val="24"/>
          <w:highlight w:val="none"/>
        </w:rPr>
      </w:pPr>
      <w:bookmarkStart w:id="676" w:name="_Toc80105193"/>
      <w:bookmarkStart w:id="677" w:name="_Toc74812125"/>
      <w:bookmarkStart w:id="678" w:name="_Toc77667337"/>
      <w:bookmarkStart w:id="679" w:name="_Toc74812364"/>
      <w:bookmarkStart w:id="680" w:name="_Toc71371987"/>
      <w:r>
        <w:rPr>
          <w:b/>
          <w:color w:val="auto"/>
          <w:w w:val="99"/>
          <w:kern w:val="2"/>
          <w:sz w:val="24"/>
          <w:szCs w:val="24"/>
          <w:highlight w:val="none"/>
        </w:rPr>
        <w:t>4.1.6区域地下水动态变化特征</w:t>
      </w:r>
      <w:bookmarkEnd w:id="676"/>
      <w:bookmarkEnd w:id="677"/>
      <w:bookmarkEnd w:id="678"/>
      <w:bookmarkEnd w:id="679"/>
      <w:bookmarkEnd w:id="680"/>
    </w:p>
    <w:p>
      <w:pPr>
        <w:widowControl w:val="0"/>
        <w:spacing w:line="500" w:lineRule="exact"/>
        <w:rPr>
          <w:rFonts w:ascii="Times New Roman" w:hAnsi="Times New Roman" w:eastAsia="黑体" w:cs="Times New Roman"/>
          <w:b/>
          <w:color w:val="auto"/>
          <w:w w:val="99"/>
          <w:highlight w:val="none"/>
        </w:rPr>
      </w:pPr>
      <w:r>
        <w:rPr>
          <w:rFonts w:ascii="Times New Roman" w:hAnsi="Times New Roman" w:eastAsia="黑体" w:cs="Times New Roman"/>
          <w:b/>
          <w:color w:val="auto"/>
          <w:w w:val="99"/>
          <w:highlight w:val="none"/>
        </w:rPr>
        <w:t>4.1.6.1潜水地下水水位动态变化特征</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区域潜水含水层埋深较浅，含水层岩性为粉细砂，水位变化主要受大气降水补给和人工开采影响较大，根据水位监测结果表明，区域潜水水位埋深2.1m-5.2m之间，区域潜水埋深变化较小，水位变化差2.0m左右。</w:t>
      </w:r>
    </w:p>
    <w:p>
      <w:pPr>
        <w:widowControl w:val="0"/>
        <w:spacing w:line="500" w:lineRule="exact"/>
        <w:rPr>
          <w:rFonts w:ascii="Times New Roman" w:hAnsi="Times New Roman" w:eastAsia="黑体" w:cs="Times New Roman"/>
          <w:b/>
          <w:color w:val="auto"/>
          <w:w w:val="99"/>
          <w:highlight w:val="none"/>
        </w:rPr>
      </w:pPr>
      <w:r>
        <w:rPr>
          <w:rFonts w:ascii="Times New Roman" w:hAnsi="Times New Roman" w:eastAsia="黑体" w:cs="Times New Roman"/>
          <w:b/>
          <w:color w:val="auto"/>
          <w:w w:val="99"/>
          <w:highlight w:val="none"/>
        </w:rPr>
        <w:t>4.1.6.2承压水地下水水位动态变化特征</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区域承压水主要含水层为明水组砂岩裂隙孔隙承压含水层，承压水受多年地下水开采，承压水地下水位总的趋势呈下降趋势。由于近年来降雨量增加，地下水补给量增加，根据近年区域地下水动态监测井水位监测分析，水位在逐步上升，地下水水位主要受开采量的影响，水位埋深由开采初期喷出地表，到2018年水位下降到8.40m，目前基本处于稳定状态。</w:t>
      </w:r>
    </w:p>
    <w:p>
      <w:pPr>
        <w:pStyle w:val="7"/>
        <w:keepNext w:val="0"/>
        <w:keepLines w:val="0"/>
        <w:widowControl w:val="0"/>
        <w:rPr>
          <w:b/>
          <w:color w:val="auto"/>
          <w:w w:val="99"/>
          <w:kern w:val="2"/>
          <w:sz w:val="24"/>
          <w:szCs w:val="24"/>
          <w:highlight w:val="none"/>
        </w:rPr>
      </w:pPr>
      <w:bookmarkStart w:id="681" w:name="_Toc71371988"/>
      <w:bookmarkStart w:id="682" w:name="_Toc74812126"/>
      <w:bookmarkStart w:id="683" w:name="_Toc80105194"/>
      <w:bookmarkStart w:id="684" w:name="_Toc74812365"/>
      <w:bookmarkStart w:id="685" w:name="_Toc69690854"/>
      <w:bookmarkStart w:id="686" w:name="_Toc61597265"/>
      <w:bookmarkStart w:id="687" w:name="_Toc57707951"/>
      <w:bookmarkStart w:id="688" w:name="_Toc67523636"/>
      <w:bookmarkStart w:id="689" w:name="_Toc57976703"/>
      <w:bookmarkStart w:id="690" w:name="_Toc77667338"/>
      <w:bookmarkStart w:id="691" w:name="_Toc57203281"/>
      <w:r>
        <w:rPr>
          <w:b/>
          <w:color w:val="auto"/>
          <w:w w:val="99"/>
          <w:kern w:val="2"/>
          <w:sz w:val="24"/>
          <w:szCs w:val="24"/>
          <w:highlight w:val="none"/>
        </w:rPr>
        <w:t>4.1.7土壤情况</w:t>
      </w:r>
      <w:bookmarkEnd w:id="681"/>
      <w:bookmarkEnd w:id="682"/>
      <w:bookmarkEnd w:id="683"/>
      <w:bookmarkEnd w:id="684"/>
      <w:bookmarkEnd w:id="685"/>
      <w:bookmarkEnd w:id="686"/>
      <w:bookmarkEnd w:id="687"/>
      <w:bookmarkEnd w:id="688"/>
      <w:bookmarkEnd w:id="689"/>
      <w:bookmarkEnd w:id="690"/>
      <w:bookmarkEnd w:id="691"/>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评价区属嫩江的冲积地带，区内土壤早期为洪积、冲、风积而成。是第四全新统疏松沉积物所覆盖，质地粘重，地形平坦，祗稍现坡状起伏。此地土壤受气候、地形、地质、水文地质、生物等影响，逐步形成现在土壤类型。根据调查本项目评价范围内土壤类型主要为</w:t>
      </w:r>
      <w:r>
        <w:rPr>
          <w:rFonts w:hint="eastAsia" w:ascii="Times New Roman" w:hAnsi="Times New Roman" w:cs="Times New Roman" w:eastAsiaTheme="minorEastAsia"/>
          <w:color w:val="auto"/>
          <w:w w:val="99"/>
          <w:kern w:val="21"/>
          <w:highlight w:val="none"/>
          <w:lang w:eastAsia="zh-CN"/>
        </w:rPr>
        <w:t>草甸土</w:t>
      </w:r>
      <w:r>
        <w:rPr>
          <w:rFonts w:ascii="Times New Roman" w:hAnsi="Times New Roman" w:cs="Times New Roman" w:eastAsiaTheme="minorEastAsia"/>
          <w:color w:val="auto"/>
          <w:w w:val="99"/>
          <w:highlight w:val="none"/>
        </w:rPr>
        <w:t>，本项目区域土壤类型分布图见</w:t>
      </w:r>
      <w:r>
        <w:rPr>
          <w:rFonts w:hint="eastAsia" w:ascii="Times New Roman" w:hAnsi="Times New Roman" w:cs="Times New Roman" w:eastAsiaTheme="minorEastAsia"/>
          <w:color w:val="auto"/>
          <w:w w:val="99"/>
          <w:highlight w:val="none"/>
          <w:lang w:eastAsia="zh-CN"/>
        </w:rPr>
        <w:t>附图10</w:t>
      </w:r>
      <w:r>
        <w:rPr>
          <w:rFonts w:ascii="Times New Roman" w:hAnsi="Times New Roman" w:cs="Times New Roman" w:eastAsiaTheme="minorEastAsia"/>
          <w:color w:val="auto"/>
          <w:w w:val="99"/>
          <w:highlight w:val="none"/>
        </w:rPr>
        <w:t>。</w:t>
      </w:r>
    </w:p>
    <w:p>
      <w:pPr>
        <w:pStyle w:val="7"/>
        <w:keepNext w:val="0"/>
        <w:keepLines w:val="0"/>
        <w:widowControl w:val="0"/>
        <w:rPr>
          <w:b/>
          <w:color w:val="auto"/>
          <w:w w:val="99"/>
          <w:kern w:val="2"/>
          <w:sz w:val="24"/>
          <w:szCs w:val="24"/>
          <w:highlight w:val="none"/>
        </w:rPr>
      </w:pPr>
      <w:bookmarkStart w:id="692" w:name="_Toc71371989"/>
      <w:bookmarkStart w:id="693" w:name="_Toc67523637"/>
      <w:bookmarkStart w:id="694" w:name="_Toc80105195"/>
      <w:bookmarkStart w:id="695" w:name="_Toc61597266"/>
      <w:bookmarkStart w:id="696" w:name="_Toc74812366"/>
      <w:bookmarkStart w:id="697" w:name="_Toc69690855"/>
      <w:bookmarkStart w:id="698" w:name="_Toc77667339"/>
      <w:bookmarkStart w:id="699" w:name="_Toc74812127"/>
      <w:bookmarkStart w:id="700" w:name="_Toc57976704"/>
      <w:bookmarkStart w:id="701" w:name="_Toc57203282"/>
      <w:bookmarkStart w:id="702" w:name="_Toc57707952"/>
      <w:r>
        <w:rPr>
          <w:b/>
          <w:color w:val="auto"/>
          <w:w w:val="99"/>
          <w:kern w:val="2"/>
          <w:sz w:val="24"/>
          <w:szCs w:val="24"/>
          <w:highlight w:val="none"/>
        </w:rPr>
        <w:t>4.1.8植被情况</w:t>
      </w:r>
      <w:bookmarkEnd w:id="692"/>
      <w:bookmarkEnd w:id="693"/>
      <w:bookmarkEnd w:id="694"/>
      <w:bookmarkEnd w:id="695"/>
      <w:bookmarkEnd w:id="696"/>
      <w:bookmarkEnd w:id="697"/>
      <w:bookmarkEnd w:id="698"/>
      <w:bookmarkEnd w:id="699"/>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地区内原始植被主要为草甸草原类植物，以中旱生的多年生草本植物为建群种，主要为羊草、针茅、洽草、隐子草和杂类草类型。植被群落着生在沙质漫岗上，其土壤干燥，完全依赖大气降水。在地势低洼地带，以星星草、芦苇和杂草等中旱生植物为主。由于气候的变化和人类活动的影响，地区内森林植物退却，原生林木很少，林木主要以农田防护林、护村林和护路林等为主，品种以速生林杨树为主。农田植被以旱田植被为主，粮食作物包括玉米、大豆、高粱、谷子、小麦等，经济作物有向日葵、蓖麻子、油菜子、花生等。</w:t>
      </w:r>
    </w:p>
    <w:p>
      <w:pPr>
        <w:pStyle w:val="7"/>
        <w:keepNext w:val="0"/>
        <w:keepLines w:val="0"/>
        <w:widowControl w:val="0"/>
        <w:rPr>
          <w:b/>
          <w:color w:val="auto"/>
          <w:w w:val="99"/>
          <w:kern w:val="2"/>
          <w:sz w:val="24"/>
          <w:szCs w:val="24"/>
          <w:highlight w:val="none"/>
        </w:rPr>
      </w:pPr>
      <w:bookmarkStart w:id="703" w:name="_Toc61597267"/>
      <w:bookmarkStart w:id="704" w:name="_Toc80105196"/>
      <w:bookmarkStart w:id="705" w:name="_Toc74812128"/>
      <w:bookmarkStart w:id="706" w:name="_Toc71371990"/>
      <w:bookmarkStart w:id="707" w:name="_Toc74812367"/>
      <w:bookmarkStart w:id="708" w:name="_Toc69690856"/>
      <w:bookmarkStart w:id="709" w:name="_Toc77667340"/>
      <w:bookmarkStart w:id="710" w:name="_Toc67523638"/>
      <w:r>
        <w:rPr>
          <w:b/>
          <w:color w:val="auto"/>
          <w:w w:val="99"/>
          <w:kern w:val="2"/>
          <w:sz w:val="24"/>
          <w:szCs w:val="24"/>
          <w:highlight w:val="none"/>
        </w:rPr>
        <w:t>4.1.9</w:t>
      </w:r>
      <w:r>
        <w:rPr>
          <w:rFonts w:hint="eastAsia"/>
          <w:b/>
          <w:color w:val="auto"/>
          <w:w w:val="99"/>
          <w:kern w:val="2"/>
          <w:sz w:val="24"/>
          <w:szCs w:val="24"/>
          <w:highlight w:val="none"/>
        </w:rPr>
        <w:t>动物</w:t>
      </w:r>
      <w:r>
        <w:rPr>
          <w:b/>
          <w:color w:val="auto"/>
          <w:w w:val="99"/>
          <w:kern w:val="2"/>
          <w:sz w:val="24"/>
          <w:szCs w:val="24"/>
          <w:highlight w:val="none"/>
        </w:rPr>
        <w:t>分布</w:t>
      </w:r>
      <w:bookmarkEnd w:id="700"/>
      <w:bookmarkEnd w:id="701"/>
      <w:bookmarkEnd w:id="702"/>
      <w:bookmarkEnd w:id="703"/>
      <w:bookmarkEnd w:id="704"/>
      <w:bookmarkEnd w:id="705"/>
      <w:bookmarkEnd w:id="706"/>
      <w:bookmarkEnd w:id="707"/>
      <w:bookmarkEnd w:id="708"/>
      <w:bookmarkEnd w:id="709"/>
      <w:bookmarkEnd w:id="710"/>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区域内原始动物中鸟类主要有喜鹊、麻雀、云雀、家燕、丹顶鹤等，兽类主要有狐、鼬、兔、鼠、黄羊、狍子、狼等，两栖类和爬行动物主要有无斑雨蛙、黑斑蛙、蛇等，鱼类主要有鲤鱼、鲢鱼、鲫鱼、草鱼、鲶鱼、鳊鱼等。由于受人为因素影响明显，荒野被开垦为农田，工业迅速发展，管道沿线大型鸟兽基本绝迹，大群雁鸭等主要集中在湖泊湿地中。</w:t>
      </w:r>
    </w:p>
    <w:p>
      <w:pPr>
        <w:pStyle w:val="5"/>
        <w:keepNext w:val="0"/>
        <w:keepLines w:val="0"/>
        <w:widowControl w:val="0"/>
        <w:rPr>
          <w:rFonts w:ascii="Times New Roman" w:hAnsi="Times New Roman"/>
          <w:b/>
          <w:snapToGrid w:val="0"/>
          <w:color w:val="auto"/>
          <w:w w:val="99"/>
          <w:highlight w:val="none"/>
        </w:rPr>
      </w:pPr>
      <w:bookmarkStart w:id="711" w:name="_Toc80105197"/>
      <w:bookmarkStart w:id="712" w:name="_Toc41655196"/>
      <w:bookmarkStart w:id="713" w:name="_Toc15781"/>
      <w:r>
        <w:rPr>
          <w:rFonts w:ascii="Times New Roman" w:hAnsi="Times New Roman"/>
          <w:b/>
          <w:snapToGrid w:val="0"/>
          <w:color w:val="auto"/>
          <w:w w:val="99"/>
          <w:highlight w:val="none"/>
        </w:rPr>
        <w:t>4.2</w:t>
      </w:r>
      <w:r>
        <w:rPr>
          <w:rFonts w:hint="eastAsia" w:ascii="Times New Roman" w:hAnsi="Times New Roman"/>
          <w:b/>
          <w:snapToGrid w:val="0"/>
          <w:color w:val="auto"/>
          <w:w w:val="99"/>
          <w:highlight w:val="none"/>
          <w:lang w:eastAsia="zh-CN"/>
        </w:rPr>
        <w:t>区域环境敏感区</w:t>
      </w:r>
      <w:r>
        <w:rPr>
          <w:rFonts w:ascii="Times New Roman" w:hAnsi="Times New Roman"/>
          <w:b/>
          <w:snapToGrid w:val="0"/>
          <w:color w:val="auto"/>
          <w:w w:val="99"/>
          <w:highlight w:val="none"/>
        </w:rPr>
        <w:t>调查</w:t>
      </w:r>
      <w:bookmarkEnd w:id="711"/>
      <w:bookmarkEnd w:id="712"/>
    </w:p>
    <w:p>
      <w:pPr>
        <w:pStyle w:val="32"/>
        <w:keepNext w:val="0"/>
        <w:keepLines w:val="0"/>
        <w:pageBreakBefore w:val="0"/>
        <w:widowControl/>
        <w:kinsoku/>
        <w:wordWrap/>
        <w:overflowPunct/>
        <w:topLinePunct w:val="0"/>
        <w:autoSpaceDE/>
        <w:autoSpaceDN/>
        <w:bidi w:val="0"/>
        <w:adjustRightInd/>
        <w:snapToGrid/>
        <w:spacing w:line="440" w:lineRule="exact"/>
        <w:ind w:left="0" w:right="0" w:firstLine="474" w:firstLineChars="200"/>
        <w:jc w:val="left"/>
        <w:textAlignment w:val="auto"/>
        <w:rPr>
          <w:rFonts w:hint="default" w:ascii="Times New Roman" w:hAnsi="Times New Roman" w:eastAsia="宋体" w:cs="Times New Roman"/>
          <w:color w:val="auto"/>
          <w:w w:val="99"/>
          <w:kern w:val="0"/>
          <w:sz w:val="24"/>
          <w:szCs w:val="24"/>
          <w:highlight w:val="none"/>
          <w:lang w:val="en-US" w:eastAsia="zh-CN" w:bidi="ar-SA"/>
        </w:rPr>
      </w:pPr>
      <w:bookmarkStart w:id="714" w:name="_Toc80105198"/>
      <w:r>
        <w:rPr>
          <w:rFonts w:hint="default" w:ascii="Times New Roman" w:hAnsi="Times New Roman" w:eastAsia="宋体" w:cs="Times New Roman"/>
          <w:color w:val="auto"/>
          <w:w w:val="99"/>
          <w:kern w:val="0"/>
          <w:sz w:val="24"/>
          <w:szCs w:val="24"/>
          <w:highlight w:val="none"/>
          <w:lang w:val="en-US" w:eastAsia="zh-CN" w:bidi="ar-SA"/>
        </w:rPr>
        <w:t>本项目位于黑龙江省大庆市</w:t>
      </w:r>
      <w:r>
        <w:rPr>
          <w:rFonts w:hint="eastAsia" w:ascii="Times New Roman" w:hAnsi="Times New Roman" w:cs="Times New Roman"/>
          <w:color w:val="auto"/>
          <w:w w:val="99"/>
          <w:kern w:val="0"/>
          <w:sz w:val="24"/>
          <w:szCs w:val="24"/>
          <w:highlight w:val="none"/>
          <w:lang w:val="en-US" w:eastAsia="zh-CN" w:bidi="ar-SA"/>
        </w:rPr>
        <w:t>肇源县境内</w:t>
      </w:r>
      <w:r>
        <w:rPr>
          <w:rFonts w:hint="default" w:ascii="Times New Roman" w:hAnsi="Times New Roman" w:eastAsia="宋体" w:cs="Times New Roman"/>
          <w:color w:val="auto"/>
          <w:w w:val="99"/>
          <w:kern w:val="0"/>
          <w:sz w:val="24"/>
          <w:szCs w:val="24"/>
          <w:highlight w:val="none"/>
          <w:lang w:val="en-US" w:eastAsia="zh-CN" w:bidi="ar-SA"/>
        </w:rPr>
        <w:t>，根据现场勘查，项目区域内无</w:t>
      </w:r>
      <w:bookmarkStart w:id="715" w:name="_Hlk69493645"/>
      <w:r>
        <w:rPr>
          <w:rFonts w:hint="default" w:ascii="Times New Roman" w:hAnsi="Times New Roman" w:eastAsia="宋体" w:cs="Times New Roman"/>
          <w:color w:val="auto"/>
          <w:w w:val="99"/>
          <w:kern w:val="0"/>
          <w:sz w:val="24"/>
          <w:szCs w:val="24"/>
          <w:highlight w:val="none"/>
          <w:lang w:val="en-US" w:eastAsia="zh-CN" w:bidi="ar-SA"/>
        </w:rPr>
        <w:t>国家、省、市级自然保护区、世界文化和自然遗产地等特殊生态敏感区</w:t>
      </w:r>
      <w:r>
        <w:rPr>
          <w:rFonts w:hint="eastAsia" w:ascii="Times New Roman" w:hAnsi="Times New Roman" w:eastAsia="宋体" w:cs="Times New Roman"/>
          <w:color w:val="auto"/>
          <w:w w:val="99"/>
          <w:kern w:val="0"/>
          <w:sz w:val="24"/>
          <w:szCs w:val="24"/>
          <w:highlight w:val="none"/>
          <w:lang w:val="en-US" w:eastAsia="zh-CN" w:bidi="ar-SA"/>
        </w:rPr>
        <w:t>，</w:t>
      </w:r>
      <w:r>
        <w:rPr>
          <w:rFonts w:hint="default" w:ascii="Times New Roman" w:hAnsi="Times New Roman" w:eastAsia="宋体" w:cs="Times New Roman"/>
          <w:color w:val="auto"/>
          <w:w w:val="99"/>
          <w:kern w:val="0"/>
          <w:sz w:val="24"/>
          <w:szCs w:val="24"/>
          <w:highlight w:val="none"/>
          <w:lang w:val="en-US" w:eastAsia="zh-CN" w:bidi="ar-SA"/>
        </w:rPr>
        <w:t>无风景名胜区、森林公园、地质公园、重要湿地、原始天然林、珍稀濒危野生动植物天然集中分布区、重要水生生物的自然产卵场及索饵场、越冬场和洄游通道、天然渔场等重要生态敏感区</w:t>
      </w:r>
      <w:bookmarkEnd w:id="715"/>
      <w:r>
        <w:rPr>
          <w:rFonts w:hint="eastAsia" w:ascii="Times New Roman" w:hAnsi="Times New Roman" w:eastAsia="宋体" w:cs="Times New Roman"/>
          <w:color w:val="auto"/>
          <w:w w:val="99"/>
          <w:kern w:val="0"/>
          <w:sz w:val="24"/>
          <w:szCs w:val="24"/>
          <w:highlight w:val="none"/>
          <w:lang w:val="en-US" w:eastAsia="zh-CN" w:bidi="ar-SA"/>
        </w:rPr>
        <w:t>。</w:t>
      </w:r>
    </w:p>
    <w:p>
      <w:pPr>
        <w:pStyle w:val="32"/>
        <w:keepNext w:val="0"/>
        <w:keepLines w:val="0"/>
        <w:pageBreakBefore w:val="0"/>
        <w:widowControl/>
        <w:kinsoku/>
        <w:wordWrap/>
        <w:overflowPunct/>
        <w:topLinePunct w:val="0"/>
        <w:autoSpaceDE/>
        <w:autoSpaceDN/>
        <w:bidi w:val="0"/>
        <w:adjustRightInd/>
        <w:snapToGrid/>
        <w:spacing w:line="440" w:lineRule="exact"/>
        <w:ind w:left="0" w:right="0" w:firstLine="474" w:firstLineChars="200"/>
        <w:jc w:val="left"/>
        <w:textAlignment w:val="auto"/>
        <w:rPr>
          <w:rFonts w:hint="eastAsia" w:ascii="Times New Roman" w:hAnsi="Times New Roman" w:cs="Times New Roman"/>
          <w:color w:val="auto"/>
          <w:w w:val="99"/>
          <w:kern w:val="2"/>
          <w:sz w:val="24"/>
          <w:szCs w:val="24"/>
          <w:highlight w:val="none"/>
          <w:lang w:eastAsia="zh-CN"/>
        </w:rPr>
      </w:pPr>
      <w:r>
        <w:rPr>
          <w:rFonts w:hint="eastAsia" w:ascii="Times New Roman" w:hAnsi="Times New Roman" w:eastAsia="宋体" w:cs="Times New Roman"/>
          <w:color w:val="auto"/>
          <w:w w:val="99"/>
          <w:kern w:val="0"/>
          <w:sz w:val="24"/>
          <w:szCs w:val="24"/>
          <w:highlight w:val="none"/>
          <w:lang w:val="en-US" w:eastAsia="zh-CN" w:bidi="ar-SA"/>
        </w:rPr>
        <w:t>大庆市水务局在国家和省级水土流失重点预防区和重点治理区划定基础上，结合大庆市实际，划定市级水土流失重点预防区和重点治理区，本项目</w:t>
      </w:r>
      <w:r>
        <w:rPr>
          <w:rFonts w:hint="default" w:ascii="Times New Roman" w:hAnsi="Times New Roman" w:eastAsia="宋体" w:cs="Times New Roman"/>
          <w:color w:val="auto"/>
          <w:w w:val="99"/>
          <w:kern w:val="0"/>
          <w:sz w:val="24"/>
          <w:szCs w:val="24"/>
          <w:highlight w:val="none"/>
          <w:lang w:val="en-US" w:eastAsia="zh-CN" w:bidi="ar-SA"/>
        </w:rPr>
        <w:t>所在地肇源县</w:t>
      </w:r>
      <w:r>
        <w:rPr>
          <w:rFonts w:hint="eastAsia" w:ascii="Times New Roman" w:hAnsi="Times New Roman" w:cs="Times New Roman"/>
          <w:color w:val="auto"/>
          <w:w w:val="99"/>
          <w:kern w:val="0"/>
          <w:sz w:val="24"/>
          <w:szCs w:val="24"/>
          <w:highlight w:val="none"/>
          <w:lang w:val="en-US" w:eastAsia="zh-CN" w:bidi="ar-SA"/>
        </w:rPr>
        <w:t>古恰镇不属于</w:t>
      </w:r>
      <w:r>
        <w:rPr>
          <w:rFonts w:hint="eastAsia" w:ascii="Times New Roman" w:hAnsi="Times New Roman" w:eastAsia="宋体" w:cs="Times New Roman"/>
          <w:color w:val="auto"/>
          <w:w w:val="99"/>
          <w:kern w:val="0"/>
          <w:sz w:val="24"/>
          <w:szCs w:val="24"/>
          <w:highlight w:val="none"/>
          <w:lang w:val="en-US" w:eastAsia="zh-CN" w:bidi="ar-SA"/>
        </w:rPr>
        <w:t>市级水土流失重点预防区和重点治理区</w:t>
      </w:r>
      <w:r>
        <w:rPr>
          <w:rFonts w:hint="eastAsia" w:ascii="Times New Roman" w:hAnsi="Times New Roman" w:cs="Times New Roman"/>
          <w:color w:val="auto"/>
          <w:w w:val="99"/>
          <w:kern w:val="0"/>
          <w:sz w:val="24"/>
          <w:szCs w:val="24"/>
          <w:highlight w:val="none"/>
          <w:lang w:val="en-US" w:eastAsia="zh-CN" w:bidi="ar-SA"/>
        </w:rPr>
        <w:t>。</w:t>
      </w:r>
      <w:r>
        <w:rPr>
          <w:rFonts w:hint="eastAsia" w:ascii="Times New Roman" w:hAnsi="Times New Roman" w:eastAsia="宋体" w:cs="Times New Roman"/>
          <w:color w:val="auto"/>
          <w:w w:val="99"/>
          <w:kern w:val="0"/>
          <w:sz w:val="24"/>
          <w:szCs w:val="24"/>
          <w:highlight w:val="none"/>
          <w:lang w:val="en-US" w:eastAsia="zh-CN" w:bidi="ar-SA"/>
        </w:rPr>
        <w:t>治理区以“</w:t>
      </w:r>
      <w:r>
        <w:rPr>
          <w:rFonts w:hint="default" w:ascii="Times New Roman" w:hAnsi="Times New Roman" w:eastAsia="宋体" w:cs="Times New Roman"/>
          <w:color w:val="auto"/>
          <w:w w:val="99"/>
          <w:kern w:val="0"/>
          <w:sz w:val="24"/>
          <w:szCs w:val="24"/>
          <w:highlight w:val="none"/>
          <w:lang w:val="en-US" w:eastAsia="zh-CN" w:bidi="ar-SA"/>
        </w:rPr>
        <w:t>因地制宜，因害设防、重点治理与一般防治兼顾</w:t>
      </w:r>
      <w:r>
        <w:rPr>
          <w:rFonts w:hint="eastAsia" w:ascii="Times New Roman" w:hAnsi="Times New Roman" w:eastAsia="宋体" w:cs="Times New Roman"/>
          <w:color w:val="auto"/>
          <w:w w:val="99"/>
          <w:kern w:val="0"/>
          <w:sz w:val="24"/>
          <w:szCs w:val="24"/>
          <w:highlight w:val="none"/>
          <w:lang w:val="en-US" w:eastAsia="zh-CN" w:bidi="ar-SA"/>
        </w:rPr>
        <w:t>”为</w:t>
      </w:r>
      <w:r>
        <w:rPr>
          <w:rFonts w:hint="default" w:ascii="Times New Roman" w:hAnsi="Times New Roman" w:eastAsia="宋体" w:cs="Times New Roman"/>
          <w:color w:val="auto"/>
          <w:w w:val="99"/>
          <w:kern w:val="0"/>
          <w:sz w:val="24"/>
          <w:szCs w:val="24"/>
          <w:highlight w:val="none"/>
          <w:lang w:val="en-US" w:eastAsia="zh-CN" w:bidi="ar-SA"/>
        </w:rPr>
        <w:t>原则，采取各项水土保持措施</w:t>
      </w:r>
      <w:r>
        <w:rPr>
          <w:rFonts w:hint="eastAsia" w:ascii="Times New Roman" w:hAnsi="Times New Roman" w:eastAsia="宋体" w:cs="Times New Roman"/>
          <w:color w:val="auto"/>
          <w:w w:val="99"/>
          <w:kern w:val="0"/>
          <w:sz w:val="24"/>
          <w:szCs w:val="24"/>
          <w:highlight w:val="none"/>
          <w:lang w:val="en-US" w:eastAsia="zh-CN" w:bidi="ar-SA"/>
        </w:rPr>
        <w:t>。</w:t>
      </w:r>
    </w:p>
    <w:p>
      <w:pPr>
        <w:pStyle w:val="5"/>
        <w:keepNext w:val="0"/>
        <w:keepLines w:val="0"/>
        <w:widowControl w:val="0"/>
        <w:rPr>
          <w:rFonts w:ascii="Times New Roman" w:hAnsi="Times New Roman"/>
          <w:b/>
          <w:snapToGrid w:val="0"/>
          <w:color w:val="auto"/>
          <w:w w:val="99"/>
          <w:highlight w:val="none"/>
        </w:rPr>
      </w:pPr>
      <w:r>
        <w:rPr>
          <w:rFonts w:hint="default" w:ascii="Times New Roman" w:hAnsi="Times New Roman" w:eastAsia="宋体" w:cs="Times New Roman"/>
          <w:color w:val="auto"/>
          <w:w w:val="99"/>
          <w:kern w:val="0"/>
          <w:sz w:val="24"/>
          <w:szCs w:val="24"/>
          <w:highlight w:val="none"/>
          <w:lang w:val="en-US" w:eastAsia="zh-CN" w:bidi="ar-SA"/>
        </w:rPr>
        <w:t>综上所述，拟建项目主要环境保护目标分布情况见表2.8-1</w:t>
      </w:r>
      <w:r>
        <w:rPr>
          <w:rFonts w:hint="eastAsia" w:ascii="Times New Roman" w:hAnsi="Times New Roman" w:eastAsia="宋体" w:cs="Times New Roman"/>
          <w:color w:val="auto"/>
          <w:w w:val="99"/>
          <w:kern w:val="0"/>
          <w:sz w:val="24"/>
          <w:szCs w:val="24"/>
          <w:highlight w:val="none"/>
          <w:lang w:val="en-US" w:eastAsia="zh-CN" w:bidi="ar-SA"/>
        </w:rPr>
        <w:t>～表2.</w:t>
      </w:r>
      <w:r>
        <w:rPr>
          <w:rFonts w:hint="default" w:ascii="Times New Roman" w:hAnsi="Times New Roman" w:eastAsia="宋体" w:cs="Times New Roman"/>
          <w:color w:val="auto"/>
          <w:w w:val="99"/>
          <w:kern w:val="0"/>
          <w:sz w:val="24"/>
          <w:szCs w:val="24"/>
          <w:highlight w:val="none"/>
          <w:lang w:val="en-US" w:eastAsia="zh-CN" w:bidi="ar-SA"/>
        </w:rPr>
        <w:t>8</w:t>
      </w:r>
      <w:r>
        <w:rPr>
          <w:rFonts w:hint="eastAsia" w:ascii="Times New Roman" w:hAnsi="Times New Roman" w:eastAsia="宋体" w:cs="Times New Roman"/>
          <w:color w:val="auto"/>
          <w:w w:val="99"/>
          <w:kern w:val="0"/>
          <w:sz w:val="24"/>
          <w:szCs w:val="24"/>
          <w:highlight w:val="none"/>
          <w:lang w:val="en-US" w:eastAsia="zh-CN" w:bidi="ar-SA"/>
        </w:rPr>
        <w:t>-4</w:t>
      </w:r>
      <w:r>
        <w:rPr>
          <w:rFonts w:hint="default" w:ascii="Times New Roman" w:hAnsi="Times New Roman" w:eastAsia="宋体" w:cs="Times New Roman"/>
          <w:color w:val="auto"/>
          <w:w w:val="99"/>
          <w:kern w:val="0"/>
          <w:sz w:val="24"/>
          <w:szCs w:val="24"/>
          <w:highlight w:val="none"/>
          <w:lang w:val="en-US" w:eastAsia="zh-CN" w:bidi="ar-SA"/>
        </w:rPr>
        <w:t>。</w:t>
      </w:r>
    </w:p>
    <w:p>
      <w:pPr>
        <w:pStyle w:val="5"/>
        <w:keepNext w:val="0"/>
        <w:keepLines w:val="0"/>
        <w:widowControl w:val="0"/>
        <w:rPr>
          <w:rFonts w:ascii="Times New Roman" w:hAnsi="Times New Roman"/>
          <w:b/>
          <w:snapToGrid w:val="0"/>
          <w:color w:val="auto"/>
          <w:w w:val="99"/>
          <w:highlight w:val="none"/>
        </w:rPr>
      </w:pPr>
      <w:r>
        <w:rPr>
          <w:rFonts w:ascii="Times New Roman" w:hAnsi="Times New Roman"/>
          <w:b/>
          <w:snapToGrid w:val="0"/>
          <w:color w:val="auto"/>
          <w:w w:val="99"/>
          <w:highlight w:val="none"/>
        </w:rPr>
        <w:t>4.3环境质量现状调查与评价</w:t>
      </w:r>
      <w:bookmarkEnd w:id="713"/>
      <w:bookmarkEnd w:id="714"/>
    </w:p>
    <w:p>
      <w:pPr>
        <w:widowControl w:val="0"/>
        <w:spacing w:line="500" w:lineRule="exact"/>
        <w:ind w:firstLine="474" w:firstLineChars="200"/>
        <w:rPr>
          <w:rFonts w:ascii="Times New Roman" w:hAnsi="Times New Roman" w:cs="Times New Roman" w:eastAsiaTheme="minorEastAsia"/>
          <w:color w:val="auto"/>
          <w:w w:val="99"/>
          <w:kern w:val="2"/>
          <w:highlight w:val="none"/>
        </w:rPr>
      </w:pPr>
      <w:bookmarkStart w:id="716" w:name="_Toc430692059"/>
      <w:bookmarkStart w:id="717" w:name="_Toc438540824"/>
      <w:bookmarkStart w:id="718" w:name="_Toc430689874"/>
      <w:r>
        <w:rPr>
          <w:rFonts w:ascii="Times New Roman" w:hAnsi="Times New Roman" w:cs="Times New Roman" w:eastAsiaTheme="minorEastAsia"/>
          <w:color w:val="auto"/>
          <w:w w:val="99"/>
          <w:kern w:val="2"/>
          <w:highlight w:val="none"/>
        </w:rPr>
        <w:t>委托大庆中环评价检测有限公司于202</w:t>
      </w:r>
      <w:r>
        <w:rPr>
          <w:rFonts w:hint="eastAsia" w:ascii="Times New Roman" w:hAnsi="Times New Roman" w:cs="Times New Roman" w:eastAsiaTheme="minorEastAsia"/>
          <w:color w:val="auto"/>
          <w:w w:val="99"/>
          <w:kern w:val="2"/>
          <w:highlight w:val="none"/>
          <w:lang w:val="en-US" w:eastAsia="zh-CN"/>
        </w:rPr>
        <w:t>2</w:t>
      </w:r>
      <w:r>
        <w:rPr>
          <w:rFonts w:ascii="Times New Roman" w:hAnsi="Times New Roman" w:cs="Times New Roman" w:eastAsiaTheme="minorEastAsia"/>
          <w:color w:val="auto"/>
          <w:w w:val="99"/>
          <w:kern w:val="2"/>
          <w:highlight w:val="none"/>
        </w:rPr>
        <w:t>年</w:t>
      </w:r>
      <w:r>
        <w:rPr>
          <w:rFonts w:hint="eastAsia" w:ascii="Times New Roman" w:hAnsi="Times New Roman" w:cs="Times New Roman" w:eastAsiaTheme="minorEastAsia"/>
          <w:color w:val="auto"/>
          <w:w w:val="99"/>
          <w:kern w:val="2"/>
          <w:highlight w:val="none"/>
          <w:lang w:val="en-US" w:eastAsia="zh-CN"/>
        </w:rPr>
        <w:t>1</w:t>
      </w:r>
      <w:r>
        <w:rPr>
          <w:rFonts w:ascii="Times New Roman" w:hAnsi="Times New Roman" w:cs="Times New Roman" w:eastAsiaTheme="minorEastAsia"/>
          <w:color w:val="auto"/>
          <w:w w:val="99"/>
          <w:kern w:val="2"/>
          <w:highlight w:val="none"/>
        </w:rPr>
        <w:t>月</w:t>
      </w:r>
      <w:r>
        <w:rPr>
          <w:rFonts w:hint="eastAsia" w:ascii="Times New Roman" w:hAnsi="Times New Roman" w:cs="Times New Roman" w:eastAsiaTheme="minorEastAsia"/>
          <w:color w:val="auto"/>
          <w:w w:val="99"/>
          <w:kern w:val="2"/>
          <w:highlight w:val="none"/>
          <w:lang w:val="en-US" w:eastAsia="zh-CN"/>
        </w:rPr>
        <w:t>18</w:t>
      </w:r>
      <w:r>
        <w:rPr>
          <w:rFonts w:ascii="Times New Roman" w:hAnsi="Times New Roman" w:cs="Times New Roman" w:eastAsiaTheme="minorEastAsia"/>
          <w:color w:val="auto"/>
          <w:w w:val="99"/>
          <w:kern w:val="2"/>
          <w:highlight w:val="none"/>
        </w:rPr>
        <w:t>日至202</w:t>
      </w:r>
      <w:r>
        <w:rPr>
          <w:rFonts w:hint="eastAsia" w:ascii="Times New Roman" w:hAnsi="Times New Roman" w:cs="Times New Roman" w:eastAsiaTheme="minorEastAsia"/>
          <w:color w:val="auto"/>
          <w:w w:val="99"/>
          <w:kern w:val="2"/>
          <w:highlight w:val="none"/>
          <w:lang w:val="en-US" w:eastAsia="zh-CN"/>
        </w:rPr>
        <w:t>2</w:t>
      </w:r>
      <w:r>
        <w:rPr>
          <w:rFonts w:ascii="Times New Roman" w:hAnsi="Times New Roman" w:cs="Times New Roman" w:eastAsiaTheme="minorEastAsia"/>
          <w:color w:val="auto"/>
          <w:w w:val="99"/>
          <w:kern w:val="2"/>
          <w:highlight w:val="none"/>
        </w:rPr>
        <w:t>年</w:t>
      </w:r>
      <w:r>
        <w:rPr>
          <w:rFonts w:hint="eastAsia" w:ascii="Times New Roman" w:hAnsi="Times New Roman" w:cs="Times New Roman" w:eastAsiaTheme="minorEastAsia"/>
          <w:color w:val="auto"/>
          <w:w w:val="99"/>
          <w:kern w:val="2"/>
          <w:highlight w:val="none"/>
          <w:lang w:val="en-US" w:eastAsia="zh-CN"/>
        </w:rPr>
        <w:t>1</w:t>
      </w:r>
      <w:r>
        <w:rPr>
          <w:rFonts w:ascii="Times New Roman" w:hAnsi="Times New Roman" w:cs="Times New Roman" w:eastAsiaTheme="minorEastAsia"/>
          <w:color w:val="auto"/>
          <w:w w:val="99"/>
          <w:kern w:val="2"/>
          <w:highlight w:val="none"/>
        </w:rPr>
        <w:t>月2</w:t>
      </w:r>
      <w:r>
        <w:rPr>
          <w:rFonts w:hint="eastAsia" w:ascii="Times New Roman" w:hAnsi="Times New Roman" w:cs="Times New Roman" w:eastAsiaTheme="minorEastAsia"/>
          <w:color w:val="auto"/>
          <w:w w:val="99"/>
          <w:kern w:val="2"/>
          <w:highlight w:val="none"/>
          <w:lang w:val="en-US" w:eastAsia="zh-CN"/>
        </w:rPr>
        <w:t>4</w:t>
      </w:r>
      <w:r>
        <w:rPr>
          <w:rFonts w:ascii="Times New Roman" w:hAnsi="Times New Roman" w:cs="Times New Roman" w:eastAsiaTheme="minorEastAsia"/>
          <w:color w:val="auto"/>
          <w:w w:val="99"/>
          <w:kern w:val="2"/>
          <w:highlight w:val="none"/>
        </w:rPr>
        <w:t>日对评价范围内</w:t>
      </w:r>
      <w:r>
        <w:rPr>
          <w:rFonts w:hint="eastAsia" w:ascii="Times New Roman" w:hAnsi="Times New Roman" w:cs="Times New Roman" w:eastAsiaTheme="minorEastAsia"/>
          <w:color w:val="auto"/>
          <w:w w:val="99"/>
          <w:kern w:val="2"/>
          <w:highlight w:val="none"/>
        </w:rPr>
        <w:t>环境空气、声环境、地下水、包气带、土壤、地表水</w:t>
      </w:r>
      <w:r>
        <w:rPr>
          <w:rFonts w:ascii="Times New Roman" w:hAnsi="Times New Roman" w:cs="Times New Roman" w:eastAsiaTheme="minorEastAsia"/>
          <w:color w:val="auto"/>
          <w:w w:val="99"/>
          <w:kern w:val="2"/>
          <w:highlight w:val="none"/>
        </w:rPr>
        <w:t>质量现状进行了监测。</w:t>
      </w:r>
    </w:p>
    <w:p>
      <w:pPr>
        <w:pStyle w:val="7"/>
        <w:keepNext w:val="0"/>
        <w:keepLines w:val="0"/>
        <w:widowControl w:val="0"/>
        <w:ind w:firstLine="238" w:firstLineChars="100"/>
        <w:rPr>
          <w:b/>
          <w:color w:val="auto"/>
          <w:w w:val="99"/>
          <w:kern w:val="2"/>
          <w:sz w:val="24"/>
          <w:szCs w:val="24"/>
          <w:highlight w:val="none"/>
        </w:rPr>
      </w:pPr>
      <w:bookmarkStart w:id="719" w:name="_Toc29644701"/>
      <w:bookmarkStart w:id="720" w:name="_Toc67523641"/>
      <w:bookmarkStart w:id="721" w:name="_Toc29643949"/>
      <w:bookmarkStart w:id="722" w:name="_Toc74812131"/>
      <w:bookmarkStart w:id="723" w:name="_Toc29642917"/>
      <w:bookmarkStart w:id="724" w:name="_Toc71371993"/>
      <w:bookmarkStart w:id="725" w:name="_Toc57707954"/>
      <w:bookmarkStart w:id="726" w:name="_Toc34124483"/>
      <w:bookmarkStart w:id="727" w:name="_Toc74812370"/>
      <w:bookmarkStart w:id="728" w:name="_Toc38545054"/>
      <w:bookmarkStart w:id="729" w:name="_Toc38296421"/>
      <w:bookmarkStart w:id="730" w:name="_Toc69690859"/>
      <w:bookmarkStart w:id="731" w:name="_Toc61597270"/>
      <w:bookmarkStart w:id="732" w:name="_Toc57976706"/>
      <w:bookmarkStart w:id="733" w:name="_Toc80105199"/>
      <w:bookmarkStart w:id="734" w:name="_Toc57203284"/>
      <w:bookmarkStart w:id="735" w:name="_Toc31473"/>
      <w:bookmarkStart w:id="736" w:name="_Toc41655198"/>
      <w:bookmarkStart w:id="737" w:name="_Toc77667343"/>
      <w:r>
        <w:rPr>
          <w:b/>
          <w:color w:val="auto"/>
          <w:w w:val="99"/>
          <w:kern w:val="2"/>
          <w:sz w:val="24"/>
          <w:szCs w:val="24"/>
          <w:highlight w:val="none"/>
        </w:rPr>
        <w:t>4.3.1环境空气质量现状监测与评价</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4.3.1.1环境空气质量达标区判定</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本项目区域环境空气质量引用《2020年大庆市生态环境状况公报》，2020年，大庆市共进行了366天有效环境空气质量自动监测，其中全年环境空气质量优良天数为326天，环境空气质量优良率为89.1%。2020年，大庆市城区环境空气中二氧化硫年均浓度为9μg/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，日均值浓度范围为3～39μg/m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，优于国家环境空气质量一级标准限值；二氧化氮年均浓度为18μg/m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，日均值浓度范围为4～59μg/m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，优于国家环境空气质量一级标准限值；可吸入颗粒物（PM</w:t>
      </w:r>
      <w:r>
        <w:rPr>
          <w:rFonts w:ascii="Times New Roman" w:hAnsi="Times New Roman" w:cs="Times New Roman" w:eastAsiaTheme="minorEastAsia"/>
          <w:color w:val="auto"/>
          <w:w w:val="99"/>
          <w:kern w:val="2"/>
          <w:szCs w:val="20"/>
          <w:highlight w:val="none"/>
          <w:vertAlign w:val="subscript"/>
        </w:rPr>
        <w:t>10</w:t>
      </w:r>
      <w:r>
        <w:rPr>
          <w:rFonts w:ascii="Times New Roman" w:hAnsi="Times New Roman" w:cs="Times New Roman" w:eastAsiaTheme="minorEastAsia"/>
          <w:color w:val="auto"/>
          <w:w w:val="99"/>
          <w:kern w:val="2"/>
          <w:szCs w:val="20"/>
          <w:highlight w:val="none"/>
        </w:rPr>
        <w:t>）年均浓度为45μg/m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，优于国家环境空气质量二级标准限值；细颗粒物（PM</w:t>
      </w:r>
      <w:r>
        <w:rPr>
          <w:rFonts w:ascii="Times New Roman" w:hAnsi="Times New Roman" w:cs="Times New Roman" w:eastAsiaTheme="minorEastAsia"/>
          <w:color w:val="auto"/>
          <w:w w:val="99"/>
          <w:kern w:val="2"/>
          <w:szCs w:val="20"/>
          <w:highlight w:val="none"/>
          <w:vertAlign w:val="subscript"/>
        </w:rPr>
        <w:t>2.5</w:t>
      </w:r>
      <w:r>
        <w:rPr>
          <w:rFonts w:ascii="Times New Roman" w:hAnsi="Times New Roman" w:cs="Times New Roman" w:eastAsiaTheme="minorEastAsia"/>
          <w:color w:val="auto"/>
          <w:w w:val="99"/>
          <w:kern w:val="2"/>
          <w:szCs w:val="20"/>
          <w:highlight w:val="none"/>
        </w:rPr>
        <w:t>）年均浓度为28μg/m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w:t>
      </w:r>
      <w:r>
        <w:rPr>
          <w:rFonts w:hint="eastAsia" w:ascii="Times New Roman" w:hAnsi="Times New Roman" w:cs="Times New Roman" w:eastAsiaTheme="minorEastAsia"/>
          <w:color w:val="auto"/>
          <w:w w:val="99"/>
          <w:kern w:val="2"/>
          <w:szCs w:val="20"/>
          <w:highlight w:val="none"/>
        </w:rPr>
        <w:t>优于国家环境空气质量二级标准限值</w:t>
      </w:r>
      <w:r>
        <w:rPr>
          <w:rFonts w:ascii="Times New Roman" w:hAnsi="Times New Roman" w:cs="Times New Roman" w:eastAsiaTheme="minorEastAsia"/>
          <w:color w:val="auto"/>
          <w:w w:val="99"/>
          <w:kern w:val="2"/>
          <w:szCs w:val="20"/>
          <w:highlight w:val="none"/>
        </w:rPr>
        <w:t>；一氧化碳24小时平均第95百分位数为1.1mg/m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，日均浓度范围为0.2～2.0mg/m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,优于国家环境空气质量一级标准限值；臭氧最大8小时平均第90百分位数为130μg/m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，日均值浓度范围为26～219μg/m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，优于国家环境空气质量二级标准限值。</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本项目区域空气质量现状评价见表4.3-1。</w:t>
      </w:r>
    </w:p>
    <w:p>
      <w:pPr>
        <w:widowControl w:val="0"/>
        <w:spacing w:line="500" w:lineRule="exact"/>
        <w:ind w:firstLine="474" w:firstLineChars="200"/>
        <w:rPr>
          <w:rFonts w:ascii="Times New Roman" w:hAnsi="Times New Roman" w:cs="Times New Roman" w:eastAsiaTheme="minorEastAsia"/>
          <w:bCs/>
          <w:color w:val="auto"/>
          <w:w w:val="99"/>
          <w:kern w:val="2"/>
          <w:szCs w:val="20"/>
          <w:highlight w:val="none"/>
        </w:rPr>
      </w:pPr>
      <w:r>
        <w:rPr>
          <w:rFonts w:ascii="Times New Roman" w:hAnsi="Times New Roman" w:cs="Times New Roman" w:eastAsiaTheme="minorEastAsia"/>
          <w:color w:val="auto"/>
          <w:w w:val="99"/>
          <w:kern w:val="2"/>
          <w:szCs w:val="20"/>
          <w:highlight w:val="none"/>
        </w:rPr>
        <w:t>表4.3-1</w:t>
      </w:r>
      <w:r>
        <w:rPr>
          <w:rFonts w:ascii="Times New Roman" w:hAnsi="Times New Roman" w:cs="Times New Roman" w:eastAsiaTheme="minorEastAsia"/>
          <w:bCs/>
          <w:color w:val="auto"/>
          <w:w w:val="99"/>
          <w:kern w:val="2"/>
          <w:szCs w:val="20"/>
          <w:highlight w:val="none"/>
        </w:rPr>
        <w:t xml:space="preserve">                 区域空气质量现状评价表</w:t>
      </w:r>
    </w:p>
    <w:tbl>
      <w:tblPr>
        <w:tblStyle w:val="8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2702"/>
        <w:gridCol w:w="1363"/>
        <w:gridCol w:w="1365"/>
        <w:gridCol w:w="1365"/>
        <w:gridCol w:w="13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污染物</w:t>
            </w:r>
          </w:p>
        </w:tc>
        <w:tc>
          <w:tcPr>
            <w:tcW w:w="145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年评价指标</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现状浓度</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标准值</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占标率</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SO</w:t>
            </w:r>
            <w:r>
              <w:rPr>
                <w:rFonts w:ascii="Times New Roman" w:hAnsi="Times New Roman" w:cs="Times New Roman" w:eastAsiaTheme="minorEastAsia"/>
                <w:color w:val="auto"/>
                <w:w w:val="99"/>
                <w:kern w:val="2"/>
                <w:sz w:val="21"/>
                <w:szCs w:val="21"/>
                <w:highlight w:val="none"/>
                <w:vertAlign w:val="subscript"/>
              </w:rPr>
              <w:t>2</w:t>
            </w:r>
          </w:p>
        </w:tc>
        <w:tc>
          <w:tcPr>
            <w:tcW w:w="145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年平均质量浓度</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9μg/m</w:t>
            </w:r>
            <w:r>
              <w:rPr>
                <w:rFonts w:ascii="Times New Roman" w:hAnsi="Times New Roman" w:cs="Times New Roman" w:eastAsiaTheme="minorEastAsia"/>
                <w:color w:val="auto"/>
                <w:w w:val="99"/>
                <w:kern w:val="2"/>
                <w:sz w:val="21"/>
                <w:szCs w:val="21"/>
                <w:highlight w:val="none"/>
                <w:vertAlign w:val="superscript"/>
              </w:rPr>
              <w:t>3</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60μg/m</w:t>
            </w:r>
            <w:r>
              <w:rPr>
                <w:rFonts w:ascii="Times New Roman" w:hAnsi="Times New Roman" w:cs="Times New Roman" w:eastAsiaTheme="minorEastAsia"/>
                <w:color w:val="auto"/>
                <w:w w:val="99"/>
                <w:kern w:val="2"/>
                <w:sz w:val="21"/>
                <w:szCs w:val="21"/>
                <w:highlight w:val="none"/>
                <w:vertAlign w:val="superscript"/>
              </w:rPr>
              <w:t>3</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15%</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NO</w:t>
            </w:r>
            <w:r>
              <w:rPr>
                <w:rFonts w:ascii="Times New Roman" w:hAnsi="Times New Roman" w:cs="Times New Roman" w:eastAsiaTheme="minorEastAsia"/>
                <w:color w:val="auto"/>
                <w:w w:val="99"/>
                <w:kern w:val="2"/>
                <w:sz w:val="21"/>
                <w:szCs w:val="21"/>
                <w:highlight w:val="none"/>
                <w:vertAlign w:val="subscript"/>
              </w:rPr>
              <w:t>2</w:t>
            </w:r>
          </w:p>
        </w:tc>
        <w:tc>
          <w:tcPr>
            <w:tcW w:w="145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年平均质量浓度</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18μg/m</w:t>
            </w:r>
            <w:r>
              <w:rPr>
                <w:rFonts w:ascii="Times New Roman" w:hAnsi="Times New Roman" w:cs="Times New Roman" w:eastAsiaTheme="minorEastAsia"/>
                <w:color w:val="auto"/>
                <w:w w:val="99"/>
                <w:kern w:val="2"/>
                <w:sz w:val="21"/>
                <w:szCs w:val="21"/>
                <w:highlight w:val="none"/>
                <w:vertAlign w:val="superscript"/>
              </w:rPr>
              <w:t>3</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40μg/m</w:t>
            </w:r>
            <w:r>
              <w:rPr>
                <w:rFonts w:ascii="Times New Roman" w:hAnsi="Times New Roman" w:cs="Times New Roman" w:eastAsiaTheme="minorEastAsia"/>
                <w:color w:val="auto"/>
                <w:w w:val="99"/>
                <w:kern w:val="2"/>
                <w:sz w:val="21"/>
                <w:szCs w:val="21"/>
                <w:highlight w:val="none"/>
                <w:vertAlign w:val="superscript"/>
              </w:rPr>
              <w:t>3</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45%</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PM</w:t>
            </w:r>
            <w:r>
              <w:rPr>
                <w:rFonts w:ascii="Times New Roman" w:hAnsi="Times New Roman" w:cs="Times New Roman" w:eastAsiaTheme="minorEastAsia"/>
                <w:color w:val="auto"/>
                <w:w w:val="99"/>
                <w:kern w:val="2"/>
                <w:sz w:val="21"/>
                <w:szCs w:val="21"/>
                <w:highlight w:val="none"/>
                <w:vertAlign w:val="subscript"/>
              </w:rPr>
              <w:t>10</w:t>
            </w:r>
          </w:p>
        </w:tc>
        <w:tc>
          <w:tcPr>
            <w:tcW w:w="145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年平均质量浓度</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45μg/m</w:t>
            </w:r>
            <w:r>
              <w:rPr>
                <w:rFonts w:ascii="Times New Roman" w:hAnsi="Times New Roman" w:cs="Times New Roman" w:eastAsiaTheme="minorEastAsia"/>
                <w:color w:val="auto"/>
                <w:w w:val="99"/>
                <w:kern w:val="2"/>
                <w:sz w:val="21"/>
                <w:szCs w:val="21"/>
                <w:highlight w:val="none"/>
                <w:vertAlign w:val="superscript"/>
              </w:rPr>
              <w:t>3</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70μg/m</w:t>
            </w:r>
            <w:r>
              <w:rPr>
                <w:rFonts w:ascii="Times New Roman" w:hAnsi="Times New Roman" w:cs="Times New Roman" w:eastAsiaTheme="minorEastAsia"/>
                <w:color w:val="auto"/>
                <w:w w:val="99"/>
                <w:kern w:val="2"/>
                <w:sz w:val="21"/>
                <w:szCs w:val="21"/>
                <w:highlight w:val="none"/>
                <w:vertAlign w:val="superscript"/>
              </w:rPr>
              <w:t>3</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64.3%</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PM</w:t>
            </w:r>
            <w:r>
              <w:rPr>
                <w:rFonts w:ascii="Times New Roman" w:hAnsi="Times New Roman" w:cs="Times New Roman" w:eastAsiaTheme="minorEastAsia"/>
                <w:color w:val="auto"/>
                <w:w w:val="99"/>
                <w:kern w:val="2"/>
                <w:sz w:val="21"/>
                <w:szCs w:val="21"/>
                <w:highlight w:val="none"/>
                <w:vertAlign w:val="subscript"/>
              </w:rPr>
              <w:t>2.5</w:t>
            </w:r>
          </w:p>
        </w:tc>
        <w:tc>
          <w:tcPr>
            <w:tcW w:w="145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年平均质量浓度</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28μg/m</w:t>
            </w:r>
            <w:r>
              <w:rPr>
                <w:rFonts w:ascii="Times New Roman" w:hAnsi="Times New Roman" w:cs="Times New Roman" w:eastAsiaTheme="minorEastAsia"/>
                <w:color w:val="auto"/>
                <w:w w:val="99"/>
                <w:kern w:val="2"/>
                <w:sz w:val="21"/>
                <w:szCs w:val="21"/>
                <w:highlight w:val="none"/>
                <w:vertAlign w:val="superscript"/>
              </w:rPr>
              <w:t>3</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35μg/m</w:t>
            </w:r>
            <w:r>
              <w:rPr>
                <w:rFonts w:ascii="Times New Roman" w:hAnsi="Times New Roman" w:cs="Times New Roman" w:eastAsiaTheme="minorEastAsia"/>
                <w:color w:val="auto"/>
                <w:w w:val="99"/>
                <w:kern w:val="2"/>
                <w:sz w:val="21"/>
                <w:szCs w:val="21"/>
                <w:highlight w:val="none"/>
                <w:vertAlign w:val="superscript"/>
              </w:rPr>
              <w:t>3</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80%</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CO</w:t>
            </w:r>
          </w:p>
        </w:tc>
        <w:tc>
          <w:tcPr>
            <w:tcW w:w="145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第95位日平均质量浓度</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1.1mg/m</w:t>
            </w:r>
            <w:r>
              <w:rPr>
                <w:rFonts w:ascii="Times New Roman" w:hAnsi="Times New Roman" w:cs="Times New Roman" w:eastAsiaTheme="minorEastAsia"/>
                <w:color w:val="auto"/>
                <w:w w:val="99"/>
                <w:kern w:val="2"/>
                <w:sz w:val="21"/>
                <w:szCs w:val="21"/>
                <w:highlight w:val="none"/>
                <w:vertAlign w:val="superscript"/>
              </w:rPr>
              <w:t>3</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4mg/m</w:t>
            </w:r>
            <w:r>
              <w:rPr>
                <w:rFonts w:ascii="Times New Roman" w:hAnsi="Times New Roman" w:cs="Times New Roman" w:eastAsiaTheme="minorEastAsia"/>
                <w:color w:val="auto"/>
                <w:w w:val="99"/>
                <w:kern w:val="2"/>
                <w:sz w:val="21"/>
                <w:szCs w:val="21"/>
                <w:highlight w:val="none"/>
                <w:vertAlign w:val="superscript"/>
              </w:rPr>
              <w:t>3</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27.5%</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O</w:t>
            </w:r>
            <w:r>
              <w:rPr>
                <w:rFonts w:ascii="Times New Roman" w:hAnsi="Times New Roman" w:cs="Times New Roman" w:eastAsiaTheme="minorEastAsia"/>
                <w:color w:val="auto"/>
                <w:w w:val="99"/>
                <w:kern w:val="2"/>
                <w:sz w:val="21"/>
                <w:szCs w:val="21"/>
                <w:highlight w:val="none"/>
                <w:vertAlign w:val="subscript"/>
              </w:rPr>
              <w:t>3</w:t>
            </w:r>
          </w:p>
        </w:tc>
        <w:tc>
          <w:tcPr>
            <w:tcW w:w="145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第90位8h平均质量浓度</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130μg/m</w:t>
            </w:r>
            <w:r>
              <w:rPr>
                <w:rFonts w:ascii="Times New Roman" w:hAnsi="Times New Roman" w:cs="Times New Roman" w:eastAsiaTheme="minorEastAsia"/>
                <w:color w:val="auto"/>
                <w:w w:val="99"/>
                <w:kern w:val="2"/>
                <w:sz w:val="21"/>
                <w:szCs w:val="21"/>
                <w:highlight w:val="none"/>
                <w:vertAlign w:val="superscript"/>
              </w:rPr>
              <w:t>3</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160μg/m</w:t>
            </w:r>
            <w:r>
              <w:rPr>
                <w:rFonts w:ascii="Times New Roman" w:hAnsi="Times New Roman" w:cs="Times New Roman" w:eastAsiaTheme="minorEastAsia"/>
                <w:color w:val="auto"/>
                <w:w w:val="99"/>
                <w:kern w:val="2"/>
                <w:sz w:val="21"/>
                <w:szCs w:val="21"/>
                <w:highlight w:val="none"/>
                <w:vertAlign w:val="superscript"/>
              </w:rPr>
              <w:t>3</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81.25%</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达标</w:t>
            </w:r>
          </w:p>
        </w:tc>
      </w:tr>
    </w:tbl>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szCs w:val="22"/>
          <w:highlight w:val="none"/>
        </w:rPr>
        <w:t>以上统计结果表明，项目所在区域内空气污染因子PM</w:t>
      </w:r>
      <w:r>
        <w:rPr>
          <w:rFonts w:ascii="Times New Roman" w:hAnsi="Times New Roman" w:cs="Times New Roman" w:eastAsiaTheme="minorEastAsia"/>
          <w:color w:val="auto"/>
          <w:w w:val="99"/>
          <w:kern w:val="2"/>
          <w:szCs w:val="22"/>
          <w:highlight w:val="none"/>
          <w:vertAlign w:val="subscript"/>
        </w:rPr>
        <w:t>10</w:t>
      </w:r>
      <w:r>
        <w:rPr>
          <w:rFonts w:ascii="Times New Roman" w:hAnsi="Times New Roman" w:cs="Times New Roman" w:eastAsiaTheme="minorEastAsia"/>
          <w:color w:val="auto"/>
          <w:w w:val="99"/>
          <w:kern w:val="2"/>
          <w:szCs w:val="22"/>
          <w:highlight w:val="none"/>
        </w:rPr>
        <w:t>、PM</w:t>
      </w:r>
      <w:r>
        <w:rPr>
          <w:rFonts w:ascii="Times New Roman" w:hAnsi="Times New Roman" w:cs="Times New Roman" w:eastAsiaTheme="minorEastAsia"/>
          <w:color w:val="auto"/>
          <w:w w:val="99"/>
          <w:kern w:val="2"/>
          <w:szCs w:val="22"/>
          <w:highlight w:val="none"/>
          <w:vertAlign w:val="subscript"/>
        </w:rPr>
        <w:t>2.5</w:t>
      </w:r>
      <w:r>
        <w:rPr>
          <w:rFonts w:ascii="Times New Roman" w:hAnsi="Times New Roman" w:cs="Times New Roman" w:eastAsiaTheme="minorEastAsia"/>
          <w:color w:val="auto"/>
          <w:w w:val="99"/>
          <w:kern w:val="2"/>
          <w:szCs w:val="22"/>
          <w:highlight w:val="none"/>
        </w:rPr>
        <w:t>、SO</w:t>
      </w:r>
      <w:r>
        <w:rPr>
          <w:rFonts w:ascii="Times New Roman" w:hAnsi="Times New Roman" w:cs="Times New Roman" w:eastAsiaTheme="minorEastAsia"/>
          <w:color w:val="auto"/>
          <w:w w:val="99"/>
          <w:kern w:val="2"/>
          <w:szCs w:val="22"/>
          <w:highlight w:val="none"/>
          <w:vertAlign w:val="subscript"/>
        </w:rPr>
        <w:t>2</w:t>
      </w:r>
      <w:r>
        <w:rPr>
          <w:rFonts w:ascii="Times New Roman" w:hAnsi="Times New Roman" w:cs="Times New Roman" w:eastAsiaTheme="minorEastAsia"/>
          <w:color w:val="auto"/>
          <w:w w:val="99"/>
          <w:kern w:val="2"/>
          <w:szCs w:val="22"/>
          <w:highlight w:val="none"/>
        </w:rPr>
        <w:t>、NO</w:t>
      </w:r>
      <w:r>
        <w:rPr>
          <w:rFonts w:ascii="Times New Roman" w:hAnsi="Times New Roman" w:cs="Times New Roman" w:eastAsiaTheme="minorEastAsia"/>
          <w:color w:val="auto"/>
          <w:w w:val="99"/>
          <w:kern w:val="2"/>
          <w:szCs w:val="22"/>
          <w:highlight w:val="none"/>
          <w:vertAlign w:val="subscript"/>
        </w:rPr>
        <w:t>2</w:t>
      </w:r>
      <w:r>
        <w:rPr>
          <w:rFonts w:ascii="Times New Roman" w:hAnsi="Times New Roman" w:cs="Times New Roman" w:eastAsiaTheme="minorEastAsia"/>
          <w:color w:val="auto"/>
          <w:w w:val="99"/>
          <w:kern w:val="2"/>
          <w:szCs w:val="22"/>
          <w:highlight w:val="none"/>
        </w:rPr>
        <w:t>、CO、O</w:t>
      </w:r>
      <w:r>
        <w:rPr>
          <w:rFonts w:ascii="Times New Roman" w:hAnsi="Times New Roman" w:cs="Times New Roman" w:eastAsiaTheme="minorEastAsia"/>
          <w:color w:val="auto"/>
          <w:w w:val="99"/>
          <w:kern w:val="2"/>
          <w:szCs w:val="22"/>
          <w:highlight w:val="none"/>
          <w:vertAlign w:val="subscript"/>
        </w:rPr>
        <w:t>3</w:t>
      </w:r>
      <w:r>
        <w:rPr>
          <w:rFonts w:ascii="Times New Roman" w:hAnsi="Times New Roman" w:cs="Times New Roman" w:eastAsiaTheme="minorEastAsia"/>
          <w:color w:val="auto"/>
          <w:w w:val="99"/>
          <w:kern w:val="2"/>
          <w:szCs w:val="22"/>
          <w:highlight w:val="none"/>
        </w:rPr>
        <w:t>均满足《环境空气质量标准》（GB3095-2012）及其修改单中二级标准的要求，判定项目所在区域为达标区。</w:t>
      </w:r>
    </w:p>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4.3.1.2环境空气质量现状补充监测</w:t>
      </w:r>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（1）监测点位布设</w:t>
      </w:r>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r>
        <w:rPr>
          <w:rFonts w:hint="eastAsia" w:ascii="Times New Roman" w:hAnsi="Times New Roman" w:cs="Times New Roman" w:eastAsiaTheme="minorEastAsia"/>
          <w:bCs/>
          <w:color w:val="auto"/>
          <w:w w:val="99"/>
          <w:kern w:val="21"/>
          <w:highlight w:val="none"/>
        </w:rPr>
        <w:t>根据《环境影响评价技术导则 大气环境》（</w:t>
      </w:r>
      <w:r>
        <w:rPr>
          <w:rFonts w:ascii="Times New Roman" w:hAnsi="Times New Roman" w:cs="Times New Roman" w:eastAsiaTheme="minorEastAsia"/>
          <w:bCs/>
          <w:color w:val="auto"/>
          <w:w w:val="99"/>
          <w:kern w:val="21"/>
          <w:highlight w:val="none"/>
        </w:rPr>
        <w:t>HJ2.2—2018</w:t>
      </w:r>
      <w:r>
        <w:rPr>
          <w:rFonts w:hint="eastAsia" w:ascii="Times New Roman" w:hAnsi="Times New Roman" w:cs="Times New Roman" w:eastAsiaTheme="minorEastAsia"/>
          <w:bCs/>
          <w:color w:val="auto"/>
          <w:w w:val="99"/>
          <w:kern w:val="21"/>
          <w:highlight w:val="none"/>
        </w:rPr>
        <w:t>），以近</w:t>
      </w:r>
      <w:r>
        <w:rPr>
          <w:rFonts w:ascii="Times New Roman" w:hAnsi="Times New Roman" w:cs="Times New Roman" w:eastAsiaTheme="minorEastAsia"/>
          <w:bCs/>
          <w:color w:val="auto"/>
          <w:w w:val="99"/>
          <w:kern w:val="21"/>
          <w:highlight w:val="none"/>
        </w:rPr>
        <w:t>20年统计的当地主导风向为轴向，在厂址及主导风向下风向 5 km范围内设置 1～2 个监测点。</w:t>
      </w:r>
      <w:r>
        <w:rPr>
          <w:rFonts w:hint="eastAsia" w:ascii="Times New Roman" w:hAnsi="Times New Roman" w:cs="Times New Roman" w:eastAsiaTheme="minorEastAsia"/>
          <w:bCs/>
          <w:color w:val="auto"/>
          <w:w w:val="99"/>
          <w:kern w:val="21"/>
          <w:highlight w:val="none"/>
        </w:rPr>
        <w:t>项目</w:t>
      </w:r>
      <w:r>
        <w:rPr>
          <w:rFonts w:ascii="Times New Roman" w:hAnsi="Times New Roman" w:cs="Times New Roman" w:eastAsiaTheme="minorEastAsia"/>
          <w:bCs/>
          <w:color w:val="auto"/>
          <w:w w:val="99"/>
          <w:kern w:val="21"/>
          <w:highlight w:val="none"/>
        </w:rPr>
        <w:t>区域主导风向为</w:t>
      </w:r>
      <w:r>
        <w:rPr>
          <w:rFonts w:hint="eastAsia" w:ascii="Times New Roman" w:hAnsi="Times New Roman" w:cs="Times New Roman" w:eastAsiaTheme="minorEastAsia"/>
          <w:bCs/>
          <w:color w:val="auto"/>
          <w:w w:val="99"/>
          <w:kern w:val="21"/>
          <w:highlight w:val="none"/>
        </w:rPr>
        <w:t>西北风</w:t>
      </w:r>
      <w:r>
        <w:rPr>
          <w:rFonts w:ascii="Times New Roman" w:hAnsi="Times New Roman" w:cs="Times New Roman" w:eastAsiaTheme="minorEastAsia"/>
          <w:bCs/>
          <w:color w:val="auto"/>
          <w:w w:val="99"/>
          <w:kern w:val="21"/>
          <w:highlight w:val="none"/>
        </w:rPr>
        <w:t>，且本项目井位</w:t>
      </w:r>
      <w:r>
        <w:rPr>
          <w:rFonts w:hint="eastAsia" w:ascii="Times New Roman" w:hAnsi="Times New Roman" w:cs="Times New Roman" w:eastAsiaTheme="minorEastAsia"/>
          <w:bCs/>
          <w:color w:val="auto"/>
          <w:w w:val="99"/>
          <w:kern w:val="21"/>
          <w:highlight w:val="none"/>
        </w:rPr>
        <w:t>较</w:t>
      </w:r>
      <w:r>
        <w:rPr>
          <w:rFonts w:ascii="Times New Roman" w:hAnsi="Times New Roman" w:cs="Times New Roman" w:eastAsiaTheme="minorEastAsia"/>
          <w:bCs/>
          <w:color w:val="auto"/>
          <w:w w:val="99"/>
          <w:kern w:val="21"/>
          <w:highlight w:val="none"/>
        </w:rPr>
        <w:t>分散，因此根据</w:t>
      </w:r>
      <w:r>
        <w:rPr>
          <w:rFonts w:hint="eastAsia" w:ascii="Times New Roman" w:hAnsi="Times New Roman" w:cs="Times New Roman" w:eastAsiaTheme="minorEastAsia"/>
          <w:bCs/>
          <w:color w:val="auto"/>
          <w:w w:val="99"/>
          <w:kern w:val="21"/>
          <w:highlight w:val="none"/>
        </w:rPr>
        <w:t>区域</w:t>
      </w:r>
      <w:r>
        <w:rPr>
          <w:rFonts w:ascii="Times New Roman" w:hAnsi="Times New Roman" w:cs="Times New Roman" w:eastAsiaTheme="minorEastAsia"/>
          <w:bCs/>
          <w:color w:val="auto"/>
          <w:w w:val="99"/>
          <w:kern w:val="21"/>
          <w:highlight w:val="none"/>
        </w:rPr>
        <w:t>井位分布特点</w:t>
      </w:r>
      <w:r>
        <w:rPr>
          <w:rFonts w:hint="eastAsia" w:ascii="Times New Roman" w:hAnsi="Times New Roman" w:cs="Times New Roman" w:eastAsiaTheme="minorEastAsia"/>
          <w:bCs/>
          <w:color w:val="auto"/>
          <w:w w:val="99"/>
          <w:kern w:val="21"/>
          <w:highlight w:val="none"/>
        </w:rPr>
        <w:t>，</w:t>
      </w:r>
      <w:r>
        <w:rPr>
          <w:rFonts w:ascii="Times New Roman" w:hAnsi="Times New Roman" w:cs="Times New Roman" w:eastAsiaTheme="minorEastAsia"/>
          <w:bCs/>
          <w:color w:val="auto"/>
          <w:w w:val="99"/>
          <w:kern w:val="21"/>
          <w:highlight w:val="none"/>
        </w:rPr>
        <w:t>本项目共布设</w:t>
      </w:r>
      <w:r>
        <w:rPr>
          <w:rFonts w:hint="eastAsia" w:ascii="Times New Roman" w:hAnsi="Times New Roman" w:cs="Times New Roman" w:eastAsiaTheme="minorEastAsia"/>
          <w:bCs/>
          <w:color w:val="auto"/>
          <w:w w:val="99"/>
          <w:kern w:val="21"/>
          <w:highlight w:val="none"/>
          <w:lang w:val="en-US" w:eastAsia="zh-CN"/>
        </w:rPr>
        <w:t>4</w:t>
      </w:r>
      <w:r>
        <w:rPr>
          <w:rFonts w:hint="eastAsia" w:ascii="Times New Roman" w:hAnsi="Times New Roman" w:cs="Times New Roman" w:eastAsiaTheme="minorEastAsia"/>
          <w:bCs/>
          <w:color w:val="auto"/>
          <w:w w:val="99"/>
          <w:kern w:val="21"/>
          <w:highlight w:val="none"/>
        </w:rPr>
        <w:t>个环境空气</w:t>
      </w:r>
      <w:r>
        <w:rPr>
          <w:rFonts w:ascii="Times New Roman" w:hAnsi="Times New Roman" w:cs="Times New Roman" w:eastAsiaTheme="minorEastAsia"/>
          <w:bCs/>
          <w:color w:val="auto"/>
          <w:w w:val="99"/>
          <w:kern w:val="21"/>
          <w:highlight w:val="none"/>
        </w:rPr>
        <w:t>监测点位。</w:t>
      </w:r>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本项目委托大庆中环评价检测有限公司于202</w:t>
      </w:r>
      <w:r>
        <w:rPr>
          <w:rFonts w:hint="eastAsia" w:ascii="Times New Roman" w:hAnsi="Times New Roman" w:cs="Times New Roman" w:eastAsiaTheme="minorEastAsia"/>
          <w:bCs/>
          <w:color w:val="auto"/>
          <w:w w:val="99"/>
          <w:kern w:val="21"/>
          <w:highlight w:val="none"/>
          <w:lang w:val="en-US" w:eastAsia="zh-CN"/>
        </w:rPr>
        <w:t>2</w:t>
      </w:r>
      <w:r>
        <w:rPr>
          <w:rFonts w:ascii="Times New Roman" w:hAnsi="Times New Roman" w:cs="Times New Roman" w:eastAsiaTheme="minorEastAsia"/>
          <w:bCs/>
          <w:color w:val="auto"/>
          <w:w w:val="99"/>
          <w:kern w:val="21"/>
          <w:highlight w:val="none"/>
        </w:rPr>
        <w:t>年</w:t>
      </w:r>
      <w:r>
        <w:rPr>
          <w:rFonts w:hint="eastAsia" w:ascii="Times New Roman" w:hAnsi="Times New Roman" w:cs="Times New Roman" w:eastAsiaTheme="minorEastAsia"/>
          <w:bCs/>
          <w:color w:val="auto"/>
          <w:w w:val="99"/>
          <w:kern w:val="21"/>
          <w:highlight w:val="none"/>
          <w:lang w:val="en-US" w:eastAsia="zh-CN"/>
        </w:rPr>
        <w:t>1</w:t>
      </w:r>
      <w:r>
        <w:rPr>
          <w:rFonts w:ascii="Times New Roman" w:hAnsi="Times New Roman" w:cs="Times New Roman" w:eastAsiaTheme="minorEastAsia"/>
          <w:bCs/>
          <w:color w:val="auto"/>
          <w:w w:val="99"/>
          <w:kern w:val="21"/>
          <w:highlight w:val="none"/>
        </w:rPr>
        <w:t>月</w:t>
      </w:r>
      <w:r>
        <w:rPr>
          <w:rFonts w:hint="eastAsia" w:ascii="Times New Roman" w:hAnsi="Times New Roman" w:cs="Times New Roman" w:eastAsiaTheme="minorEastAsia"/>
          <w:bCs/>
          <w:color w:val="auto"/>
          <w:w w:val="99"/>
          <w:kern w:val="21"/>
          <w:highlight w:val="none"/>
          <w:lang w:val="en-US" w:eastAsia="zh-CN"/>
        </w:rPr>
        <w:t>18</w:t>
      </w:r>
      <w:r>
        <w:rPr>
          <w:rFonts w:ascii="Times New Roman" w:hAnsi="Times New Roman" w:cs="Times New Roman" w:eastAsiaTheme="minorEastAsia"/>
          <w:bCs/>
          <w:color w:val="auto"/>
          <w:w w:val="99"/>
          <w:kern w:val="21"/>
          <w:highlight w:val="none"/>
        </w:rPr>
        <w:t>日-202</w:t>
      </w:r>
      <w:r>
        <w:rPr>
          <w:rFonts w:hint="eastAsia" w:ascii="Times New Roman" w:hAnsi="Times New Roman" w:cs="Times New Roman" w:eastAsiaTheme="minorEastAsia"/>
          <w:bCs/>
          <w:color w:val="auto"/>
          <w:w w:val="99"/>
          <w:kern w:val="21"/>
          <w:highlight w:val="none"/>
          <w:lang w:val="en-US" w:eastAsia="zh-CN"/>
        </w:rPr>
        <w:t>2</w:t>
      </w:r>
      <w:r>
        <w:rPr>
          <w:rFonts w:ascii="Times New Roman" w:hAnsi="Times New Roman" w:cs="Times New Roman" w:eastAsiaTheme="minorEastAsia"/>
          <w:bCs/>
          <w:color w:val="auto"/>
          <w:w w:val="99"/>
          <w:kern w:val="21"/>
          <w:highlight w:val="none"/>
        </w:rPr>
        <w:t>年</w:t>
      </w:r>
      <w:r>
        <w:rPr>
          <w:rFonts w:hint="eastAsia" w:ascii="Times New Roman" w:hAnsi="Times New Roman" w:cs="Times New Roman" w:eastAsiaTheme="minorEastAsia"/>
          <w:bCs/>
          <w:color w:val="auto"/>
          <w:w w:val="99"/>
          <w:kern w:val="21"/>
          <w:highlight w:val="none"/>
          <w:lang w:val="en-US" w:eastAsia="zh-CN"/>
        </w:rPr>
        <w:t>1</w:t>
      </w:r>
      <w:r>
        <w:rPr>
          <w:rFonts w:ascii="Times New Roman" w:hAnsi="Times New Roman" w:cs="Times New Roman" w:eastAsiaTheme="minorEastAsia"/>
          <w:bCs/>
          <w:color w:val="auto"/>
          <w:w w:val="99"/>
          <w:kern w:val="21"/>
          <w:highlight w:val="none"/>
        </w:rPr>
        <w:t>月2</w:t>
      </w:r>
      <w:r>
        <w:rPr>
          <w:rFonts w:hint="eastAsia" w:ascii="Times New Roman" w:hAnsi="Times New Roman" w:cs="Times New Roman" w:eastAsiaTheme="minorEastAsia"/>
          <w:bCs/>
          <w:color w:val="auto"/>
          <w:w w:val="99"/>
          <w:kern w:val="21"/>
          <w:highlight w:val="none"/>
          <w:lang w:val="en-US" w:eastAsia="zh-CN"/>
        </w:rPr>
        <w:t>4</w:t>
      </w:r>
      <w:r>
        <w:rPr>
          <w:rFonts w:ascii="Times New Roman" w:hAnsi="Times New Roman" w:cs="Times New Roman" w:eastAsiaTheme="minorEastAsia"/>
          <w:bCs/>
          <w:color w:val="auto"/>
          <w:w w:val="99"/>
          <w:kern w:val="21"/>
          <w:highlight w:val="none"/>
        </w:rPr>
        <w:t>日对评价区域特征污染物进行环境质量现状补充监测，区域特征污染物为非甲烷总烃，具体点位见表</w:t>
      </w:r>
      <w:r>
        <w:rPr>
          <w:rFonts w:ascii="Times New Roman" w:hAnsi="Times New Roman" w:cs="Times New Roman" w:eastAsiaTheme="minorEastAsia"/>
          <w:color w:val="auto"/>
          <w:w w:val="99"/>
          <w:kern w:val="2"/>
          <w:szCs w:val="20"/>
          <w:highlight w:val="none"/>
        </w:rPr>
        <w:t>4.3-</w:t>
      </w:r>
      <w:r>
        <w:rPr>
          <w:rFonts w:ascii="Times New Roman" w:hAnsi="Times New Roman" w:cs="Times New Roman" w:eastAsiaTheme="minorEastAsia"/>
          <w:bCs/>
          <w:color w:val="auto"/>
          <w:w w:val="99"/>
          <w:kern w:val="21"/>
          <w:highlight w:val="none"/>
        </w:rPr>
        <w:t>2，现状监测点位见</w:t>
      </w:r>
      <w:r>
        <w:rPr>
          <w:rFonts w:hint="eastAsia" w:ascii="Times New Roman" w:hAnsi="Times New Roman" w:cs="Times New Roman" w:eastAsiaTheme="minorEastAsia"/>
          <w:bCs/>
          <w:color w:val="auto"/>
          <w:w w:val="99"/>
          <w:kern w:val="21"/>
          <w:highlight w:val="none"/>
          <w:lang w:eastAsia="zh-CN"/>
        </w:rPr>
        <w:t>附图11</w:t>
      </w:r>
      <w:r>
        <w:rPr>
          <w:rFonts w:ascii="Times New Roman" w:hAnsi="Times New Roman" w:cs="Times New Roman" w:eastAsiaTheme="minorEastAsia"/>
          <w:bCs/>
          <w:color w:val="auto"/>
          <w:w w:val="99"/>
          <w:kern w:val="21"/>
          <w:highlight w:val="none"/>
        </w:rPr>
        <w:t>。</w:t>
      </w:r>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表</w:t>
      </w:r>
      <w:r>
        <w:rPr>
          <w:rFonts w:ascii="Times New Roman" w:hAnsi="Times New Roman" w:cs="Times New Roman" w:eastAsiaTheme="minorEastAsia"/>
          <w:color w:val="auto"/>
          <w:w w:val="99"/>
          <w:kern w:val="2"/>
          <w:szCs w:val="20"/>
          <w:highlight w:val="none"/>
        </w:rPr>
        <w:t>4.3-</w:t>
      </w:r>
      <w:r>
        <w:rPr>
          <w:rFonts w:ascii="Times New Roman" w:hAnsi="Times New Roman" w:cs="Times New Roman" w:eastAsiaTheme="minorEastAsia"/>
          <w:bCs/>
          <w:color w:val="auto"/>
          <w:w w:val="99"/>
          <w:kern w:val="21"/>
          <w:highlight w:val="none"/>
        </w:rPr>
        <w:t>2                  环境空气现状监测点位</w:t>
      </w:r>
    </w:p>
    <w:tbl>
      <w:tblPr>
        <w:tblStyle w:val="8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6"/>
        <w:gridCol w:w="1370"/>
        <w:gridCol w:w="1755"/>
        <w:gridCol w:w="1759"/>
        <w:gridCol w:w="865"/>
        <w:gridCol w:w="1049"/>
        <w:gridCol w:w="1434"/>
        <w:gridCol w:w="7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 w:type="pct"/>
            <w:vMerge w:val="restar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序号</w:t>
            </w:r>
          </w:p>
        </w:tc>
        <w:tc>
          <w:tcPr>
            <w:tcW w:w="737" w:type="pct"/>
            <w:vMerge w:val="restar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监测点名称</w:t>
            </w:r>
          </w:p>
        </w:tc>
        <w:tc>
          <w:tcPr>
            <w:tcW w:w="1892" w:type="pct"/>
            <w:gridSpan w:val="2"/>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监测点坐标</w:t>
            </w:r>
          </w:p>
        </w:tc>
        <w:tc>
          <w:tcPr>
            <w:tcW w:w="465" w:type="pct"/>
            <w:vMerge w:val="restar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监测因子</w:t>
            </w:r>
          </w:p>
        </w:tc>
        <w:tc>
          <w:tcPr>
            <w:tcW w:w="564" w:type="pct"/>
            <w:vMerge w:val="restar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监测时段</w:t>
            </w:r>
          </w:p>
        </w:tc>
        <w:tc>
          <w:tcPr>
            <w:tcW w:w="772" w:type="pct"/>
            <w:vMerge w:val="restar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相对厂址方位</w:t>
            </w:r>
          </w:p>
        </w:tc>
        <w:tc>
          <w:tcPr>
            <w:tcW w:w="381" w:type="pct"/>
            <w:vMerge w:val="restar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相对厂界距离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 w:type="pct"/>
            <w:vMerge w:val="continue"/>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737" w:type="pct"/>
            <w:vMerge w:val="continue"/>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944" w:type="pc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经度</w:t>
            </w:r>
          </w:p>
        </w:tc>
        <w:tc>
          <w:tcPr>
            <w:tcW w:w="947" w:type="pc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纬度</w:t>
            </w:r>
          </w:p>
        </w:tc>
        <w:tc>
          <w:tcPr>
            <w:tcW w:w="465" w:type="pct"/>
            <w:vMerge w:val="continue"/>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564" w:type="pct"/>
            <w:vMerge w:val="continue"/>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772" w:type="pct"/>
            <w:vMerge w:val="continue"/>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381" w:type="pct"/>
            <w:vMerge w:val="continue"/>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1</w:t>
            </w:r>
          </w:p>
        </w:tc>
        <w:tc>
          <w:tcPr>
            <w:tcW w:w="1370" w:type="dxa"/>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w:t>
            </w:r>
            <w:r>
              <w:rPr>
                <w:rFonts w:hint="eastAsia" w:ascii="Times New Roman" w:hAnsi="Times New Roman" w:cs="Times New Roman" w:eastAsiaTheme="minorEastAsia"/>
                <w:color w:val="auto"/>
                <w:w w:val="99"/>
                <w:kern w:val="21"/>
                <w:sz w:val="21"/>
                <w:szCs w:val="21"/>
                <w:highlight w:val="none"/>
                <w:lang w:eastAsia="zh-CN"/>
              </w:rPr>
              <w:t>源252-128</w:t>
            </w:r>
            <w:r>
              <w:rPr>
                <w:rFonts w:hint="eastAsia" w:ascii="Times New Roman" w:hAnsi="Times New Roman" w:cs="Times New Roman" w:eastAsiaTheme="minorEastAsia"/>
                <w:color w:val="auto"/>
                <w:w w:val="99"/>
                <w:kern w:val="21"/>
                <w:sz w:val="21"/>
                <w:szCs w:val="21"/>
                <w:highlight w:val="none"/>
              </w:rPr>
              <w:t>井场</w:t>
            </w:r>
          </w:p>
        </w:tc>
        <w:tc>
          <w:tcPr>
            <w:tcW w:w="944" w:type="pc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124.99587536</w:t>
            </w:r>
          </w:p>
        </w:tc>
        <w:tc>
          <w:tcPr>
            <w:tcW w:w="947" w:type="pc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45.56857056</w:t>
            </w:r>
          </w:p>
        </w:tc>
        <w:tc>
          <w:tcPr>
            <w:tcW w:w="465" w:type="pct"/>
            <w:vMerge w:val="restar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非甲烷总烃</w:t>
            </w:r>
          </w:p>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564" w:type="pct"/>
            <w:vMerge w:val="restart"/>
            <w:noWrap/>
            <w:vAlign w:val="center"/>
          </w:tcPr>
          <w:p>
            <w:pPr>
              <w:widowControl w:val="0"/>
              <w:spacing w:line="360" w:lineRule="exact"/>
              <w:jc w:val="center"/>
              <w:rPr>
                <w:rFonts w:hint="eastAsia" w:ascii="Times New Roman" w:hAnsi="Times New Roman" w:cs="Times New Roman" w:eastAsiaTheme="minorEastAsia"/>
                <w:color w:val="auto"/>
                <w:w w:val="99"/>
                <w:kern w:val="21"/>
                <w:sz w:val="21"/>
                <w:szCs w:val="21"/>
                <w:highlight w:val="none"/>
                <w:lang w:val="en-US" w:eastAsia="zh-CN"/>
              </w:rPr>
            </w:pPr>
            <w:r>
              <w:rPr>
                <w:rFonts w:ascii="Times New Roman" w:hAnsi="Times New Roman" w:cs="Times New Roman" w:eastAsiaTheme="minorEastAsia"/>
                <w:color w:val="auto"/>
                <w:w w:val="99"/>
                <w:kern w:val="21"/>
                <w:sz w:val="21"/>
                <w:szCs w:val="21"/>
                <w:highlight w:val="none"/>
              </w:rPr>
              <w:t>202</w:t>
            </w:r>
            <w:r>
              <w:rPr>
                <w:rFonts w:hint="eastAsia" w:ascii="Times New Roman" w:hAnsi="Times New Roman" w:cs="Times New Roman" w:eastAsiaTheme="minorEastAsia"/>
                <w:color w:val="auto"/>
                <w:w w:val="99"/>
                <w:kern w:val="21"/>
                <w:sz w:val="21"/>
                <w:szCs w:val="21"/>
                <w:highlight w:val="none"/>
                <w:lang w:val="en-US" w:eastAsia="zh-CN"/>
              </w:rPr>
              <w:t>2</w:t>
            </w:r>
            <w:r>
              <w:rPr>
                <w:rFonts w:ascii="Times New Roman" w:hAnsi="Times New Roman" w:cs="Times New Roman" w:eastAsiaTheme="minorEastAsia"/>
                <w:color w:val="auto"/>
                <w:w w:val="99"/>
                <w:kern w:val="21"/>
                <w:sz w:val="21"/>
                <w:szCs w:val="21"/>
                <w:highlight w:val="none"/>
              </w:rPr>
              <w:t>.</w:t>
            </w:r>
            <w:r>
              <w:rPr>
                <w:rFonts w:hint="eastAsia" w:ascii="Times New Roman" w:hAnsi="Times New Roman" w:cs="Times New Roman" w:eastAsiaTheme="minorEastAsia"/>
                <w:color w:val="auto"/>
                <w:w w:val="99"/>
                <w:kern w:val="21"/>
                <w:sz w:val="21"/>
                <w:szCs w:val="21"/>
                <w:highlight w:val="none"/>
                <w:lang w:val="en-US" w:eastAsia="zh-CN"/>
              </w:rPr>
              <w:t>1</w:t>
            </w:r>
            <w:r>
              <w:rPr>
                <w:rFonts w:ascii="Times New Roman" w:hAnsi="Times New Roman" w:cs="Times New Roman" w:eastAsiaTheme="minorEastAsia"/>
                <w:color w:val="auto"/>
                <w:w w:val="99"/>
                <w:kern w:val="21"/>
                <w:sz w:val="21"/>
                <w:szCs w:val="21"/>
                <w:highlight w:val="none"/>
              </w:rPr>
              <w:t>.</w:t>
            </w:r>
            <w:r>
              <w:rPr>
                <w:rFonts w:hint="eastAsia" w:ascii="Times New Roman" w:hAnsi="Times New Roman" w:cs="Times New Roman" w:eastAsiaTheme="minorEastAsia"/>
                <w:color w:val="auto"/>
                <w:w w:val="99"/>
                <w:kern w:val="21"/>
                <w:sz w:val="21"/>
                <w:szCs w:val="21"/>
                <w:highlight w:val="none"/>
                <w:lang w:val="en-US" w:eastAsia="zh-CN"/>
              </w:rPr>
              <w:t>18</w:t>
            </w:r>
            <w:r>
              <w:rPr>
                <w:rFonts w:ascii="Times New Roman" w:hAnsi="Times New Roman" w:cs="Times New Roman" w:eastAsiaTheme="minorEastAsia"/>
                <w:color w:val="auto"/>
                <w:w w:val="99"/>
                <w:kern w:val="21"/>
                <w:sz w:val="21"/>
                <w:szCs w:val="21"/>
                <w:highlight w:val="none"/>
              </w:rPr>
              <w:t>-202</w:t>
            </w:r>
            <w:r>
              <w:rPr>
                <w:rFonts w:hint="eastAsia" w:ascii="Times New Roman" w:hAnsi="Times New Roman" w:cs="Times New Roman" w:eastAsiaTheme="minorEastAsia"/>
                <w:color w:val="auto"/>
                <w:w w:val="99"/>
                <w:kern w:val="21"/>
                <w:sz w:val="21"/>
                <w:szCs w:val="21"/>
                <w:highlight w:val="none"/>
                <w:lang w:val="en-US" w:eastAsia="zh-CN"/>
              </w:rPr>
              <w:t>2</w:t>
            </w:r>
            <w:r>
              <w:rPr>
                <w:rFonts w:ascii="Times New Roman" w:hAnsi="Times New Roman" w:cs="Times New Roman" w:eastAsiaTheme="minorEastAsia"/>
                <w:color w:val="auto"/>
                <w:w w:val="99"/>
                <w:kern w:val="21"/>
                <w:sz w:val="21"/>
                <w:szCs w:val="21"/>
                <w:highlight w:val="none"/>
              </w:rPr>
              <w:t>.</w:t>
            </w:r>
            <w:r>
              <w:rPr>
                <w:rFonts w:hint="eastAsia" w:ascii="Times New Roman" w:hAnsi="Times New Roman" w:cs="Times New Roman" w:eastAsiaTheme="minorEastAsia"/>
                <w:color w:val="auto"/>
                <w:w w:val="99"/>
                <w:kern w:val="21"/>
                <w:sz w:val="21"/>
                <w:szCs w:val="21"/>
                <w:highlight w:val="none"/>
                <w:lang w:val="en-US" w:eastAsia="zh-CN"/>
              </w:rPr>
              <w:t>1</w:t>
            </w:r>
            <w:r>
              <w:rPr>
                <w:rFonts w:ascii="Times New Roman" w:hAnsi="Times New Roman" w:cs="Times New Roman" w:eastAsiaTheme="minorEastAsia"/>
                <w:color w:val="auto"/>
                <w:w w:val="99"/>
                <w:kern w:val="21"/>
                <w:sz w:val="21"/>
                <w:szCs w:val="21"/>
                <w:highlight w:val="none"/>
              </w:rPr>
              <w:t>.2</w:t>
            </w:r>
            <w:r>
              <w:rPr>
                <w:rFonts w:hint="eastAsia" w:ascii="Times New Roman" w:hAnsi="Times New Roman" w:cs="Times New Roman" w:eastAsiaTheme="minorEastAsia"/>
                <w:color w:val="auto"/>
                <w:w w:val="99"/>
                <w:kern w:val="21"/>
                <w:sz w:val="21"/>
                <w:szCs w:val="21"/>
                <w:highlight w:val="none"/>
                <w:lang w:val="en-US" w:eastAsia="zh-CN"/>
              </w:rPr>
              <w:t>4</w:t>
            </w:r>
          </w:p>
        </w:tc>
        <w:tc>
          <w:tcPr>
            <w:tcW w:w="772"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拟钻井场</w:t>
            </w:r>
          </w:p>
        </w:tc>
        <w:tc>
          <w:tcPr>
            <w:tcW w:w="381"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
                <w:sz w:val="21"/>
                <w:szCs w:val="21"/>
                <w:highlight w:val="none"/>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2</w:t>
            </w:r>
          </w:p>
        </w:tc>
        <w:tc>
          <w:tcPr>
            <w:tcW w:w="1370" w:type="dxa"/>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lang w:eastAsia="zh-CN"/>
              </w:rPr>
              <w:t>厢房屯</w:t>
            </w:r>
          </w:p>
        </w:tc>
        <w:tc>
          <w:tcPr>
            <w:tcW w:w="944" w:type="pc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125.00604630</w:t>
            </w:r>
          </w:p>
        </w:tc>
        <w:tc>
          <w:tcPr>
            <w:tcW w:w="947" w:type="pc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45.56724865</w:t>
            </w:r>
          </w:p>
        </w:tc>
        <w:tc>
          <w:tcPr>
            <w:tcW w:w="465" w:type="pct"/>
            <w:vMerge w:val="continue"/>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564" w:type="pct"/>
            <w:vMerge w:val="continue"/>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772"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w:t>
            </w:r>
            <w:r>
              <w:rPr>
                <w:rFonts w:hint="eastAsia" w:ascii="Times New Roman" w:hAnsi="Times New Roman" w:cs="Times New Roman" w:eastAsiaTheme="minorEastAsia"/>
                <w:color w:val="auto"/>
                <w:w w:val="99"/>
                <w:kern w:val="21"/>
                <w:sz w:val="21"/>
                <w:szCs w:val="21"/>
                <w:highlight w:val="none"/>
                <w:lang w:eastAsia="zh-CN"/>
              </w:rPr>
              <w:t>源252-128东</w:t>
            </w:r>
          </w:p>
        </w:tc>
        <w:tc>
          <w:tcPr>
            <w:tcW w:w="381"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454</w:t>
            </w:r>
            <w:r>
              <w:rPr>
                <w:rFonts w:hint="eastAsia" w:ascii="Times New Roman" w:hAnsi="Times New Roman" w:cs="Times New Roman" w:eastAsiaTheme="minorEastAsia"/>
                <w:color w:val="auto"/>
                <w:w w:val="99"/>
                <w:kern w:val="2"/>
                <w:sz w:val="21"/>
                <w:szCs w:val="21"/>
                <w:highlight w:val="none"/>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3</w:t>
            </w:r>
          </w:p>
        </w:tc>
        <w:tc>
          <w:tcPr>
            <w:tcW w:w="1370" w:type="dxa"/>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w:t>
            </w:r>
            <w:r>
              <w:rPr>
                <w:rFonts w:hint="eastAsia" w:ascii="Times New Roman" w:hAnsi="Times New Roman" w:cs="Times New Roman" w:eastAsiaTheme="minorEastAsia"/>
                <w:color w:val="auto"/>
                <w:w w:val="99"/>
                <w:kern w:val="21"/>
                <w:sz w:val="21"/>
                <w:szCs w:val="21"/>
                <w:highlight w:val="none"/>
                <w:lang w:eastAsia="zh-CN"/>
              </w:rPr>
              <w:t>源312-116</w:t>
            </w:r>
            <w:r>
              <w:rPr>
                <w:rFonts w:hint="eastAsia" w:ascii="Times New Roman" w:hAnsi="Times New Roman" w:cs="Times New Roman" w:eastAsiaTheme="minorEastAsia"/>
                <w:color w:val="auto"/>
                <w:w w:val="99"/>
                <w:kern w:val="21"/>
                <w:sz w:val="21"/>
                <w:szCs w:val="21"/>
                <w:highlight w:val="none"/>
              </w:rPr>
              <w:t>井场</w:t>
            </w:r>
          </w:p>
        </w:tc>
        <w:tc>
          <w:tcPr>
            <w:tcW w:w="944" w:type="pc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124.99621868</w:t>
            </w:r>
          </w:p>
        </w:tc>
        <w:tc>
          <w:tcPr>
            <w:tcW w:w="947" w:type="pc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45.55598109</w:t>
            </w:r>
          </w:p>
        </w:tc>
        <w:tc>
          <w:tcPr>
            <w:tcW w:w="465" w:type="pct"/>
            <w:vMerge w:val="continue"/>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564" w:type="pct"/>
            <w:vMerge w:val="continue"/>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772"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拟钻井场</w:t>
            </w:r>
          </w:p>
        </w:tc>
        <w:tc>
          <w:tcPr>
            <w:tcW w:w="381"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
                <w:sz w:val="21"/>
                <w:szCs w:val="21"/>
                <w:highlight w:val="none"/>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4</w:t>
            </w:r>
          </w:p>
        </w:tc>
        <w:tc>
          <w:tcPr>
            <w:tcW w:w="1370" w:type="dxa"/>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lang w:eastAsia="zh-CN"/>
              </w:rPr>
              <w:t>后永利村</w:t>
            </w:r>
          </w:p>
        </w:tc>
        <w:tc>
          <w:tcPr>
            <w:tcW w:w="944" w:type="pc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124.99969482</w:t>
            </w:r>
          </w:p>
        </w:tc>
        <w:tc>
          <w:tcPr>
            <w:tcW w:w="947" w:type="pc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45.55114286</w:t>
            </w:r>
            <w:r>
              <w:rPr>
                <w:rFonts w:hint="eastAsia" w:ascii="Times New Roman" w:hAnsi="Times New Roman" w:cs="Times New Roman" w:eastAsiaTheme="minorEastAsia"/>
                <w:color w:val="auto"/>
                <w:w w:val="99"/>
                <w:kern w:val="21"/>
                <w:sz w:val="21"/>
                <w:szCs w:val="21"/>
                <w:highlight w:val="none"/>
                <w:lang w:val="en-US" w:eastAsia="zh-CN"/>
              </w:rPr>
              <w:t>0</w:t>
            </w:r>
          </w:p>
        </w:tc>
        <w:tc>
          <w:tcPr>
            <w:tcW w:w="465" w:type="pct"/>
            <w:vMerge w:val="continue"/>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564" w:type="pct"/>
            <w:vMerge w:val="continue"/>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772"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w:t>
            </w:r>
            <w:r>
              <w:rPr>
                <w:rFonts w:hint="eastAsia" w:ascii="Times New Roman" w:hAnsi="Times New Roman" w:cs="Times New Roman" w:eastAsiaTheme="minorEastAsia"/>
                <w:color w:val="auto"/>
                <w:w w:val="99"/>
                <w:kern w:val="21"/>
                <w:sz w:val="21"/>
                <w:szCs w:val="21"/>
                <w:highlight w:val="none"/>
                <w:lang w:eastAsia="zh-CN"/>
              </w:rPr>
              <w:t>源312-11</w:t>
            </w:r>
            <w:r>
              <w:rPr>
                <w:rFonts w:hint="eastAsia" w:ascii="Times New Roman" w:hAnsi="Times New Roman" w:cs="Times New Roman" w:eastAsiaTheme="minorEastAsia"/>
                <w:color w:val="auto"/>
                <w:w w:val="99"/>
                <w:kern w:val="21"/>
                <w:sz w:val="21"/>
                <w:szCs w:val="21"/>
                <w:highlight w:val="none"/>
                <w:lang w:val="en-US" w:eastAsia="zh-CN"/>
              </w:rPr>
              <w:t>6</w:t>
            </w:r>
            <w:r>
              <w:rPr>
                <w:rFonts w:hint="eastAsia" w:ascii="Times New Roman" w:hAnsi="Times New Roman" w:cs="Times New Roman" w:eastAsiaTheme="minorEastAsia"/>
                <w:color w:val="auto"/>
                <w:w w:val="99"/>
                <w:kern w:val="21"/>
                <w:sz w:val="21"/>
                <w:szCs w:val="21"/>
                <w:highlight w:val="none"/>
                <w:lang w:eastAsia="zh-CN"/>
              </w:rPr>
              <w:t>东</w:t>
            </w:r>
            <w:r>
              <w:rPr>
                <w:rFonts w:hint="eastAsia" w:ascii="Times New Roman" w:hAnsi="Times New Roman" w:cs="Times New Roman" w:eastAsiaTheme="minorEastAsia"/>
                <w:color w:val="auto"/>
                <w:w w:val="99"/>
                <w:kern w:val="21"/>
                <w:sz w:val="21"/>
                <w:szCs w:val="21"/>
                <w:highlight w:val="none"/>
              </w:rPr>
              <w:t>南</w:t>
            </w:r>
          </w:p>
        </w:tc>
        <w:tc>
          <w:tcPr>
            <w:tcW w:w="381"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lang w:val="en-US" w:eastAsia="zh-CN"/>
              </w:rPr>
              <w:t>516</w:t>
            </w:r>
            <w:r>
              <w:rPr>
                <w:rFonts w:hint="eastAsia" w:ascii="Times New Roman" w:hAnsi="Times New Roman" w:cs="Times New Roman" w:eastAsiaTheme="minorEastAsia"/>
                <w:color w:val="auto"/>
                <w:w w:val="99"/>
                <w:kern w:val="21"/>
                <w:sz w:val="21"/>
                <w:szCs w:val="21"/>
                <w:highlight w:val="none"/>
              </w:rPr>
              <w:t>m</w:t>
            </w:r>
          </w:p>
        </w:tc>
      </w:tr>
    </w:tbl>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（2）监测项目</w:t>
      </w:r>
    </w:p>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根据当地的环境空气质量特征，结合本项目大气污染物排放特点，确定环境空气质量监测因子为非甲烷总烃。</w:t>
      </w:r>
    </w:p>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（3）监测频次</w:t>
      </w:r>
    </w:p>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bCs/>
          <w:color w:val="auto"/>
          <w:w w:val="99"/>
          <w:szCs w:val="28"/>
          <w:highlight w:val="none"/>
        </w:rPr>
        <w:t>监测频次为连续7天，每天采样4次</w:t>
      </w:r>
      <w:r>
        <w:rPr>
          <w:rFonts w:ascii="Times New Roman" w:hAnsi="Times New Roman" w:cs="Times New Roman" w:eastAsiaTheme="minorEastAsia"/>
          <w:color w:val="auto"/>
          <w:w w:val="99"/>
          <w:szCs w:val="28"/>
          <w:highlight w:val="none"/>
        </w:rPr>
        <w:t>。</w:t>
      </w:r>
    </w:p>
    <w:p>
      <w:pPr>
        <w:widowControl w:val="0"/>
        <w:spacing w:line="500" w:lineRule="exact"/>
        <w:ind w:firstLine="474" w:firstLineChars="200"/>
        <w:rPr>
          <w:rFonts w:hint="default" w:ascii="Times New Roman" w:hAnsi="Times New Roman" w:eastAsia="宋体" w:cs="Times New Roman"/>
          <w:color w:val="auto"/>
          <w:w w:val="99"/>
          <w:szCs w:val="28"/>
          <w:highlight w:val="none"/>
        </w:rPr>
      </w:pPr>
      <w:r>
        <w:rPr>
          <w:rFonts w:ascii="Times New Roman" w:hAnsi="Times New Roman" w:cs="Times New Roman" w:eastAsiaTheme="minorEastAsia"/>
          <w:color w:val="auto"/>
          <w:w w:val="99"/>
          <w:szCs w:val="28"/>
          <w:highlight w:val="none"/>
        </w:rPr>
        <w:t>（4）</w:t>
      </w:r>
      <w:r>
        <w:rPr>
          <w:rFonts w:hint="default" w:ascii="Times New Roman" w:hAnsi="Times New Roman" w:eastAsia="宋体" w:cs="Times New Roman"/>
          <w:color w:val="auto"/>
          <w:w w:val="99"/>
          <w:szCs w:val="28"/>
          <w:highlight w:val="none"/>
        </w:rPr>
        <w:t>监测方法</w:t>
      </w:r>
    </w:p>
    <w:p>
      <w:pPr>
        <w:widowControl w:val="0"/>
        <w:spacing w:line="500" w:lineRule="exact"/>
        <w:ind w:firstLine="474" w:firstLineChars="200"/>
        <w:rPr>
          <w:rFonts w:hint="default" w:ascii="Times New Roman" w:hAnsi="Times New Roman" w:eastAsia="宋体" w:cs="Times New Roman"/>
          <w:color w:val="auto"/>
          <w:w w:val="99"/>
          <w:szCs w:val="28"/>
          <w:highlight w:val="none"/>
        </w:rPr>
      </w:pPr>
      <w:r>
        <w:rPr>
          <w:rFonts w:hint="eastAsia" w:ascii="Times New Roman" w:hAnsi="Times New Roman" w:eastAsia="宋体" w:cs="Times New Roman"/>
          <w:color w:val="auto"/>
          <w:w w:val="99"/>
          <w:szCs w:val="28"/>
          <w:highlight w:val="none"/>
          <w:lang w:eastAsia="zh-CN"/>
        </w:rPr>
        <w:t>环境空气质量</w:t>
      </w:r>
      <w:r>
        <w:rPr>
          <w:rFonts w:hint="default" w:ascii="Times New Roman" w:hAnsi="Times New Roman" w:eastAsia="宋体" w:cs="Times New Roman"/>
          <w:color w:val="auto"/>
          <w:w w:val="99"/>
          <w:szCs w:val="28"/>
          <w:highlight w:val="none"/>
        </w:rPr>
        <w:t>现状监测分析方法见表4.</w:t>
      </w:r>
      <w:r>
        <w:rPr>
          <w:rFonts w:hint="eastAsia" w:ascii="Times New Roman" w:hAnsi="Times New Roman" w:cs="Times New Roman"/>
          <w:color w:val="auto"/>
          <w:w w:val="99"/>
          <w:szCs w:val="28"/>
          <w:highlight w:val="none"/>
          <w:lang w:val="en-US" w:eastAsia="zh-CN"/>
        </w:rPr>
        <w:t>3</w:t>
      </w:r>
      <w:r>
        <w:rPr>
          <w:rFonts w:hint="default" w:ascii="Times New Roman" w:hAnsi="Times New Roman" w:eastAsia="宋体" w:cs="Times New Roman"/>
          <w:color w:val="auto"/>
          <w:w w:val="99"/>
          <w:szCs w:val="28"/>
          <w:highlight w:val="none"/>
        </w:rPr>
        <w:t>-</w:t>
      </w:r>
      <w:r>
        <w:rPr>
          <w:rFonts w:hint="eastAsia" w:ascii="Times New Roman" w:hAnsi="Times New Roman" w:cs="Times New Roman"/>
          <w:color w:val="auto"/>
          <w:w w:val="99"/>
          <w:szCs w:val="28"/>
          <w:highlight w:val="none"/>
          <w:lang w:val="en-US" w:eastAsia="zh-CN"/>
        </w:rPr>
        <w:t>3</w:t>
      </w:r>
      <w:r>
        <w:rPr>
          <w:rFonts w:hint="default" w:ascii="Times New Roman" w:hAnsi="Times New Roman" w:eastAsia="宋体" w:cs="Times New Roman"/>
          <w:color w:val="auto"/>
          <w:w w:val="99"/>
          <w:szCs w:val="28"/>
          <w:highlight w:val="none"/>
        </w:rPr>
        <w:t>。</w:t>
      </w:r>
    </w:p>
    <w:p>
      <w:pPr>
        <w:widowControl w:val="0"/>
        <w:tabs>
          <w:tab w:val="left" w:pos="5262"/>
        </w:tabs>
        <w:spacing w:line="500" w:lineRule="exact"/>
        <w:ind w:firstLine="476" w:firstLineChars="200"/>
        <w:rPr>
          <w:rFonts w:hint="default" w:ascii="Times New Roman" w:hAnsi="Times New Roman" w:eastAsia="宋体" w:cs="Times New Roman"/>
          <w:b/>
          <w:bCs w:val="0"/>
          <w:color w:val="auto"/>
          <w:w w:val="99"/>
          <w:kern w:val="21"/>
          <w:highlight w:val="none"/>
        </w:rPr>
      </w:pPr>
      <w:r>
        <w:rPr>
          <w:rFonts w:hint="default" w:ascii="Times New Roman" w:hAnsi="Times New Roman" w:eastAsia="宋体" w:cs="Times New Roman"/>
          <w:b/>
          <w:bCs w:val="0"/>
          <w:color w:val="auto"/>
          <w:w w:val="99"/>
          <w:kern w:val="21"/>
          <w:highlight w:val="none"/>
        </w:rPr>
        <w:t>表4.</w:t>
      </w:r>
      <w:r>
        <w:rPr>
          <w:rFonts w:hint="eastAsia" w:ascii="Times New Roman" w:hAnsi="Times New Roman" w:cs="Times New Roman"/>
          <w:b/>
          <w:bCs w:val="0"/>
          <w:color w:val="auto"/>
          <w:w w:val="99"/>
          <w:kern w:val="21"/>
          <w:highlight w:val="none"/>
          <w:lang w:val="en-US" w:eastAsia="zh-CN"/>
        </w:rPr>
        <w:t>3</w:t>
      </w:r>
      <w:r>
        <w:rPr>
          <w:rFonts w:hint="default" w:ascii="Times New Roman" w:hAnsi="Times New Roman" w:eastAsia="宋体" w:cs="Times New Roman"/>
          <w:b/>
          <w:bCs w:val="0"/>
          <w:color w:val="auto"/>
          <w:w w:val="99"/>
          <w:kern w:val="21"/>
          <w:highlight w:val="none"/>
        </w:rPr>
        <w:t>-</w:t>
      </w:r>
      <w:r>
        <w:rPr>
          <w:rFonts w:hint="eastAsia" w:ascii="Times New Roman" w:hAnsi="Times New Roman" w:cs="Times New Roman"/>
          <w:b/>
          <w:bCs w:val="0"/>
          <w:color w:val="auto"/>
          <w:w w:val="99"/>
          <w:kern w:val="21"/>
          <w:highlight w:val="none"/>
          <w:lang w:val="en-US" w:eastAsia="zh-CN"/>
        </w:rPr>
        <w:t>3</w:t>
      </w:r>
      <w:r>
        <w:rPr>
          <w:rFonts w:hint="default" w:ascii="Times New Roman" w:hAnsi="Times New Roman" w:eastAsia="宋体" w:cs="Times New Roman"/>
          <w:b/>
          <w:bCs w:val="0"/>
          <w:color w:val="auto"/>
          <w:w w:val="99"/>
          <w:kern w:val="21"/>
          <w:highlight w:val="none"/>
        </w:rPr>
        <w:t xml:space="preserve">    </w:t>
      </w:r>
      <w:r>
        <w:rPr>
          <w:rFonts w:hint="eastAsia" w:ascii="Times New Roman" w:hAnsi="Times New Roman" w:eastAsia="宋体" w:cs="Times New Roman"/>
          <w:b/>
          <w:bCs w:val="0"/>
          <w:color w:val="auto"/>
          <w:w w:val="99"/>
          <w:kern w:val="21"/>
          <w:highlight w:val="none"/>
          <w:lang w:eastAsia="zh-CN"/>
        </w:rPr>
        <w:t>环境空气</w:t>
      </w:r>
      <w:r>
        <w:rPr>
          <w:rFonts w:hint="default" w:ascii="Times New Roman" w:hAnsi="Times New Roman" w:eastAsia="宋体" w:cs="Times New Roman"/>
          <w:b/>
          <w:bCs w:val="0"/>
          <w:color w:val="auto"/>
          <w:w w:val="99"/>
          <w:kern w:val="21"/>
          <w:highlight w:val="none"/>
        </w:rPr>
        <w:t>现状监测分析方法及仪器</w:t>
      </w:r>
    </w:p>
    <w:tbl>
      <w:tblPr>
        <w:tblStyle w:val="82"/>
        <w:tblW w:w="9060" w:type="dxa"/>
        <w:tblInd w:w="0" w:type="dxa"/>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51"/>
        <w:gridCol w:w="1104"/>
        <w:gridCol w:w="2775"/>
        <w:gridCol w:w="1725"/>
        <w:gridCol w:w="1635"/>
        <w:gridCol w:w="1370"/>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序号</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监测</w:t>
            </w:r>
          </w:p>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项目</w:t>
            </w:r>
          </w:p>
        </w:tc>
        <w:tc>
          <w:tcPr>
            <w:tcW w:w="2775"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分析方法名称</w:t>
            </w:r>
          </w:p>
        </w:tc>
        <w:tc>
          <w:tcPr>
            <w:tcW w:w="1725"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方法来源及标准号</w:t>
            </w:r>
          </w:p>
        </w:tc>
        <w:tc>
          <w:tcPr>
            <w:tcW w:w="1635"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分析仪器及型号</w:t>
            </w:r>
          </w:p>
        </w:tc>
        <w:tc>
          <w:tcPr>
            <w:tcW w:w="1370"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方法检出限</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1</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非甲烷</w:t>
            </w:r>
          </w:p>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总烃</w:t>
            </w:r>
          </w:p>
        </w:tc>
        <w:tc>
          <w:tcPr>
            <w:tcW w:w="2775"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环境空气  总烃、甲烷</w:t>
            </w:r>
          </w:p>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 xml:space="preserve">和非甲烷总烃的测定   </w:t>
            </w:r>
          </w:p>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直接进样--气相色谱法</w:t>
            </w:r>
          </w:p>
        </w:tc>
        <w:tc>
          <w:tcPr>
            <w:tcW w:w="1725"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HJ 604-2017</w:t>
            </w:r>
          </w:p>
        </w:tc>
        <w:tc>
          <w:tcPr>
            <w:tcW w:w="1635"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气相色谱仪</w:t>
            </w:r>
          </w:p>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SP-3420A</w:t>
            </w:r>
          </w:p>
        </w:tc>
        <w:tc>
          <w:tcPr>
            <w:tcW w:w="1370"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0.07 mg/m</w:t>
            </w:r>
            <w:r>
              <w:rPr>
                <w:rFonts w:hint="default" w:ascii="Times New Roman" w:hAnsi="Times New Roman" w:eastAsia="宋体" w:cs="Times New Roman"/>
                <w:color w:val="auto"/>
                <w:w w:val="99"/>
                <w:kern w:val="2"/>
                <w:sz w:val="21"/>
                <w:szCs w:val="21"/>
                <w:highlight w:val="none"/>
                <w:vertAlign w:val="superscript"/>
                <w:lang w:val="en-US" w:eastAsia="zh-CN" w:bidi="ar-SA"/>
              </w:rPr>
              <w:t>3</w:t>
            </w:r>
          </w:p>
        </w:tc>
      </w:tr>
    </w:tbl>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hint="eastAsia" w:ascii="Times New Roman" w:hAnsi="Times New Roman" w:cs="Times New Roman" w:eastAsiaTheme="minorEastAsia"/>
          <w:color w:val="auto"/>
          <w:w w:val="99"/>
          <w:szCs w:val="28"/>
          <w:highlight w:val="none"/>
          <w:lang w:eastAsia="zh-CN"/>
        </w:rPr>
        <w:t>（</w:t>
      </w:r>
      <w:r>
        <w:rPr>
          <w:rFonts w:hint="eastAsia" w:ascii="Times New Roman" w:hAnsi="Times New Roman" w:cs="Times New Roman" w:eastAsiaTheme="minorEastAsia"/>
          <w:color w:val="auto"/>
          <w:w w:val="99"/>
          <w:szCs w:val="28"/>
          <w:highlight w:val="none"/>
          <w:lang w:val="en-US" w:eastAsia="zh-CN"/>
        </w:rPr>
        <w:t>5</w:t>
      </w:r>
      <w:r>
        <w:rPr>
          <w:rFonts w:hint="eastAsia" w:ascii="Times New Roman" w:hAnsi="Times New Roman" w:cs="Times New Roman" w:eastAsiaTheme="minorEastAsia"/>
          <w:color w:val="auto"/>
          <w:w w:val="99"/>
          <w:szCs w:val="28"/>
          <w:highlight w:val="none"/>
          <w:lang w:eastAsia="zh-CN"/>
        </w:rPr>
        <w:t>）</w:t>
      </w:r>
      <w:r>
        <w:rPr>
          <w:rFonts w:ascii="Times New Roman" w:hAnsi="Times New Roman" w:cs="Times New Roman" w:eastAsiaTheme="minorEastAsia"/>
          <w:color w:val="auto"/>
          <w:w w:val="99"/>
          <w:szCs w:val="28"/>
          <w:highlight w:val="none"/>
        </w:rPr>
        <w:t>评价方法</w:t>
      </w:r>
    </w:p>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评价采用最大浓度占标率法，利用各监测点监测数据，统计各类污染物浓度范围、最大浓度占标率、最大超标倍数。数学表达式如下：</w:t>
      </w:r>
    </w:p>
    <w:p>
      <w:pPr>
        <w:widowControl w:val="0"/>
        <w:spacing w:line="500" w:lineRule="exact"/>
        <w:jc w:val="center"/>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I</w:t>
      </w:r>
      <w:r>
        <w:rPr>
          <w:rFonts w:ascii="Times New Roman" w:hAnsi="Times New Roman" w:cs="Times New Roman" w:eastAsiaTheme="minorEastAsia"/>
          <w:color w:val="auto"/>
          <w:w w:val="99"/>
          <w:szCs w:val="28"/>
          <w:highlight w:val="none"/>
          <w:vertAlign w:val="subscript"/>
        </w:rPr>
        <w:t>i</w:t>
      </w:r>
      <w:r>
        <w:rPr>
          <w:rFonts w:ascii="Times New Roman" w:hAnsi="Times New Roman" w:cs="Times New Roman" w:eastAsiaTheme="minorEastAsia"/>
          <w:color w:val="auto"/>
          <w:w w:val="99"/>
          <w:szCs w:val="28"/>
          <w:highlight w:val="none"/>
        </w:rPr>
        <w:t>＝C</w:t>
      </w:r>
      <w:r>
        <w:rPr>
          <w:rFonts w:ascii="Times New Roman" w:hAnsi="Times New Roman" w:cs="Times New Roman" w:eastAsiaTheme="minorEastAsia"/>
          <w:color w:val="auto"/>
          <w:w w:val="99"/>
          <w:szCs w:val="28"/>
          <w:highlight w:val="none"/>
          <w:vertAlign w:val="subscript"/>
        </w:rPr>
        <w:t>i</w:t>
      </w:r>
      <w:r>
        <w:rPr>
          <w:rFonts w:ascii="Times New Roman" w:hAnsi="Times New Roman" w:cs="Times New Roman" w:eastAsiaTheme="minorEastAsia"/>
          <w:color w:val="auto"/>
          <w:w w:val="99"/>
          <w:szCs w:val="28"/>
          <w:highlight w:val="none"/>
        </w:rPr>
        <w:t>/C</w:t>
      </w:r>
      <w:r>
        <w:rPr>
          <w:rFonts w:ascii="Times New Roman" w:hAnsi="Times New Roman" w:cs="Times New Roman" w:eastAsiaTheme="minorEastAsia"/>
          <w:color w:val="auto"/>
          <w:w w:val="99"/>
          <w:szCs w:val="28"/>
          <w:highlight w:val="none"/>
          <w:vertAlign w:val="subscript"/>
        </w:rPr>
        <w:t>oi</w:t>
      </w:r>
      <w:r>
        <w:rPr>
          <w:rFonts w:ascii="Times New Roman" w:hAnsi="Times New Roman" w:cs="Times New Roman" w:eastAsiaTheme="minorEastAsia"/>
          <w:color w:val="auto"/>
          <w:w w:val="99"/>
          <w:szCs w:val="28"/>
          <w:highlight w:val="none"/>
        </w:rPr>
        <w:t>×100%</w:t>
      </w:r>
    </w:p>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式中：I</w:t>
      </w:r>
      <w:r>
        <w:rPr>
          <w:rFonts w:ascii="Times New Roman" w:hAnsi="Times New Roman" w:cs="Times New Roman" w:eastAsiaTheme="minorEastAsia"/>
          <w:color w:val="auto"/>
          <w:w w:val="99"/>
          <w:szCs w:val="28"/>
          <w:highlight w:val="none"/>
          <w:vertAlign w:val="subscript"/>
        </w:rPr>
        <w:t>i</w:t>
      </w:r>
      <w:r>
        <w:rPr>
          <w:rFonts w:ascii="Times New Roman" w:hAnsi="Times New Roman" w:cs="Times New Roman" w:eastAsiaTheme="minorEastAsia"/>
          <w:color w:val="auto"/>
          <w:w w:val="99"/>
          <w:szCs w:val="28"/>
          <w:highlight w:val="none"/>
        </w:rPr>
        <w:t>—第i种污染物的最大浓度占标率，%；</w:t>
      </w:r>
    </w:p>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 xml:space="preserve">      C</w:t>
      </w:r>
      <w:r>
        <w:rPr>
          <w:rFonts w:ascii="Times New Roman" w:hAnsi="Times New Roman" w:cs="Times New Roman" w:eastAsiaTheme="minorEastAsia"/>
          <w:color w:val="auto"/>
          <w:w w:val="99"/>
          <w:szCs w:val="28"/>
          <w:highlight w:val="none"/>
          <w:vertAlign w:val="subscript"/>
        </w:rPr>
        <w:t>i</w:t>
      </w:r>
      <w:r>
        <w:rPr>
          <w:rFonts w:ascii="Times New Roman" w:hAnsi="Times New Roman" w:cs="Times New Roman" w:eastAsiaTheme="minorEastAsia"/>
          <w:color w:val="auto"/>
          <w:w w:val="99"/>
          <w:szCs w:val="28"/>
          <w:highlight w:val="none"/>
        </w:rPr>
        <w:t>—第i种污染物平均浓度，mg/m</w:t>
      </w:r>
      <w:r>
        <w:rPr>
          <w:rFonts w:ascii="Times New Roman" w:hAnsi="Times New Roman" w:cs="Times New Roman" w:eastAsiaTheme="minorEastAsia"/>
          <w:color w:val="auto"/>
          <w:w w:val="99"/>
          <w:szCs w:val="28"/>
          <w:highlight w:val="none"/>
          <w:vertAlign w:val="superscript"/>
        </w:rPr>
        <w:t>3</w:t>
      </w:r>
      <w:r>
        <w:rPr>
          <w:rFonts w:ascii="Times New Roman" w:hAnsi="Times New Roman" w:cs="Times New Roman" w:eastAsiaTheme="minorEastAsia"/>
          <w:color w:val="auto"/>
          <w:w w:val="99"/>
          <w:szCs w:val="28"/>
          <w:highlight w:val="none"/>
        </w:rPr>
        <w:t>；</w:t>
      </w:r>
    </w:p>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 xml:space="preserve">      C</w:t>
      </w:r>
      <w:r>
        <w:rPr>
          <w:rFonts w:ascii="Times New Roman" w:hAnsi="Times New Roman" w:cs="Times New Roman" w:eastAsiaTheme="minorEastAsia"/>
          <w:color w:val="auto"/>
          <w:w w:val="99"/>
          <w:szCs w:val="28"/>
          <w:highlight w:val="none"/>
          <w:vertAlign w:val="subscript"/>
        </w:rPr>
        <w:t>0i</w:t>
      </w:r>
      <w:r>
        <w:rPr>
          <w:rFonts w:ascii="Times New Roman" w:hAnsi="Times New Roman" w:cs="Times New Roman" w:eastAsiaTheme="minorEastAsia"/>
          <w:color w:val="auto"/>
          <w:w w:val="99"/>
          <w:szCs w:val="28"/>
          <w:highlight w:val="none"/>
        </w:rPr>
        <w:t>—第i种污染物环境质量标准，mg/m</w:t>
      </w:r>
      <w:r>
        <w:rPr>
          <w:rFonts w:ascii="Times New Roman" w:hAnsi="Times New Roman" w:cs="Times New Roman" w:eastAsiaTheme="minorEastAsia"/>
          <w:color w:val="auto"/>
          <w:w w:val="99"/>
          <w:szCs w:val="28"/>
          <w:highlight w:val="none"/>
          <w:vertAlign w:val="superscript"/>
        </w:rPr>
        <w:t>3</w:t>
      </w:r>
      <w:r>
        <w:rPr>
          <w:rFonts w:ascii="Times New Roman" w:hAnsi="Times New Roman" w:cs="Times New Roman" w:eastAsiaTheme="minorEastAsia"/>
          <w:color w:val="auto"/>
          <w:w w:val="99"/>
          <w:szCs w:val="28"/>
          <w:highlight w:val="none"/>
        </w:rPr>
        <w:t>。</w:t>
      </w:r>
    </w:p>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若I</w:t>
      </w:r>
      <w:r>
        <w:rPr>
          <w:rFonts w:ascii="Times New Roman" w:hAnsi="Times New Roman" w:cs="Times New Roman" w:eastAsiaTheme="minorEastAsia"/>
          <w:color w:val="auto"/>
          <w:w w:val="99"/>
          <w:szCs w:val="28"/>
          <w:highlight w:val="none"/>
          <w:vertAlign w:val="subscript"/>
        </w:rPr>
        <w:t>i</w:t>
      </w:r>
      <w:r>
        <w:rPr>
          <w:rFonts w:ascii="Times New Roman" w:hAnsi="Times New Roman" w:cs="Times New Roman" w:eastAsiaTheme="minorEastAsia"/>
          <w:color w:val="auto"/>
          <w:w w:val="99"/>
          <w:szCs w:val="28"/>
          <w:highlight w:val="none"/>
        </w:rPr>
        <w:t>≥100%，表明该项指标超过了相应的环境空气质量标准，不能满足使用功能要求。若I</w:t>
      </w:r>
      <w:r>
        <w:rPr>
          <w:rFonts w:ascii="Times New Roman" w:hAnsi="Times New Roman" w:cs="Times New Roman" w:eastAsiaTheme="minorEastAsia"/>
          <w:color w:val="auto"/>
          <w:w w:val="99"/>
          <w:szCs w:val="28"/>
          <w:highlight w:val="none"/>
          <w:vertAlign w:val="subscript"/>
        </w:rPr>
        <w:t>i</w:t>
      </w:r>
      <w:r>
        <w:rPr>
          <w:rFonts w:ascii="Times New Roman" w:hAnsi="Times New Roman" w:cs="Times New Roman" w:eastAsiaTheme="minorEastAsia"/>
          <w:color w:val="auto"/>
          <w:w w:val="99"/>
          <w:szCs w:val="28"/>
          <w:highlight w:val="none"/>
        </w:rPr>
        <w:t>＜100%，则该指标满足环境空气质量标准，可以满足使用功能要求。</w:t>
      </w:r>
    </w:p>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（5）评价标准</w:t>
      </w:r>
    </w:p>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《大气污染物综合排放标准详解》中的2.0mg/m</w:t>
      </w:r>
      <w:r>
        <w:rPr>
          <w:rFonts w:ascii="Times New Roman" w:hAnsi="Times New Roman" w:cs="Times New Roman" w:eastAsiaTheme="minorEastAsia"/>
          <w:color w:val="auto"/>
          <w:w w:val="99"/>
          <w:szCs w:val="28"/>
          <w:highlight w:val="none"/>
          <w:vertAlign w:val="superscript"/>
        </w:rPr>
        <w:t>3</w:t>
      </w:r>
      <w:r>
        <w:rPr>
          <w:rFonts w:ascii="Times New Roman" w:hAnsi="Times New Roman" w:cs="Times New Roman" w:eastAsiaTheme="minorEastAsia"/>
          <w:color w:val="auto"/>
          <w:w w:val="99"/>
          <w:szCs w:val="28"/>
          <w:highlight w:val="none"/>
        </w:rPr>
        <w:t>标准限值。</w:t>
      </w:r>
    </w:p>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（6）监测及评价结果</w:t>
      </w:r>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color w:val="auto"/>
          <w:w w:val="99"/>
          <w:szCs w:val="28"/>
          <w:highlight w:val="none"/>
        </w:rPr>
        <w:t>特征污染物现状监测及评价结果详见表</w:t>
      </w:r>
      <w:r>
        <w:rPr>
          <w:rFonts w:ascii="Times New Roman" w:hAnsi="Times New Roman" w:cs="Times New Roman" w:eastAsiaTheme="minorEastAsia"/>
          <w:color w:val="auto"/>
          <w:w w:val="99"/>
          <w:kern w:val="2"/>
          <w:szCs w:val="20"/>
          <w:highlight w:val="none"/>
        </w:rPr>
        <w:t>4.3-</w:t>
      </w:r>
      <w:r>
        <w:rPr>
          <w:rFonts w:hint="eastAsia" w:ascii="Times New Roman" w:hAnsi="Times New Roman" w:cs="Times New Roman" w:eastAsiaTheme="minorEastAsia"/>
          <w:color w:val="auto"/>
          <w:w w:val="99"/>
          <w:szCs w:val="28"/>
          <w:highlight w:val="none"/>
          <w:lang w:val="en-US" w:eastAsia="zh-CN"/>
        </w:rPr>
        <w:t>4</w:t>
      </w:r>
      <w:r>
        <w:rPr>
          <w:rFonts w:ascii="Times New Roman" w:hAnsi="Times New Roman" w:cs="Times New Roman" w:eastAsiaTheme="minorEastAsia"/>
          <w:color w:val="auto"/>
          <w:w w:val="99"/>
          <w:szCs w:val="28"/>
          <w:highlight w:val="none"/>
        </w:rPr>
        <w:t>。</w:t>
      </w:r>
    </w:p>
    <w:p>
      <w:pPr>
        <w:widowControl w:val="0"/>
        <w:tabs>
          <w:tab w:val="left" w:pos="5262"/>
        </w:tabs>
        <w:spacing w:line="500" w:lineRule="exact"/>
        <w:ind w:firstLine="476" w:firstLineChars="200"/>
        <w:rPr>
          <w:rFonts w:ascii="Times New Roman" w:hAnsi="Times New Roman" w:cs="Times New Roman" w:eastAsiaTheme="minorEastAsia"/>
          <w:b/>
          <w:bCs w:val="0"/>
          <w:color w:val="auto"/>
          <w:w w:val="99"/>
          <w:kern w:val="21"/>
          <w:highlight w:val="none"/>
        </w:rPr>
      </w:pPr>
      <w:r>
        <w:rPr>
          <w:rFonts w:ascii="Times New Roman" w:hAnsi="Times New Roman" w:cs="Times New Roman" w:eastAsiaTheme="minorEastAsia"/>
          <w:b/>
          <w:bCs w:val="0"/>
          <w:color w:val="auto"/>
          <w:w w:val="99"/>
          <w:kern w:val="21"/>
          <w:highlight w:val="none"/>
        </w:rPr>
        <w:t>表</w:t>
      </w:r>
      <w:r>
        <w:rPr>
          <w:rFonts w:ascii="Times New Roman" w:hAnsi="Times New Roman" w:cs="Times New Roman" w:eastAsiaTheme="minorEastAsia"/>
          <w:b/>
          <w:bCs w:val="0"/>
          <w:color w:val="auto"/>
          <w:w w:val="99"/>
          <w:kern w:val="2"/>
          <w:szCs w:val="20"/>
          <w:highlight w:val="none"/>
        </w:rPr>
        <w:t>4.3-</w:t>
      </w:r>
      <w:r>
        <w:rPr>
          <w:rFonts w:hint="eastAsia" w:ascii="Times New Roman" w:hAnsi="Times New Roman" w:cs="Times New Roman" w:eastAsiaTheme="minorEastAsia"/>
          <w:b/>
          <w:bCs w:val="0"/>
          <w:color w:val="auto"/>
          <w:w w:val="99"/>
          <w:kern w:val="21"/>
          <w:highlight w:val="none"/>
          <w:lang w:val="en-US" w:eastAsia="zh-CN"/>
        </w:rPr>
        <w:t>4</w:t>
      </w:r>
      <w:r>
        <w:rPr>
          <w:rFonts w:ascii="Times New Roman" w:hAnsi="Times New Roman" w:cs="Times New Roman" w:eastAsiaTheme="minorEastAsia"/>
          <w:b/>
          <w:bCs w:val="0"/>
          <w:color w:val="auto"/>
          <w:w w:val="99"/>
          <w:kern w:val="21"/>
          <w:highlight w:val="none"/>
        </w:rPr>
        <w:t xml:space="preserve">            </w:t>
      </w:r>
      <w:r>
        <w:rPr>
          <w:rFonts w:ascii="Times New Roman" w:hAnsi="Times New Roman" w:cs="Times New Roman" w:eastAsiaTheme="minorEastAsia"/>
          <w:b/>
          <w:bCs w:val="0"/>
          <w:color w:val="auto"/>
          <w:w w:val="99"/>
          <w:szCs w:val="28"/>
          <w:highlight w:val="none"/>
        </w:rPr>
        <w:t>特征污染物现状监测及评价结果</w:t>
      </w:r>
      <w:r>
        <w:rPr>
          <w:rFonts w:ascii="Times New Roman" w:hAnsi="Times New Roman" w:cs="Times New Roman" w:eastAsiaTheme="minorEastAsia"/>
          <w:b/>
          <w:bCs w:val="0"/>
          <w:color w:val="auto"/>
          <w:w w:val="99"/>
          <w:kern w:val="21"/>
          <w:highlight w:val="none"/>
        </w:rPr>
        <w:t xml:space="preserve">             单位：mg/m</w:t>
      </w:r>
      <w:r>
        <w:rPr>
          <w:rFonts w:ascii="Times New Roman" w:hAnsi="Times New Roman" w:cs="Times New Roman" w:eastAsiaTheme="minorEastAsia"/>
          <w:b/>
          <w:bCs w:val="0"/>
          <w:color w:val="auto"/>
          <w:w w:val="99"/>
          <w:kern w:val="21"/>
          <w:highlight w:val="none"/>
          <w:vertAlign w:val="superscript"/>
        </w:rPr>
        <w:t>3</w:t>
      </w:r>
    </w:p>
    <w:tbl>
      <w:tblPr>
        <w:tblStyle w:val="8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633"/>
        <w:gridCol w:w="1750"/>
        <w:gridCol w:w="1632"/>
        <w:gridCol w:w="394"/>
        <w:gridCol w:w="690"/>
        <w:gridCol w:w="899"/>
        <w:gridCol w:w="542"/>
        <w:gridCol w:w="542"/>
        <w:gridCol w:w="3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监测点位</w:t>
            </w:r>
          </w:p>
        </w:tc>
        <w:tc>
          <w:tcPr>
            <w:tcW w:w="3383" w:type="dxa"/>
            <w:gridSpan w:val="2"/>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监测点坐标</w:t>
            </w:r>
          </w:p>
        </w:tc>
        <w:tc>
          <w:tcPr>
            <w:tcW w:w="1632"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污染物</w:t>
            </w:r>
          </w:p>
        </w:tc>
        <w:tc>
          <w:tcPr>
            <w:tcW w:w="394"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平均时间</w:t>
            </w:r>
          </w:p>
        </w:tc>
        <w:tc>
          <w:tcPr>
            <w:tcW w:w="690"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评价标准mg/m</w:t>
            </w:r>
            <w:r>
              <w:rPr>
                <w:rFonts w:ascii="Times New Roman" w:hAnsi="Times New Roman" w:cs="Times New Roman" w:eastAsiaTheme="minorEastAsia"/>
                <w:color w:val="auto"/>
                <w:w w:val="99"/>
                <w:sz w:val="21"/>
                <w:szCs w:val="21"/>
                <w:highlight w:val="none"/>
                <w:vertAlign w:val="superscript"/>
              </w:rPr>
              <w:t>3</w:t>
            </w:r>
          </w:p>
        </w:tc>
        <w:tc>
          <w:tcPr>
            <w:tcW w:w="899"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监测浓度范围mg/m</w:t>
            </w:r>
            <w:r>
              <w:rPr>
                <w:rFonts w:ascii="Times New Roman" w:hAnsi="Times New Roman" w:cs="Times New Roman" w:eastAsiaTheme="minorEastAsia"/>
                <w:color w:val="auto"/>
                <w:w w:val="99"/>
                <w:sz w:val="21"/>
                <w:szCs w:val="21"/>
                <w:highlight w:val="none"/>
                <w:vertAlign w:val="superscript"/>
              </w:rPr>
              <w:t>3</w:t>
            </w:r>
          </w:p>
        </w:tc>
        <w:tc>
          <w:tcPr>
            <w:tcW w:w="542"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最大浓度占标率%</w:t>
            </w:r>
          </w:p>
        </w:tc>
        <w:tc>
          <w:tcPr>
            <w:tcW w:w="542"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超标率%</w:t>
            </w:r>
          </w:p>
        </w:tc>
        <w:tc>
          <w:tcPr>
            <w:tcW w:w="394"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10"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1633"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经度</w:t>
            </w:r>
          </w:p>
        </w:tc>
        <w:tc>
          <w:tcPr>
            <w:tcW w:w="1750"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纬度</w:t>
            </w:r>
          </w:p>
        </w:tc>
        <w:tc>
          <w:tcPr>
            <w:tcW w:w="1632"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394"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690"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899"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542"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542"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394"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w:t>
            </w:r>
            <w:r>
              <w:rPr>
                <w:rFonts w:hint="eastAsia" w:ascii="Times New Roman" w:hAnsi="Times New Roman" w:cs="Times New Roman" w:eastAsiaTheme="minorEastAsia"/>
                <w:color w:val="auto"/>
                <w:w w:val="99"/>
                <w:kern w:val="21"/>
                <w:sz w:val="21"/>
                <w:szCs w:val="21"/>
                <w:highlight w:val="none"/>
                <w:lang w:eastAsia="zh-CN"/>
              </w:rPr>
              <w:t>源252-128</w:t>
            </w:r>
            <w:r>
              <w:rPr>
                <w:rFonts w:hint="eastAsia" w:ascii="Times New Roman" w:hAnsi="Times New Roman" w:cs="Times New Roman" w:eastAsiaTheme="minorEastAsia"/>
                <w:color w:val="auto"/>
                <w:w w:val="99"/>
                <w:kern w:val="21"/>
                <w:sz w:val="21"/>
                <w:szCs w:val="21"/>
                <w:highlight w:val="none"/>
              </w:rPr>
              <w:t>井场</w:t>
            </w:r>
          </w:p>
        </w:tc>
        <w:tc>
          <w:tcPr>
            <w:tcW w:w="1633"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124.99587536</w:t>
            </w:r>
          </w:p>
        </w:tc>
        <w:tc>
          <w:tcPr>
            <w:tcW w:w="1750"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45.56857056</w:t>
            </w:r>
          </w:p>
        </w:tc>
        <w:tc>
          <w:tcPr>
            <w:tcW w:w="1632"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非甲烷总烃</w:t>
            </w:r>
          </w:p>
        </w:tc>
        <w:tc>
          <w:tcPr>
            <w:tcW w:w="394"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1h</w:t>
            </w:r>
          </w:p>
        </w:tc>
        <w:tc>
          <w:tcPr>
            <w:tcW w:w="690"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w:t>
            </w:r>
          </w:p>
        </w:tc>
        <w:tc>
          <w:tcPr>
            <w:tcW w:w="899" w:type="dxa"/>
            <w:vAlign w:val="center"/>
          </w:tcPr>
          <w:p>
            <w:pPr>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ascii="Times New Roman" w:hAnsi="Times New Roman" w:cs="Times New Roman" w:eastAsiaTheme="minorEastAsia"/>
                <w:color w:val="auto"/>
                <w:w w:val="99"/>
                <w:sz w:val="21"/>
                <w:szCs w:val="21"/>
                <w:highlight w:val="none"/>
              </w:rPr>
              <w:t>0.3</w:t>
            </w:r>
            <w:r>
              <w:rPr>
                <w:rFonts w:hint="eastAsia" w:ascii="Times New Roman" w:hAnsi="Times New Roman" w:cs="Times New Roman" w:eastAsiaTheme="minorEastAsia"/>
                <w:color w:val="auto"/>
                <w:w w:val="99"/>
                <w:sz w:val="21"/>
                <w:szCs w:val="21"/>
                <w:highlight w:val="none"/>
              </w:rPr>
              <w:t>1</w:t>
            </w:r>
            <w:r>
              <w:rPr>
                <w:rFonts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6</w:t>
            </w:r>
          </w:p>
        </w:tc>
        <w:tc>
          <w:tcPr>
            <w:tcW w:w="542" w:type="dxa"/>
            <w:vAlign w:val="center"/>
          </w:tcPr>
          <w:p>
            <w:pPr>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30</w:t>
            </w:r>
          </w:p>
        </w:tc>
        <w:tc>
          <w:tcPr>
            <w:tcW w:w="542"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394"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lang w:eastAsia="zh-CN"/>
              </w:rPr>
              <w:t>厢房屯</w:t>
            </w:r>
          </w:p>
        </w:tc>
        <w:tc>
          <w:tcPr>
            <w:tcW w:w="1633"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125.00604630</w:t>
            </w:r>
          </w:p>
        </w:tc>
        <w:tc>
          <w:tcPr>
            <w:tcW w:w="1750"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45.56724865</w:t>
            </w:r>
          </w:p>
        </w:tc>
        <w:tc>
          <w:tcPr>
            <w:tcW w:w="1632"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394"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690"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899" w:type="dxa"/>
            <w:vAlign w:val="center"/>
          </w:tcPr>
          <w:p>
            <w:pPr>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ascii="Times New Roman" w:hAnsi="Times New Roman" w:cs="Times New Roman" w:eastAsiaTheme="minorEastAsia"/>
                <w:color w:val="auto"/>
                <w:w w:val="99"/>
                <w:sz w:val="21"/>
                <w:szCs w:val="21"/>
                <w:highlight w:val="none"/>
              </w:rPr>
              <w:t>0.3</w:t>
            </w:r>
            <w:r>
              <w:rPr>
                <w:rFonts w:hint="eastAsia" w:ascii="Times New Roman" w:hAnsi="Times New Roman" w:cs="Times New Roman" w:eastAsiaTheme="minorEastAsia"/>
                <w:color w:val="auto"/>
                <w:w w:val="99"/>
                <w:sz w:val="21"/>
                <w:szCs w:val="21"/>
                <w:highlight w:val="none"/>
              </w:rPr>
              <w:t>1</w:t>
            </w:r>
            <w:r>
              <w:rPr>
                <w:rFonts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61</w:t>
            </w:r>
          </w:p>
        </w:tc>
        <w:tc>
          <w:tcPr>
            <w:tcW w:w="542" w:type="dxa"/>
            <w:vAlign w:val="center"/>
          </w:tcPr>
          <w:p>
            <w:pPr>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30.5</w:t>
            </w:r>
          </w:p>
        </w:tc>
        <w:tc>
          <w:tcPr>
            <w:tcW w:w="542"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394"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w:t>
            </w:r>
            <w:r>
              <w:rPr>
                <w:rFonts w:hint="eastAsia" w:ascii="Times New Roman" w:hAnsi="Times New Roman" w:cs="Times New Roman" w:eastAsiaTheme="minorEastAsia"/>
                <w:color w:val="auto"/>
                <w:w w:val="99"/>
                <w:kern w:val="21"/>
                <w:sz w:val="21"/>
                <w:szCs w:val="21"/>
                <w:highlight w:val="none"/>
                <w:lang w:eastAsia="zh-CN"/>
              </w:rPr>
              <w:t>源312-116</w:t>
            </w:r>
            <w:r>
              <w:rPr>
                <w:rFonts w:hint="eastAsia" w:ascii="Times New Roman" w:hAnsi="Times New Roman" w:cs="Times New Roman" w:eastAsiaTheme="minorEastAsia"/>
                <w:color w:val="auto"/>
                <w:w w:val="99"/>
                <w:kern w:val="21"/>
                <w:sz w:val="21"/>
                <w:szCs w:val="21"/>
                <w:highlight w:val="none"/>
              </w:rPr>
              <w:t>井场</w:t>
            </w:r>
          </w:p>
        </w:tc>
        <w:tc>
          <w:tcPr>
            <w:tcW w:w="1633"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124.99621868</w:t>
            </w:r>
          </w:p>
        </w:tc>
        <w:tc>
          <w:tcPr>
            <w:tcW w:w="1750"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45.55598109</w:t>
            </w:r>
          </w:p>
        </w:tc>
        <w:tc>
          <w:tcPr>
            <w:tcW w:w="1632"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394"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690"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899" w:type="dxa"/>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rPr>
              <w:t>3</w:t>
            </w:r>
            <w:r>
              <w:rPr>
                <w:rFonts w:hint="eastAsia" w:ascii="Times New Roman" w:hAnsi="Times New Roman" w:cs="Times New Roman" w:eastAsiaTheme="minorEastAsia"/>
                <w:color w:val="auto"/>
                <w:w w:val="99"/>
                <w:sz w:val="21"/>
                <w:szCs w:val="21"/>
                <w:highlight w:val="none"/>
                <w:lang w:val="en-US" w:eastAsia="zh-CN"/>
              </w:rPr>
              <w:t>3</w:t>
            </w:r>
            <w:r>
              <w:rPr>
                <w:rFonts w:ascii="Times New Roman" w:hAnsi="Times New Roman" w:cs="Times New Roman" w:eastAsiaTheme="minorEastAsia"/>
                <w:color w:val="auto"/>
                <w:w w:val="99"/>
                <w:sz w:val="21"/>
                <w:szCs w:val="21"/>
                <w:highlight w:val="none"/>
              </w:rPr>
              <w:t>-0.5</w:t>
            </w:r>
            <w:r>
              <w:rPr>
                <w:rFonts w:hint="eastAsia" w:ascii="Times New Roman" w:hAnsi="Times New Roman" w:cs="Times New Roman" w:eastAsiaTheme="minorEastAsia"/>
                <w:color w:val="auto"/>
                <w:w w:val="99"/>
                <w:sz w:val="21"/>
                <w:szCs w:val="21"/>
                <w:highlight w:val="none"/>
                <w:lang w:val="en-US" w:eastAsia="zh-CN"/>
              </w:rPr>
              <w:t>9</w:t>
            </w:r>
          </w:p>
        </w:tc>
        <w:tc>
          <w:tcPr>
            <w:tcW w:w="542" w:type="dxa"/>
            <w:vAlign w:val="center"/>
          </w:tcPr>
          <w:p>
            <w:pPr>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29.5</w:t>
            </w:r>
          </w:p>
        </w:tc>
        <w:tc>
          <w:tcPr>
            <w:tcW w:w="542"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394"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lang w:eastAsia="zh-CN"/>
              </w:rPr>
              <w:t>后永利村</w:t>
            </w:r>
          </w:p>
        </w:tc>
        <w:tc>
          <w:tcPr>
            <w:tcW w:w="1633"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124.99969482</w:t>
            </w:r>
          </w:p>
        </w:tc>
        <w:tc>
          <w:tcPr>
            <w:tcW w:w="1750"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45.55114286</w:t>
            </w:r>
            <w:r>
              <w:rPr>
                <w:rFonts w:hint="eastAsia" w:ascii="Times New Roman" w:hAnsi="Times New Roman" w:cs="Times New Roman" w:eastAsiaTheme="minorEastAsia"/>
                <w:color w:val="auto"/>
                <w:w w:val="99"/>
                <w:kern w:val="21"/>
                <w:sz w:val="21"/>
                <w:szCs w:val="21"/>
                <w:highlight w:val="none"/>
                <w:lang w:val="en-US" w:eastAsia="zh-CN"/>
              </w:rPr>
              <w:t>0</w:t>
            </w:r>
          </w:p>
        </w:tc>
        <w:tc>
          <w:tcPr>
            <w:tcW w:w="1632"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394"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690"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899"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3</w:t>
            </w:r>
            <w:r>
              <w:rPr>
                <w:rFonts w:hint="eastAsia" w:ascii="Times New Roman" w:hAnsi="Times New Roman" w:cs="Times New Roman" w:eastAsiaTheme="minorEastAsia"/>
                <w:color w:val="auto"/>
                <w:w w:val="99"/>
                <w:sz w:val="21"/>
                <w:szCs w:val="21"/>
                <w:highlight w:val="none"/>
              </w:rPr>
              <w:t>4</w:t>
            </w:r>
            <w:r>
              <w:rPr>
                <w:rFonts w:ascii="Times New Roman" w:hAnsi="Times New Roman" w:cs="Times New Roman" w:eastAsiaTheme="minorEastAsia"/>
                <w:color w:val="auto"/>
                <w:w w:val="99"/>
                <w:sz w:val="21"/>
                <w:szCs w:val="21"/>
                <w:highlight w:val="none"/>
              </w:rPr>
              <w:t>-0.5</w:t>
            </w:r>
            <w:r>
              <w:rPr>
                <w:rFonts w:hint="eastAsia" w:ascii="Times New Roman" w:hAnsi="Times New Roman" w:cs="Times New Roman" w:eastAsiaTheme="minorEastAsia"/>
                <w:color w:val="auto"/>
                <w:w w:val="99"/>
                <w:sz w:val="21"/>
                <w:szCs w:val="21"/>
                <w:highlight w:val="none"/>
              </w:rPr>
              <w:t>5</w:t>
            </w:r>
          </w:p>
        </w:tc>
        <w:tc>
          <w:tcPr>
            <w:tcW w:w="542"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27.5</w:t>
            </w:r>
          </w:p>
        </w:tc>
        <w:tc>
          <w:tcPr>
            <w:tcW w:w="542"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394"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达标</w:t>
            </w:r>
          </w:p>
        </w:tc>
      </w:tr>
    </w:tbl>
    <w:p>
      <w:pPr>
        <w:widowControl w:val="0"/>
        <w:tabs>
          <w:tab w:val="left" w:pos="5262"/>
        </w:tabs>
        <w:spacing w:line="500" w:lineRule="exact"/>
        <w:ind w:firstLine="474" w:firstLineChars="200"/>
        <w:jc w:val="both"/>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评价结果表明，特征污染物非甲烷总烃满足《大气污染物综合排放标准详解》</w:t>
      </w:r>
      <w:r>
        <w:rPr>
          <w:rFonts w:ascii="Times New Roman" w:hAnsi="Times New Roman" w:cs="Times New Roman" w:eastAsiaTheme="minorEastAsia"/>
          <w:color w:val="auto"/>
          <w:w w:val="99"/>
          <w:szCs w:val="28"/>
          <w:highlight w:val="none"/>
        </w:rPr>
        <w:t>中的2.0mg/m</w:t>
      </w:r>
      <w:r>
        <w:rPr>
          <w:rFonts w:ascii="Times New Roman" w:hAnsi="Times New Roman" w:cs="Times New Roman" w:eastAsiaTheme="minorEastAsia"/>
          <w:color w:val="auto"/>
          <w:w w:val="99"/>
          <w:szCs w:val="28"/>
          <w:highlight w:val="none"/>
          <w:vertAlign w:val="superscript"/>
        </w:rPr>
        <w:t>3</w:t>
      </w:r>
      <w:r>
        <w:rPr>
          <w:rFonts w:ascii="Times New Roman" w:hAnsi="Times New Roman" w:cs="Times New Roman" w:eastAsiaTheme="minorEastAsia"/>
          <w:color w:val="auto"/>
          <w:w w:val="99"/>
          <w:szCs w:val="28"/>
          <w:highlight w:val="none"/>
        </w:rPr>
        <w:t>标准要求。</w:t>
      </w:r>
    </w:p>
    <w:p>
      <w:pPr>
        <w:pStyle w:val="7"/>
        <w:keepNext w:val="0"/>
        <w:keepLines w:val="0"/>
        <w:widowControl w:val="0"/>
        <w:spacing w:before="60" w:after="60"/>
        <w:jc w:val="both"/>
        <w:rPr>
          <w:b/>
          <w:color w:val="auto"/>
          <w:w w:val="99"/>
          <w:kern w:val="2"/>
          <w:sz w:val="24"/>
          <w:szCs w:val="24"/>
          <w:highlight w:val="none"/>
        </w:rPr>
      </w:pPr>
      <w:bookmarkStart w:id="738" w:name="_Toc74812371"/>
      <w:bookmarkStart w:id="739" w:name="_Toc430689876"/>
      <w:bookmarkStart w:id="740" w:name="_Toc29643950"/>
      <w:bookmarkStart w:id="741" w:name="_Toc38545055"/>
      <w:bookmarkStart w:id="742" w:name="_Toc80105200"/>
      <w:bookmarkStart w:id="743" w:name="_Toc57976707"/>
      <w:bookmarkStart w:id="744" w:name="_Toc41655199"/>
      <w:bookmarkStart w:id="745" w:name="_Toc77667344"/>
      <w:bookmarkStart w:id="746" w:name="_Toc34124484"/>
      <w:bookmarkStart w:id="747" w:name="_Toc74812132"/>
      <w:bookmarkStart w:id="748" w:name="_Toc438540826"/>
      <w:bookmarkStart w:id="749" w:name="_Toc38296422"/>
      <w:bookmarkStart w:id="750" w:name="_Toc430692061"/>
      <w:bookmarkStart w:id="751" w:name="_Toc29644702"/>
      <w:bookmarkStart w:id="752" w:name="_Toc67523642"/>
      <w:bookmarkStart w:id="753" w:name="_Toc69690860"/>
      <w:bookmarkStart w:id="754" w:name="_Toc71371994"/>
      <w:bookmarkStart w:id="755" w:name="_Toc57203285"/>
      <w:bookmarkStart w:id="756" w:name="_Toc57707955"/>
      <w:bookmarkStart w:id="757" w:name="_Toc61597271"/>
      <w:bookmarkStart w:id="758" w:name="_Toc29642918"/>
      <w:bookmarkStart w:id="759" w:name="_Toc8019"/>
      <w:r>
        <w:rPr>
          <w:b/>
          <w:color w:val="auto"/>
          <w:w w:val="99"/>
          <w:kern w:val="2"/>
          <w:sz w:val="24"/>
          <w:szCs w:val="24"/>
          <w:highlight w:val="none"/>
        </w:rPr>
        <w:t>4.3.2地下水环境质量现状评价</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根据本项目地层特征，以及地下水含水层特点和区域水资源开发利用情况，参照《环境影响评价技术导则 地下水环境》（HJ 610-2016），详见下表。</w:t>
      </w:r>
    </w:p>
    <w:p>
      <w:pPr>
        <w:spacing w:line="500" w:lineRule="exact"/>
        <w:ind w:firstLine="476" w:firstLineChars="200"/>
        <w:jc w:val="both"/>
        <w:rPr>
          <w:rFonts w:ascii="Times New Roman" w:hAnsi="Times New Roman" w:cs="Times New Roman" w:eastAsiaTheme="minorEastAsia"/>
          <w:b/>
          <w:bCs w:val="0"/>
          <w:color w:val="auto"/>
          <w:w w:val="99"/>
          <w:kern w:val="21"/>
          <w:szCs w:val="20"/>
          <w:highlight w:val="none"/>
        </w:rPr>
      </w:pPr>
      <w:r>
        <w:rPr>
          <w:rFonts w:ascii="Times New Roman" w:hAnsi="Times New Roman" w:cs="Times New Roman" w:eastAsiaTheme="minorEastAsia"/>
          <w:b/>
          <w:bCs w:val="0"/>
          <w:color w:val="auto"/>
          <w:w w:val="99"/>
          <w:kern w:val="21"/>
          <w:szCs w:val="20"/>
          <w:highlight w:val="none"/>
        </w:rPr>
        <w:t>表</w:t>
      </w:r>
      <w:r>
        <w:rPr>
          <w:rFonts w:ascii="Times New Roman" w:hAnsi="Times New Roman" w:cs="Times New Roman" w:eastAsiaTheme="minorEastAsia"/>
          <w:b/>
          <w:bCs w:val="0"/>
          <w:color w:val="auto"/>
          <w:w w:val="99"/>
          <w:kern w:val="2"/>
          <w:szCs w:val="20"/>
          <w:highlight w:val="none"/>
        </w:rPr>
        <w:t>4.3-</w:t>
      </w:r>
      <w:r>
        <w:rPr>
          <w:rFonts w:hint="eastAsia" w:ascii="Times New Roman" w:hAnsi="Times New Roman" w:cs="Times New Roman" w:eastAsiaTheme="minorEastAsia"/>
          <w:b/>
          <w:bCs w:val="0"/>
          <w:color w:val="auto"/>
          <w:w w:val="99"/>
          <w:kern w:val="2"/>
          <w:szCs w:val="20"/>
          <w:highlight w:val="none"/>
          <w:lang w:val="en-US" w:eastAsia="zh-CN"/>
        </w:rPr>
        <w:t>5</w:t>
      </w:r>
      <w:r>
        <w:rPr>
          <w:rFonts w:ascii="Times New Roman" w:hAnsi="Times New Roman" w:cs="Times New Roman" w:eastAsiaTheme="minorEastAsia"/>
          <w:b/>
          <w:bCs w:val="0"/>
          <w:color w:val="auto"/>
          <w:w w:val="99"/>
          <w:kern w:val="21"/>
          <w:szCs w:val="20"/>
          <w:highlight w:val="none"/>
        </w:rPr>
        <w:t xml:space="preserve">               地下水环境现状监测频率参照表</w:t>
      </w:r>
    </w:p>
    <w:tbl>
      <w:tblPr>
        <w:tblStyle w:val="82"/>
        <w:tblW w:w="928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13"/>
        <w:gridCol w:w="1103"/>
        <w:gridCol w:w="1420"/>
        <w:gridCol w:w="1110"/>
        <w:gridCol w:w="1263"/>
        <w:gridCol w:w="1420"/>
        <w:gridCol w:w="9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评价等级</w:t>
            </w:r>
          </w:p>
        </w:tc>
        <w:tc>
          <w:tcPr>
            <w:tcW w:w="3633" w:type="dxa"/>
            <w:gridSpan w:val="3"/>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水位监测频率</w:t>
            </w:r>
          </w:p>
        </w:tc>
        <w:tc>
          <w:tcPr>
            <w:tcW w:w="3638" w:type="dxa"/>
            <w:gridSpan w:val="3"/>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水质监测频率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分布区</w:t>
            </w:r>
          </w:p>
        </w:tc>
        <w:tc>
          <w:tcPr>
            <w:tcW w:w="110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一级</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111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c>
          <w:tcPr>
            <w:tcW w:w="126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一级</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955"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山前冲（洪）积</w:t>
            </w:r>
          </w:p>
        </w:tc>
        <w:tc>
          <w:tcPr>
            <w:tcW w:w="110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枯平丰</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枯丰</w:t>
            </w:r>
          </w:p>
        </w:tc>
        <w:tc>
          <w:tcPr>
            <w:tcW w:w="111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26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枯平丰</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枯丰</w:t>
            </w:r>
          </w:p>
        </w:tc>
        <w:tc>
          <w:tcPr>
            <w:tcW w:w="955"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滨海（含填海区）</w:t>
            </w:r>
          </w:p>
        </w:tc>
        <w:tc>
          <w:tcPr>
            <w:tcW w:w="110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二期a</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11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26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955"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其他平原区（√）</w:t>
            </w:r>
          </w:p>
        </w:tc>
        <w:tc>
          <w:tcPr>
            <w:tcW w:w="110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枯丰</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11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26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枯</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955"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黄土地区</w:t>
            </w:r>
          </w:p>
        </w:tc>
        <w:tc>
          <w:tcPr>
            <w:tcW w:w="110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枯平丰</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11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26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二期</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955"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沙漠地区</w:t>
            </w:r>
          </w:p>
        </w:tc>
        <w:tc>
          <w:tcPr>
            <w:tcW w:w="110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枯丰</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11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26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955"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丘陵山区</w:t>
            </w:r>
          </w:p>
        </w:tc>
        <w:tc>
          <w:tcPr>
            <w:tcW w:w="110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枯丰</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11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26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955"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岩溶裂隙</w:t>
            </w:r>
          </w:p>
        </w:tc>
        <w:tc>
          <w:tcPr>
            <w:tcW w:w="110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枯丰</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11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26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枯丰</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955"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岩溶管道</w:t>
            </w:r>
          </w:p>
        </w:tc>
        <w:tc>
          <w:tcPr>
            <w:tcW w:w="110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二期</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11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26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二期</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955"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84" w:type="dxa"/>
            <w:gridSpan w:val="7"/>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a “二期”的间隔有明显水位变化，其变化幅度接近年内变幅。</w:t>
            </w:r>
          </w:p>
        </w:tc>
      </w:tr>
    </w:tbl>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一般情况下，地下水水位监测点数宜大于相应评价级别地下水水质监测点数的2倍。二级评价项目潜水含水层的水质监测点应不少于5个，可能受建设项目影响且具有饮用水开发利用价值的含水层2-4个。原则上建设项目场地上游和两侧的地下水水质监测点均不得少于1个，建设项目场地及其下游影响区的地下水水质监测点不得少于2个。因此本项目共布设</w:t>
      </w:r>
      <w:r>
        <w:rPr>
          <w:rFonts w:hint="eastAsia" w:ascii="Times New Roman" w:hAnsi="Times New Roman" w:cs="Times New Roman" w:eastAsiaTheme="minorEastAsia"/>
          <w:color w:val="auto"/>
          <w:w w:val="99"/>
          <w:highlight w:val="none"/>
          <w:lang w:val="en-US" w:eastAsia="zh-CN"/>
        </w:rPr>
        <w:t>7</w:t>
      </w:r>
      <w:r>
        <w:rPr>
          <w:rFonts w:ascii="Times New Roman" w:hAnsi="Times New Roman" w:cs="Times New Roman" w:eastAsiaTheme="minorEastAsia"/>
          <w:color w:val="auto"/>
          <w:w w:val="99"/>
          <w:highlight w:val="none"/>
        </w:rPr>
        <w:t>个水质监测点和</w:t>
      </w:r>
      <w:r>
        <w:rPr>
          <w:rFonts w:hint="eastAsia" w:ascii="Times New Roman" w:hAnsi="Times New Roman" w:cs="Times New Roman" w:eastAsiaTheme="minorEastAsia"/>
          <w:color w:val="auto"/>
          <w:w w:val="99"/>
          <w:highlight w:val="none"/>
          <w:lang w:val="en-US" w:eastAsia="zh-CN"/>
        </w:rPr>
        <w:t>15</w:t>
      </w:r>
      <w:r>
        <w:rPr>
          <w:rFonts w:ascii="Times New Roman" w:hAnsi="Times New Roman" w:cs="Times New Roman" w:eastAsiaTheme="minorEastAsia"/>
          <w:color w:val="auto"/>
          <w:w w:val="99"/>
          <w:highlight w:val="none"/>
        </w:rPr>
        <w:t>个水位监测点。</w:t>
      </w:r>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4.3.2.1地下水位监测</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（1）监测点位</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根据本项目地层特征，以及地下水含水层特点和区域水资源开发利用情况，参照《环境影响评价技术导则 地下水环境》（HJ 610-2016），本次共监测区域内地下水水位监测点</w:t>
      </w:r>
      <w:r>
        <w:rPr>
          <w:rFonts w:hint="eastAsia" w:ascii="Times New Roman" w:hAnsi="Times New Roman" w:cs="Times New Roman" w:eastAsiaTheme="minorEastAsia"/>
          <w:color w:val="auto"/>
          <w:w w:val="99"/>
          <w:highlight w:val="none"/>
          <w:lang w:val="en-US" w:eastAsia="zh-CN"/>
        </w:rPr>
        <w:t>15</w:t>
      </w:r>
      <w:r>
        <w:rPr>
          <w:rFonts w:ascii="Times New Roman" w:hAnsi="Times New Roman" w:cs="Times New Roman" w:eastAsiaTheme="minorEastAsia"/>
          <w:color w:val="auto"/>
          <w:w w:val="99"/>
          <w:highlight w:val="none"/>
        </w:rPr>
        <w:t>个。</w:t>
      </w:r>
    </w:p>
    <w:p>
      <w:pPr>
        <w:spacing w:line="500" w:lineRule="exact"/>
        <w:ind w:firstLine="476" w:firstLineChars="200"/>
        <w:jc w:val="both"/>
        <w:rPr>
          <w:rFonts w:ascii="Times New Roman" w:hAnsi="Times New Roman" w:cs="Times New Roman" w:eastAsiaTheme="minorEastAsia"/>
          <w:b/>
          <w:bCs w:val="0"/>
          <w:color w:val="auto"/>
          <w:w w:val="99"/>
          <w:kern w:val="21"/>
          <w:szCs w:val="20"/>
          <w:highlight w:val="none"/>
        </w:rPr>
      </w:pPr>
      <w:r>
        <w:rPr>
          <w:rFonts w:ascii="Times New Roman" w:hAnsi="Times New Roman" w:cs="Times New Roman" w:eastAsiaTheme="minorEastAsia"/>
          <w:b/>
          <w:bCs w:val="0"/>
          <w:color w:val="auto"/>
          <w:w w:val="99"/>
          <w:kern w:val="21"/>
          <w:szCs w:val="20"/>
          <w:highlight w:val="none"/>
        </w:rPr>
        <w:t>表4.3-</w:t>
      </w:r>
      <w:r>
        <w:rPr>
          <w:rFonts w:hint="eastAsia" w:ascii="Times New Roman" w:hAnsi="Times New Roman" w:cs="Times New Roman" w:eastAsiaTheme="minorEastAsia"/>
          <w:b/>
          <w:bCs w:val="0"/>
          <w:color w:val="auto"/>
          <w:w w:val="99"/>
          <w:kern w:val="21"/>
          <w:szCs w:val="20"/>
          <w:highlight w:val="none"/>
          <w:lang w:val="en-US" w:eastAsia="zh-CN"/>
        </w:rPr>
        <w:t>6</w:t>
      </w:r>
      <w:r>
        <w:rPr>
          <w:rFonts w:ascii="Times New Roman" w:hAnsi="Times New Roman" w:cs="Times New Roman" w:eastAsiaTheme="minorEastAsia"/>
          <w:b/>
          <w:bCs w:val="0"/>
          <w:color w:val="auto"/>
          <w:w w:val="99"/>
          <w:kern w:val="21"/>
          <w:szCs w:val="20"/>
          <w:highlight w:val="none"/>
        </w:rPr>
        <w:t xml:space="preserve">            地下水水位监测点基本情况表</w:t>
      </w:r>
    </w:p>
    <w:tbl>
      <w:tblPr>
        <w:tblStyle w:val="8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4"/>
        <w:gridCol w:w="1659"/>
        <w:gridCol w:w="1659"/>
        <w:gridCol w:w="1659"/>
        <w:gridCol w:w="1657"/>
        <w:gridCol w:w="16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编号</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监测点位置</w:t>
            </w:r>
          </w:p>
        </w:tc>
        <w:tc>
          <w:tcPr>
            <w:tcW w:w="893" w:type="pct"/>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地面高程（m）</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水位埋深（m）</w:t>
            </w:r>
          </w:p>
        </w:tc>
        <w:tc>
          <w:tcPr>
            <w:tcW w:w="892" w:type="pct"/>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水位高程（m）</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监测含水层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后仓粮</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194.1 </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4.3 </w:t>
            </w:r>
          </w:p>
        </w:tc>
        <w:tc>
          <w:tcPr>
            <w:tcW w:w="892"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189.8 </w:t>
            </w:r>
          </w:p>
        </w:tc>
        <w:tc>
          <w:tcPr>
            <w:tcW w:w="892"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潜水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仓粮村</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191.3 </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13.5 </w:t>
            </w:r>
          </w:p>
        </w:tc>
        <w:tc>
          <w:tcPr>
            <w:tcW w:w="892"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177.8 </w:t>
            </w:r>
          </w:p>
        </w:tc>
        <w:tc>
          <w:tcPr>
            <w:tcW w:w="892"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潜水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厢房屯</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153.7 </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2.2 </w:t>
            </w:r>
          </w:p>
        </w:tc>
        <w:tc>
          <w:tcPr>
            <w:tcW w:w="892"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151.5 </w:t>
            </w:r>
          </w:p>
        </w:tc>
        <w:tc>
          <w:tcPr>
            <w:tcW w:w="892"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承压水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三家子村</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187.3 </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3.2 </w:t>
            </w:r>
          </w:p>
        </w:tc>
        <w:tc>
          <w:tcPr>
            <w:tcW w:w="892"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184.1 </w:t>
            </w:r>
          </w:p>
        </w:tc>
        <w:tc>
          <w:tcPr>
            <w:tcW w:w="892"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承压水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后永利村</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180.4 </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2.2 </w:t>
            </w:r>
          </w:p>
        </w:tc>
        <w:tc>
          <w:tcPr>
            <w:tcW w:w="892"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178.2 </w:t>
            </w:r>
          </w:p>
        </w:tc>
        <w:tc>
          <w:tcPr>
            <w:tcW w:w="892"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潜水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6</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肖荣窝棚</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210.0 </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12.5 </w:t>
            </w:r>
          </w:p>
        </w:tc>
        <w:tc>
          <w:tcPr>
            <w:tcW w:w="892"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197.5 </w:t>
            </w:r>
          </w:p>
        </w:tc>
        <w:tc>
          <w:tcPr>
            <w:tcW w:w="892"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潜水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7</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果元村</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187.0 </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4.5 </w:t>
            </w:r>
          </w:p>
        </w:tc>
        <w:tc>
          <w:tcPr>
            <w:tcW w:w="892"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182.5 </w:t>
            </w:r>
          </w:p>
        </w:tc>
        <w:tc>
          <w:tcPr>
            <w:tcW w:w="892"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潜水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8</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三胜村</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188.0 </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3.2 </w:t>
            </w:r>
          </w:p>
        </w:tc>
        <w:tc>
          <w:tcPr>
            <w:tcW w:w="892"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184.8 </w:t>
            </w:r>
          </w:p>
        </w:tc>
        <w:tc>
          <w:tcPr>
            <w:tcW w:w="892"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潜水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9</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default" w:ascii="Times New Roman" w:hAnsi="Times New Roman" w:cs="Times New Roman" w:eastAsiaTheme="minorEastAsia"/>
                <w:color w:val="auto"/>
                <w:w w:val="99"/>
                <w:sz w:val="21"/>
                <w:szCs w:val="21"/>
                <w:highlight w:val="none"/>
                <w:lang w:val="en-US" w:eastAsia="zh-CN"/>
              </w:rPr>
              <w:t>前仓粮</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196.7 </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7.1 </w:t>
            </w:r>
          </w:p>
        </w:tc>
        <w:tc>
          <w:tcPr>
            <w:tcW w:w="892"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189.6 </w:t>
            </w:r>
          </w:p>
        </w:tc>
        <w:tc>
          <w:tcPr>
            <w:tcW w:w="892"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潜水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10</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default" w:ascii="Times New Roman" w:hAnsi="Times New Roman" w:cs="Times New Roman" w:eastAsiaTheme="minorEastAsia"/>
                <w:color w:val="auto"/>
                <w:w w:val="99"/>
                <w:sz w:val="21"/>
                <w:szCs w:val="21"/>
                <w:highlight w:val="none"/>
                <w:lang w:val="en-US" w:eastAsia="zh-CN"/>
              </w:rPr>
              <w:t>后新立屯</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213.7 </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23.2 </w:t>
            </w:r>
          </w:p>
        </w:tc>
        <w:tc>
          <w:tcPr>
            <w:tcW w:w="892"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190.5 </w:t>
            </w:r>
          </w:p>
        </w:tc>
        <w:tc>
          <w:tcPr>
            <w:tcW w:w="892"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潜水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新立村</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180.2 </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3.1 </w:t>
            </w:r>
          </w:p>
        </w:tc>
        <w:tc>
          <w:tcPr>
            <w:tcW w:w="892"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177.1 </w:t>
            </w:r>
          </w:p>
        </w:tc>
        <w:tc>
          <w:tcPr>
            <w:tcW w:w="892"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潜水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小三家子</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196.7 </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7.5 </w:t>
            </w:r>
          </w:p>
        </w:tc>
        <w:tc>
          <w:tcPr>
            <w:tcW w:w="892"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189.2 </w:t>
            </w:r>
          </w:p>
        </w:tc>
        <w:tc>
          <w:tcPr>
            <w:tcW w:w="892"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承压水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13</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永力乡</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169.4 </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2.3 </w:t>
            </w:r>
          </w:p>
        </w:tc>
        <w:tc>
          <w:tcPr>
            <w:tcW w:w="892"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167.1 </w:t>
            </w:r>
          </w:p>
        </w:tc>
        <w:tc>
          <w:tcPr>
            <w:tcW w:w="892"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承压水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14</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新立屯</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189.6 </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3.2 </w:t>
            </w:r>
          </w:p>
        </w:tc>
        <w:tc>
          <w:tcPr>
            <w:tcW w:w="892"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186.4 </w:t>
            </w:r>
          </w:p>
        </w:tc>
        <w:tc>
          <w:tcPr>
            <w:tcW w:w="892"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潜水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孟克里村</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181.7 </w:t>
            </w:r>
          </w:p>
        </w:tc>
        <w:tc>
          <w:tcPr>
            <w:tcW w:w="893"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3.2 </w:t>
            </w:r>
          </w:p>
        </w:tc>
        <w:tc>
          <w:tcPr>
            <w:tcW w:w="892"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178.5 </w:t>
            </w:r>
          </w:p>
        </w:tc>
        <w:tc>
          <w:tcPr>
            <w:tcW w:w="892" w:type="pct"/>
            <w:vAlign w:val="center"/>
          </w:tcPr>
          <w:p>
            <w:pPr>
              <w:widowControl w:val="0"/>
              <w:autoSpaceDE w:val="0"/>
              <w:autoSpaceDN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潜水</w:t>
            </w:r>
          </w:p>
        </w:tc>
      </w:tr>
    </w:tbl>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4.3.2.2地下水水质监测</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（1）地下水质监测因子</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监测因子：K</w:t>
      </w:r>
      <w:r>
        <w:rPr>
          <w:rFonts w:ascii="Times New Roman" w:hAnsi="Times New Roman" w:cs="Times New Roman" w:eastAsiaTheme="minorEastAsia"/>
          <w:color w:val="auto"/>
          <w:w w:val="99"/>
          <w:highlight w:val="none"/>
          <w:vertAlign w:val="superscript"/>
        </w:rPr>
        <w:t>+</w:t>
      </w:r>
      <w:r>
        <w:rPr>
          <w:rFonts w:ascii="Times New Roman" w:hAnsi="Times New Roman" w:cs="Times New Roman" w:eastAsiaTheme="minorEastAsia"/>
          <w:color w:val="auto"/>
          <w:w w:val="99"/>
          <w:highlight w:val="none"/>
        </w:rPr>
        <w:t>、Na</w:t>
      </w:r>
      <w:r>
        <w:rPr>
          <w:rFonts w:ascii="Times New Roman" w:hAnsi="Times New Roman" w:cs="Times New Roman" w:eastAsiaTheme="minorEastAsia"/>
          <w:color w:val="auto"/>
          <w:w w:val="99"/>
          <w:highlight w:val="none"/>
          <w:vertAlign w:val="superscript"/>
        </w:rPr>
        <w:t>+</w:t>
      </w:r>
      <w:r>
        <w:rPr>
          <w:rFonts w:ascii="Times New Roman" w:hAnsi="Times New Roman" w:cs="Times New Roman" w:eastAsiaTheme="minorEastAsia"/>
          <w:color w:val="auto"/>
          <w:w w:val="99"/>
          <w:highlight w:val="none"/>
        </w:rPr>
        <w:t>、Ca</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、Mg</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、CO</w:t>
      </w:r>
      <w:r>
        <w:rPr>
          <w:rFonts w:ascii="Times New Roman" w:hAnsi="Times New Roman" w:cs="Times New Roman" w:eastAsiaTheme="minorEastAsia"/>
          <w:color w:val="auto"/>
          <w:w w:val="99"/>
          <w:highlight w:val="none"/>
          <w:vertAlign w:val="subscript"/>
        </w:rPr>
        <w:t>3</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、HCO</w:t>
      </w:r>
      <w:r>
        <w:rPr>
          <w:rFonts w:ascii="Times New Roman" w:hAnsi="Times New Roman" w:cs="Times New Roman" w:eastAsiaTheme="minorEastAsia"/>
          <w:color w:val="auto"/>
          <w:w w:val="99"/>
          <w:highlight w:val="none"/>
          <w:vertAlign w:val="subscript"/>
        </w:rPr>
        <w:t>3</w:t>
      </w:r>
      <w:r>
        <w:rPr>
          <w:rFonts w:ascii="Times New Roman" w:hAnsi="Times New Roman" w:cs="Times New Roman" w:eastAsiaTheme="minorEastAsia"/>
          <w:color w:val="auto"/>
          <w:w w:val="99"/>
          <w:highlight w:val="none"/>
          <w:vertAlign w:val="superscript"/>
        </w:rPr>
        <w:t>-</w:t>
      </w:r>
      <w:r>
        <w:rPr>
          <w:rFonts w:ascii="Times New Roman" w:hAnsi="Times New Roman" w:cs="Times New Roman" w:eastAsiaTheme="minorEastAsia"/>
          <w:color w:val="auto"/>
          <w:w w:val="99"/>
          <w:highlight w:val="none"/>
        </w:rPr>
        <w:t>、Cl</w:t>
      </w:r>
      <w:r>
        <w:rPr>
          <w:rFonts w:ascii="Times New Roman" w:hAnsi="Times New Roman" w:cs="Times New Roman" w:eastAsiaTheme="minorEastAsia"/>
          <w:color w:val="auto"/>
          <w:w w:val="99"/>
          <w:highlight w:val="none"/>
          <w:vertAlign w:val="superscript"/>
        </w:rPr>
        <w:t>-</w:t>
      </w:r>
      <w:r>
        <w:rPr>
          <w:rFonts w:ascii="Times New Roman" w:hAnsi="Times New Roman" w:cs="Times New Roman" w:eastAsiaTheme="minorEastAsia"/>
          <w:color w:val="auto"/>
          <w:w w:val="99"/>
          <w:highlight w:val="none"/>
        </w:rPr>
        <w:t>、SO</w:t>
      </w:r>
      <w:r>
        <w:rPr>
          <w:rFonts w:ascii="Times New Roman" w:hAnsi="Times New Roman" w:cs="Times New Roman" w:eastAsiaTheme="minorEastAsia"/>
          <w:color w:val="auto"/>
          <w:w w:val="99"/>
          <w:highlight w:val="none"/>
          <w:vertAlign w:val="subscript"/>
        </w:rPr>
        <w:t>4</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、pH、氨氮、硝酸盐、亚硝酸盐、挥发性酚类、氰化物、砷、汞、铬（六价）、总硬度、铅、氟化物、镉、铁、锰、溶解性总固体、耗氧量、总大肠菌群、菌落总数、石油类。</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（2）水质监测布点</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bCs/>
          <w:color w:val="auto"/>
          <w:w w:val="99"/>
          <w:kern w:val="21"/>
          <w:szCs w:val="20"/>
          <w:highlight w:val="none"/>
        </w:rPr>
        <w:t>根据本项目地层特征，以及地下水含水层特点和区域水资源开发利用情况，参照《环境影响评价技术导则 地下水环境》（HJ610-2016），本次共布设</w:t>
      </w:r>
      <w:r>
        <w:rPr>
          <w:rFonts w:hint="eastAsia" w:ascii="Times New Roman" w:hAnsi="Times New Roman" w:cs="Times New Roman" w:eastAsiaTheme="minorEastAsia"/>
          <w:color w:val="auto"/>
          <w:w w:val="99"/>
          <w:highlight w:val="none"/>
          <w:lang w:val="en-US" w:eastAsia="zh-CN"/>
        </w:rPr>
        <w:t>7</w:t>
      </w:r>
      <w:r>
        <w:rPr>
          <w:rFonts w:ascii="Times New Roman" w:hAnsi="Times New Roman" w:cs="Times New Roman" w:eastAsiaTheme="minorEastAsia"/>
          <w:color w:val="auto"/>
          <w:w w:val="99"/>
          <w:highlight w:val="none"/>
        </w:rPr>
        <w:t>个水质监测点。地下水水质监测布点见</w:t>
      </w:r>
      <w:r>
        <w:rPr>
          <w:rFonts w:hint="eastAsia" w:ascii="Times New Roman" w:hAnsi="Times New Roman" w:cs="Times New Roman" w:eastAsiaTheme="minorEastAsia"/>
          <w:color w:val="auto"/>
          <w:w w:val="99"/>
          <w:highlight w:val="none"/>
          <w:lang w:eastAsia="zh-CN"/>
        </w:rPr>
        <w:t>附图11</w:t>
      </w:r>
      <w:r>
        <w:rPr>
          <w:rFonts w:ascii="Times New Roman" w:hAnsi="Times New Roman" w:cs="Times New Roman" w:eastAsiaTheme="minorEastAsia"/>
          <w:color w:val="auto"/>
          <w:w w:val="99"/>
          <w:highlight w:val="none"/>
        </w:rPr>
        <w:t>。</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地下水水质监测布点信息见表4.3-</w:t>
      </w:r>
      <w:r>
        <w:rPr>
          <w:rFonts w:hint="eastAsia" w:ascii="Times New Roman" w:hAnsi="Times New Roman" w:cs="Times New Roman" w:eastAsiaTheme="minorEastAsia"/>
          <w:color w:val="auto"/>
          <w:w w:val="99"/>
          <w:highlight w:val="none"/>
          <w:lang w:val="en-US" w:eastAsia="zh-CN"/>
        </w:rPr>
        <w:t>7</w:t>
      </w:r>
      <w:r>
        <w:rPr>
          <w:rFonts w:ascii="Times New Roman" w:hAnsi="Times New Roman" w:cs="Times New Roman" w:eastAsiaTheme="minorEastAsia"/>
          <w:color w:val="auto"/>
          <w:w w:val="99"/>
          <w:highlight w:val="none"/>
        </w:rPr>
        <w:t>。</w:t>
      </w:r>
    </w:p>
    <w:p>
      <w:pPr>
        <w:spacing w:line="500" w:lineRule="exact"/>
        <w:ind w:firstLine="476" w:firstLineChars="200"/>
        <w:jc w:val="both"/>
        <w:rPr>
          <w:rFonts w:ascii="Times New Roman" w:hAnsi="Times New Roman" w:cs="Times New Roman" w:eastAsiaTheme="minorEastAsia"/>
          <w:b/>
          <w:bCs/>
          <w:color w:val="auto"/>
          <w:w w:val="99"/>
          <w:highlight w:val="none"/>
        </w:rPr>
      </w:pPr>
      <w:r>
        <w:rPr>
          <w:rFonts w:ascii="Times New Roman" w:hAnsi="Times New Roman" w:cs="Times New Roman" w:eastAsiaTheme="minorEastAsia"/>
          <w:b/>
          <w:bCs/>
          <w:color w:val="auto"/>
          <w:w w:val="99"/>
          <w:highlight w:val="none"/>
        </w:rPr>
        <w:t>表4.3-</w:t>
      </w:r>
      <w:r>
        <w:rPr>
          <w:rFonts w:hint="eastAsia" w:ascii="Times New Roman" w:hAnsi="Times New Roman" w:cs="Times New Roman" w:eastAsiaTheme="minorEastAsia"/>
          <w:b/>
          <w:bCs/>
          <w:color w:val="auto"/>
          <w:w w:val="99"/>
          <w:highlight w:val="none"/>
          <w:lang w:val="en-US" w:eastAsia="zh-CN"/>
        </w:rPr>
        <w:t>7</w:t>
      </w:r>
      <w:r>
        <w:rPr>
          <w:rFonts w:ascii="Times New Roman" w:hAnsi="Times New Roman" w:cs="Times New Roman" w:eastAsiaTheme="minorEastAsia"/>
          <w:b/>
          <w:bCs/>
          <w:color w:val="auto"/>
          <w:w w:val="99"/>
          <w:highlight w:val="none"/>
        </w:rPr>
        <w:t xml:space="preserve">                地下水水质监测布点信息表</w:t>
      </w:r>
    </w:p>
    <w:tbl>
      <w:tblPr>
        <w:tblStyle w:val="8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8"/>
        <w:gridCol w:w="1523"/>
        <w:gridCol w:w="1163"/>
        <w:gridCol w:w="1306"/>
        <w:gridCol w:w="1599"/>
        <w:gridCol w:w="871"/>
        <w:gridCol w:w="1163"/>
        <w:gridCol w:w="11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编号</w:t>
            </w:r>
          </w:p>
        </w:tc>
        <w:tc>
          <w:tcPr>
            <w:tcW w:w="8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监测点位</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监测层位</w:t>
            </w:r>
          </w:p>
        </w:tc>
        <w:tc>
          <w:tcPr>
            <w:tcW w:w="70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坐标</w:t>
            </w:r>
          </w:p>
        </w:tc>
        <w:tc>
          <w:tcPr>
            <w:tcW w:w="86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相对位置</w:t>
            </w:r>
          </w:p>
        </w:tc>
        <w:tc>
          <w:tcPr>
            <w:tcW w:w="46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井深（m）</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与地下水流向关系</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水井功能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w:t>
            </w:r>
          </w:p>
        </w:tc>
        <w:tc>
          <w:tcPr>
            <w:tcW w:w="1523" w:type="dxa"/>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后仓粮</w:t>
            </w:r>
          </w:p>
        </w:tc>
        <w:tc>
          <w:tcPr>
            <w:tcW w:w="1163" w:type="dxa"/>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潜水</w:t>
            </w:r>
          </w:p>
        </w:tc>
        <w:tc>
          <w:tcPr>
            <w:tcW w:w="1306" w:type="dxa"/>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125.01523018,45.57848391</w:t>
            </w:r>
          </w:p>
        </w:tc>
        <w:tc>
          <w:tcPr>
            <w:tcW w:w="86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拟钻井源244-134</w:t>
            </w:r>
            <w:r>
              <w:rPr>
                <w:rFonts w:hint="eastAsia" w:ascii="Times New Roman" w:hAnsi="Times New Roman" w:cs="Times New Roman" w:eastAsiaTheme="minorEastAsia"/>
                <w:color w:val="auto"/>
                <w:w w:val="99"/>
                <w:kern w:val="2"/>
                <w:sz w:val="21"/>
                <w:szCs w:val="21"/>
                <w:highlight w:val="none"/>
                <w:lang w:eastAsia="zh-CN"/>
              </w:rPr>
              <w:t>东北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val="en-US" w:eastAsia="zh-CN"/>
              </w:rPr>
              <w:t>537</w:t>
            </w:r>
            <w:r>
              <w:rPr>
                <w:rFonts w:ascii="Times New Roman" w:hAnsi="Times New Roman" w:cs="Times New Roman" w:eastAsiaTheme="minorEastAsia"/>
                <w:color w:val="auto"/>
                <w:w w:val="99"/>
                <w:kern w:val="2"/>
                <w:sz w:val="21"/>
                <w:szCs w:val="21"/>
                <w:highlight w:val="none"/>
              </w:rPr>
              <w:t>m</w:t>
            </w:r>
          </w:p>
        </w:tc>
        <w:tc>
          <w:tcPr>
            <w:tcW w:w="46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18</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上游水井</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灌溉</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喂养牲畜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w:t>
            </w:r>
          </w:p>
        </w:tc>
        <w:tc>
          <w:tcPr>
            <w:tcW w:w="1523" w:type="dxa"/>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eastAsia="zh-CN"/>
              </w:rPr>
              <w:t>仓粮村</w:t>
            </w:r>
          </w:p>
        </w:tc>
        <w:tc>
          <w:tcPr>
            <w:tcW w:w="1163" w:type="dxa"/>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潜水</w:t>
            </w:r>
          </w:p>
        </w:tc>
        <w:tc>
          <w:tcPr>
            <w:tcW w:w="1306" w:type="dxa"/>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125.02634525,45.56679799</w:t>
            </w:r>
          </w:p>
        </w:tc>
        <w:tc>
          <w:tcPr>
            <w:tcW w:w="86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拟钻井源236-134东</w:t>
            </w:r>
            <w:r>
              <w:rPr>
                <w:rFonts w:hint="eastAsia" w:ascii="Times New Roman" w:hAnsi="Times New Roman" w:cs="Times New Roman" w:eastAsiaTheme="minorEastAsia"/>
                <w:color w:val="auto"/>
                <w:w w:val="99"/>
                <w:kern w:val="2"/>
                <w:sz w:val="21"/>
                <w:szCs w:val="21"/>
                <w:highlight w:val="none"/>
                <w:lang w:eastAsia="zh-CN"/>
              </w:rPr>
              <w:t>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val="en-US" w:eastAsia="zh-CN"/>
              </w:rPr>
              <w:t>757</w:t>
            </w:r>
            <w:r>
              <w:rPr>
                <w:rFonts w:ascii="Times New Roman" w:hAnsi="Times New Roman" w:cs="Times New Roman" w:eastAsiaTheme="minorEastAsia"/>
                <w:color w:val="auto"/>
                <w:w w:val="99"/>
                <w:kern w:val="2"/>
                <w:sz w:val="21"/>
                <w:szCs w:val="21"/>
                <w:highlight w:val="none"/>
              </w:rPr>
              <w:t xml:space="preserve">m </w:t>
            </w:r>
          </w:p>
        </w:tc>
        <w:tc>
          <w:tcPr>
            <w:tcW w:w="468" w:type="pct"/>
            <w:vAlign w:val="center"/>
          </w:tcPr>
          <w:p>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22</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上游水井</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灌溉</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喂养牲畜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3</w:t>
            </w:r>
          </w:p>
        </w:tc>
        <w:tc>
          <w:tcPr>
            <w:tcW w:w="1523" w:type="dxa"/>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eastAsia="zh-CN"/>
              </w:rPr>
              <w:t>厢房屯</w:t>
            </w:r>
          </w:p>
        </w:tc>
        <w:tc>
          <w:tcPr>
            <w:tcW w:w="1163" w:type="dxa"/>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eastAsia="zh-CN"/>
              </w:rPr>
              <w:t>承压水</w:t>
            </w:r>
          </w:p>
        </w:tc>
        <w:tc>
          <w:tcPr>
            <w:tcW w:w="1306" w:type="dxa"/>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125.00428677,45.56709843</w:t>
            </w:r>
          </w:p>
        </w:tc>
        <w:tc>
          <w:tcPr>
            <w:tcW w:w="86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拟钻井源248-130南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234m</w:t>
            </w:r>
          </w:p>
        </w:tc>
        <w:tc>
          <w:tcPr>
            <w:tcW w:w="468" w:type="pct"/>
            <w:vAlign w:val="center"/>
          </w:tcPr>
          <w:p>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75</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区域内水井</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灌溉</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喂养牲畜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w:t>
            </w:r>
          </w:p>
        </w:tc>
        <w:tc>
          <w:tcPr>
            <w:tcW w:w="1523" w:type="dxa"/>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三家子村</w:t>
            </w:r>
          </w:p>
        </w:tc>
        <w:tc>
          <w:tcPr>
            <w:tcW w:w="1163" w:type="dxa"/>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eastAsia="zh-CN"/>
              </w:rPr>
              <w:t>承压水</w:t>
            </w:r>
          </w:p>
        </w:tc>
        <w:tc>
          <w:tcPr>
            <w:tcW w:w="1306" w:type="dxa"/>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124.97175694,45.56075881</w:t>
            </w:r>
          </w:p>
        </w:tc>
        <w:tc>
          <w:tcPr>
            <w:tcW w:w="86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拟钻井源296-108西侧727m</w:t>
            </w:r>
          </w:p>
        </w:tc>
        <w:tc>
          <w:tcPr>
            <w:tcW w:w="468" w:type="pct"/>
            <w:vAlign w:val="center"/>
          </w:tcPr>
          <w:p>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80</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下游水井</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灌溉</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喂养牲畜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5</w:t>
            </w:r>
          </w:p>
        </w:tc>
        <w:tc>
          <w:tcPr>
            <w:tcW w:w="1523" w:type="dxa"/>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后永利村</w:t>
            </w:r>
          </w:p>
        </w:tc>
        <w:tc>
          <w:tcPr>
            <w:tcW w:w="1163" w:type="dxa"/>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潜水</w:t>
            </w:r>
          </w:p>
        </w:tc>
        <w:tc>
          <w:tcPr>
            <w:tcW w:w="1306" w:type="dxa"/>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124.99969482,45.55114286</w:t>
            </w:r>
          </w:p>
        </w:tc>
        <w:tc>
          <w:tcPr>
            <w:tcW w:w="86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拟钻井源312-116东南侧516m</w:t>
            </w:r>
          </w:p>
        </w:tc>
        <w:tc>
          <w:tcPr>
            <w:tcW w:w="468" w:type="pct"/>
            <w:vAlign w:val="center"/>
          </w:tcPr>
          <w:p>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15</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下游水井</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灌溉</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喂养牲畜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6</w:t>
            </w:r>
          </w:p>
        </w:tc>
        <w:tc>
          <w:tcPr>
            <w:tcW w:w="1523" w:type="dxa"/>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肖荣窝棚</w:t>
            </w:r>
          </w:p>
        </w:tc>
        <w:tc>
          <w:tcPr>
            <w:tcW w:w="1163" w:type="dxa"/>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潜水</w:t>
            </w:r>
          </w:p>
        </w:tc>
        <w:tc>
          <w:tcPr>
            <w:tcW w:w="1306" w:type="dxa"/>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124.97900963,45.54555283</w:t>
            </w:r>
          </w:p>
        </w:tc>
        <w:tc>
          <w:tcPr>
            <w:tcW w:w="1599"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拟钻井源298-116东南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205m</w:t>
            </w:r>
          </w:p>
        </w:tc>
        <w:tc>
          <w:tcPr>
            <w:tcW w:w="468" w:type="pct"/>
            <w:vAlign w:val="center"/>
          </w:tcPr>
          <w:p>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20</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下游水井</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灌溉</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喂养牲畜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7</w:t>
            </w:r>
          </w:p>
        </w:tc>
        <w:tc>
          <w:tcPr>
            <w:tcW w:w="1523" w:type="dxa"/>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果元村</w:t>
            </w:r>
          </w:p>
        </w:tc>
        <w:tc>
          <w:tcPr>
            <w:tcW w:w="1163" w:type="dxa"/>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潜水</w:t>
            </w:r>
          </w:p>
        </w:tc>
        <w:tc>
          <w:tcPr>
            <w:tcW w:w="1306" w:type="dxa"/>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124.98321533,45.54104433</w:t>
            </w:r>
          </w:p>
        </w:tc>
        <w:tc>
          <w:tcPr>
            <w:tcW w:w="1599"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拟钻井源312-116东南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271m</w:t>
            </w:r>
          </w:p>
        </w:tc>
        <w:tc>
          <w:tcPr>
            <w:tcW w:w="468" w:type="pct"/>
            <w:vAlign w:val="center"/>
          </w:tcPr>
          <w:p>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25</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下游水井</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灌溉</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喂养牲畜</w:t>
            </w:r>
          </w:p>
        </w:tc>
      </w:tr>
    </w:tbl>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（3）监测时间及频次</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202</w:t>
      </w:r>
      <w:r>
        <w:rPr>
          <w:rFonts w:hint="eastAsia" w:ascii="Times New Roman" w:hAnsi="Times New Roman" w:cs="Times New Roman" w:eastAsiaTheme="minorEastAsia"/>
          <w:color w:val="auto"/>
          <w:w w:val="99"/>
          <w:highlight w:val="none"/>
          <w:lang w:val="en-US" w:eastAsia="zh-CN"/>
        </w:rPr>
        <w:t>2</w:t>
      </w:r>
      <w:r>
        <w:rPr>
          <w:rFonts w:ascii="Times New Roman" w:hAnsi="Times New Roman" w:cs="Times New Roman" w:eastAsiaTheme="minorEastAsia"/>
          <w:color w:val="auto"/>
          <w:w w:val="99"/>
          <w:highlight w:val="none"/>
        </w:rPr>
        <w:t>年</w:t>
      </w:r>
      <w:r>
        <w:rPr>
          <w:rFonts w:hint="eastAsia" w:ascii="Times New Roman" w:hAnsi="Times New Roman" w:cs="Times New Roman" w:eastAsiaTheme="minorEastAsia"/>
          <w:color w:val="auto"/>
          <w:w w:val="99"/>
          <w:highlight w:val="none"/>
          <w:lang w:val="en-US" w:eastAsia="zh-CN"/>
        </w:rPr>
        <w:t>1</w:t>
      </w:r>
      <w:r>
        <w:rPr>
          <w:rFonts w:ascii="Times New Roman" w:hAnsi="Times New Roman" w:cs="Times New Roman" w:eastAsiaTheme="minorEastAsia"/>
          <w:color w:val="auto"/>
          <w:w w:val="99"/>
          <w:highlight w:val="none"/>
        </w:rPr>
        <w:t>月</w:t>
      </w:r>
      <w:r>
        <w:rPr>
          <w:rFonts w:hint="eastAsia" w:ascii="Times New Roman" w:hAnsi="Times New Roman" w:cs="Times New Roman" w:eastAsiaTheme="minorEastAsia"/>
          <w:color w:val="auto"/>
          <w:w w:val="99"/>
          <w:highlight w:val="none"/>
          <w:lang w:val="en-US" w:eastAsia="zh-CN"/>
        </w:rPr>
        <w:t>18</w:t>
      </w:r>
      <w:r>
        <w:rPr>
          <w:rFonts w:ascii="Times New Roman" w:hAnsi="Times New Roman" w:cs="Times New Roman" w:eastAsiaTheme="minorEastAsia"/>
          <w:color w:val="auto"/>
          <w:w w:val="99"/>
          <w:highlight w:val="none"/>
        </w:rPr>
        <w:t>日对地下水质监测井取样1次，并进行水质分析。</w:t>
      </w:r>
    </w:p>
    <w:p>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color w:val="auto"/>
          <w:w w:val="99"/>
          <w:highlight w:val="none"/>
        </w:rPr>
      </w:pPr>
      <w:r>
        <w:rPr>
          <w:rFonts w:ascii="Times New Roman" w:hAnsi="Times New Roman" w:cs="Times New Roman" w:eastAsiaTheme="minorEastAsia"/>
          <w:color w:val="auto"/>
          <w:w w:val="99"/>
          <w:highlight w:val="none"/>
        </w:rPr>
        <w:t>（4）</w:t>
      </w:r>
      <w:r>
        <w:rPr>
          <w:rFonts w:hint="default" w:ascii="Times New Roman" w:hAnsi="Times New Roman" w:eastAsia="宋体" w:cs="Times New Roman"/>
          <w:color w:val="auto"/>
          <w:w w:val="99"/>
          <w:highlight w:val="none"/>
        </w:rPr>
        <w:t>监测方法</w:t>
      </w:r>
    </w:p>
    <w:p>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color w:val="auto"/>
          <w:w w:val="99"/>
          <w:highlight w:val="none"/>
        </w:rPr>
      </w:pPr>
      <w:r>
        <w:rPr>
          <w:rFonts w:hint="default" w:ascii="Times New Roman" w:hAnsi="Times New Roman" w:eastAsia="宋体" w:cs="Times New Roman"/>
          <w:color w:val="auto"/>
          <w:w w:val="99"/>
          <w:highlight w:val="none"/>
        </w:rPr>
        <w:t>地下水水质现状监测分析方法见表4.</w:t>
      </w:r>
      <w:r>
        <w:rPr>
          <w:rFonts w:hint="eastAsia" w:ascii="Times New Roman" w:hAnsi="Times New Roman" w:cs="Times New Roman"/>
          <w:color w:val="auto"/>
          <w:w w:val="99"/>
          <w:highlight w:val="none"/>
          <w:lang w:val="en-US" w:eastAsia="zh-CN"/>
        </w:rPr>
        <w:t>3</w:t>
      </w:r>
      <w:r>
        <w:rPr>
          <w:rFonts w:hint="default" w:ascii="Times New Roman" w:hAnsi="Times New Roman" w:eastAsia="宋体" w:cs="Times New Roman"/>
          <w:color w:val="auto"/>
          <w:w w:val="99"/>
          <w:highlight w:val="none"/>
        </w:rPr>
        <w:t>-</w:t>
      </w:r>
      <w:r>
        <w:rPr>
          <w:rFonts w:hint="eastAsia" w:ascii="Times New Roman" w:hAnsi="Times New Roman" w:cs="Times New Roman"/>
          <w:color w:val="auto"/>
          <w:w w:val="99"/>
          <w:highlight w:val="none"/>
          <w:lang w:val="en-US" w:eastAsia="zh-CN"/>
        </w:rPr>
        <w:t>8</w:t>
      </w:r>
      <w:r>
        <w:rPr>
          <w:rFonts w:hint="default" w:ascii="Times New Roman" w:hAnsi="Times New Roman" w:eastAsia="宋体" w:cs="Times New Roman"/>
          <w:color w:val="auto"/>
          <w:w w:val="99"/>
          <w:highlight w:val="none"/>
        </w:rPr>
        <w:t>。</w:t>
      </w:r>
    </w:p>
    <w:p>
      <w:pPr>
        <w:keepNext w:val="0"/>
        <w:keepLines w:val="0"/>
        <w:pageBreakBefore w:val="0"/>
        <w:widowControl/>
        <w:kinsoku/>
        <w:wordWrap/>
        <w:overflowPunct/>
        <w:topLinePunct w:val="0"/>
        <w:autoSpaceDE/>
        <w:autoSpaceDN/>
        <w:bidi w:val="0"/>
        <w:adjustRightInd/>
        <w:snapToGrid/>
        <w:spacing w:line="440" w:lineRule="exact"/>
        <w:ind w:firstLine="476" w:firstLineChars="200"/>
        <w:jc w:val="both"/>
        <w:textAlignment w:val="auto"/>
        <w:rPr>
          <w:rFonts w:hint="default" w:ascii="Times New Roman" w:hAnsi="Times New Roman" w:eastAsia="宋体" w:cs="Times New Roman"/>
          <w:b/>
          <w:bCs/>
          <w:color w:val="auto"/>
          <w:w w:val="99"/>
          <w:highlight w:val="none"/>
        </w:rPr>
      </w:pPr>
      <w:r>
        <w:rPr>
          <w:rFonts w:hint="default" w:ascii="Times New Roman" w:hAnsi="Times New Roman" w:eastAsia="宋体" w:cs="Times New Roman"/>
          <w:b/>
          <w:bCs/>
          <w:color w:val="auto"/>
          <w:w w:val="99"/>
          <w:highlight w:val="none"/>
        </w:rPr>
        <w:t>表4.</w:t>
      </w:r>
      <w:r>
        <w:rPr>
          <w:rFonts w:hint="eastAsia" w:ascii="Times New Roman" w:hAnsi="Times New Roman" w:cs="Times New Roman"/>
          <w:b/>
          <w:bCs/>
          <w:color w:val="auto"/>
          <w:w w:val="99"/>
          <w:highlight w:val="none"/>
          <w:lang w:val="en-US" w:eastAsia="zh-CN"/>
        </w:rPr>
        <w:t>3</w:t>
      </w:r>
      <w:r>
        <w:rPr>
          <w:rFonts w:hint="default" w:ascii="Times New Roman" w:hAnsi="Times New Roman" w:eastAsia="宋体" w:cs="Times New Roman"/>
          <w:b/>
          <w:bCs/>
          <w:color w:val="auto"/>
          <w:w w:val="99"/>
          <w:highlight w:val="none"/>
        </w:rPr>
        <w:t>-</w:t>
      </w:r>
      <w:r>
        <w:rPr>
          <w:rFonts w:hint="eastAsia" w:ascii="Times New Roman" w:hAnsi="Times New Roman" w:cs="Times New Roman"/>
          <w:b/>
          <w:bCs/>
          <w:color w:val="auto"/>
          <w:w w:val="99"/>
          <w:highlight w:val="none"/>
          <w:lang w:val="en-US" w:eastAsia="zh-CN"/>
        </w:rPr>
        <w:t>8</w:t>
      </w:r>
      <w:r>
        <w:rPr>
          <w:rFonts w:hint="default" w:ascii="Times New Roman" w:hAnsi="Times New Roman" w:eastAsia="宋体" w:cs="Times New Roman"/>
          <w:b/>
          <w:bCs/>
          <w:color w:val="auto"/>
          <w:w w:val="99"/>
          <w:highlight w:val="none"/>
        </w:rPr>
        <w:t xml:space="preserve">    地下水现状监测分析方法及仪器</w:t>
      </w:r>
    </w:p>
    <w:tbl>
      <w:tblPr>
        <w:tblStyle w:val="82"/>
        <w:tblW w:w="9060" w:type="dxa"/>
        <w:tblInd w:w="0" w:type="dxa"/>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51"/>
        <w:gridCol w:w="1104"/>
        <w:gridCol w:w="2775"/>
        <w:gridCol w:w="1725"/>
        <w:gridCol w:w="1635"/>
        <w:gridCol w:w="1370"/>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序号</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监测</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项目</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分析方法名称</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方法来源及标准号</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分析仪器及型号</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方法检出限</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钾</w:t>
            </w:r>
          </w:p>
        </w:tc>
        <w:tc>
          <w:tcPr>
            <w:tcW w:w="277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zh-CN"/>
              </w:rPr>
              <w:t>水质钾和钠的测定火焰原子吸收分光光度法</w:t>
            </w:r>
          </w:p>
        </w:tc>
        <w:tc>
          <w:tcPr>
            <w:tcW w:w="172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zh-CN"/>
              </w:rPr>
              <w:t>GB/T11904-1989</w:t>
            </w:r>
          </w:p>
        </w:tc>
        <w:tc>
          <w:tcPr>
            <w:tcW w:w="163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原子吸收分光光度计 AA320N</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0.03mg/L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钠</w:t>
            </w:r>
          </w:p>
        </w:tc>
        <w:tc>
          <w:tcPr>
            <w:tcW w:w="277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72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63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0.010mg/L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3</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钙</w:t>
            </w:r>
          </w:p>
        </w:tc>
        <w:tc>
          <w:tcPr>
            <w:tcW w:w="277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zh-CN"/>
              </w:rPr>
            </w:pPr>
            <w:r>
              <w:rPr>
                <w:rFonts w:hint="eastAsia" w:ascii="Times New Roman" w:hAnsi="Times New Roman" w:cs="Times New Roman" w:eastAsiaTheme="minorEastAsia"/>
                <w:color w:val="auto"/>
                <w:w w:val="99"/>
                <w:kern w:val="2"/>
                <w:sz w:val="21"/>
                <w:szCs w:val="21"/>
                <w:highlight w:val="none"/>
                <w:lang w:val="zh-CN"/>
              </w:rPr>
              <w:t>水质钙和镁的测定</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zh-CN"/>
              </w:rPr>
              <w:t>原子吸收分光光度法</w:t>
            </w:r>
          </w:p>
        </w:tc>
        <w:tc>
          <w:tcPr>
            <w:tcW w:w="172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63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0.02mg/L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镁</w:t>
            </w:r>
          </w:p>
        </w:tc>
        <w:tc>
          <w:tcPr>
            <w:tcW w:w="277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72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63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0.002mg/L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5</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CO</w:t>
            </w:r>
            <w:r>
              <w:rPr>
                <w:rFonts w:hint="eastAsia" w:ascii="Times New Roman" w:hAnsi="Times New Roman" w:cs="Times New Roman" w:eastAsiaTheme="minorEastAsia"/>
                <w:color w:val="auto"/>
                <w:w w:val="99"/>
                <w:kern w:val="2"/>
                <w:sz w:val="21"/>
                <w:szCs w:val="21"/>
                <w:highlight w:val="none"/>
                <w:vertAlign w:val="subscript"/>
              </w:rPr>
              <w:t>3</w:t>
            </w:r>
            <w:r>
              <w:rPr>
                <w:rFonts w:hint="eastAsia" w:ascii="Times New Roman" w:hAnsi="Times New Roman" w:cs="Times New Roman" w:eastAsiaTheme="minorEastAsia"/>
                <w:color w:val="auto"/>
                <w:w w:val="99"/>
                <w:kern w:val="2"/>
                <w:sz w:val="21"/>
                <w:szCs w:val="21"/>
                <w:highlight w:val="none"/>
                <w:vertAlign w:val="superscript"/>
              </w:rPr>
              <w:t>2-</w:t>
            </w:r>
          </w:p>
        </w:tc>
        <w:tc>
          <w:tcPr>
            <w:tcW w:w="277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地下水质检验方法</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滴定法测定碳酸跟、重碳酸跟和氢氧根</w:t>
            </w:r>
          </w:p>
        </w:tc>
        <w:tc>
          <w:tcPr>
            <w:tcW w:w="172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DZ/T0064.49-93</w:t>
            </w:r>
          </w:p>
        </w:tc>
        <w:tc>
          <w:tcPr>
            <w:tcW w:w="163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滴定管</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5mg/L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6</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HCO</w:t>
            </w:r>
            <w:r>
              <w:rPr>
                <w:rFonts w:hint="eastAsia" w:ascii="Times New Roman" w:hAnsi="Times New Roman" w:cs="Times New Roman" w:eastAsiaTheme="minorEastAsia"/>
                <w:color w:val="auto"/>
                <w:w w:val="99"/>
                <w:kern w:val="2"/>
                <w:sz w:val="21"/>
                <w:szCs w:val="21"/>
                <w:highlight w:val="none"/>
                <w:vertAlign w:val="subscript"/>
              </w:rPr>
              <w:t>3</w:t>
            </w:r>
            <w:r>
              <w:rPr>
                <w:rFonts w:hint="eastAsia" w:ascii="Times New Roman" w:hAnsi="Times New Roman" w:cs="Times New Roman" w:eastAsiaTheme="minorEastAsia"/>
                <w:color w:val="auto"/>
                <w:w w:val="99"/>
                <w:kern w:val="2"/>
                <w:sz w:val="21"/>
                <w:szCs w:val="21"/>
                <w:highlight w:val="none"/>
                <w:vertAlign w:val="superscript"/>
              </w:rPr>
              <w:t>-</w:t>
            </w:r>
          </w:p>
        </w:tc>
        <w:tc>
          <w:tcPr>
            <w:tcW w:w="277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72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63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5mg/L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7</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SO</w:t>
            </w:r>
            <w:r>
              <w:rPr>
                <w:rFonts w:hint="eastAsia" w:ascii="Times New Roman" w:hAnsi="Times New Roman" w:cs="Times New Roman" w:eastAsiaTheme="minorEastAsia"/>
                <w:color w:val="auto"/>
                <w:w w:val="99"/>
                <w:kern w:val="2"/>
                <w:sz w:val="21"/>
                <w:szCs w:val="21"/>
                <w:highlight w:val="none"/>
                <w:vertAlign w:val="subscript"/>
              </w:rPr>
              <w:t>4</w:t>
            </w:r>
            <w:r>
              <w:rPr>
                <w:rFonts w:hint="eastAsia" w:ascii="Times New Roman" w:hAnsi="Times New Roman" w:cs="Times New Roman" w:eastAsiaTheme="minorEastAsia"/>
                <w:color w:val="auto"/>
                <w:w w:val="99"/>
                <w:kern w:val="2"/>
                <w:sz w:val="21"/>
                <w:szCs w:val="21"/>
                <w:highlight w:val="none"/>
                <w:vertAlign w:val="superscript"/>
              </w:rPr>
              <w:t>2-</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水质无机阴离子（F</w:t>
            </w:r>
            <w:r>
              <w:rPr>
                <w:rFonts w:hint="eastAsia" w:ascii="Times New Roman" w:hAnsi="Times New Roman" w:cs="Times New Roman" w:eastAsiaTheme="minorEastAsia"/>
                <w:color w:val="auto"/>
                <w:w w:val="99"/>
                <w:kern w:val="2"/>
                <w:sz w:val="21"/>
                <w:szCs w:val="21"/>
                <w:highlight w:val="none"/>
                <w:vertAlign w:val="superscript"/>
              </w:rPr>
              <w:t>-</w:t>
            </w:r>
            <w:r>
              <w:rPr>
                <w:rFonts w:hint="eastAsia" w:ascii="Times New Roman" w:hAnsi="Times New Roman" w:cs="Times New Roman" w:eastAsiaTheme="minorEastAsia"/>
                <w:color w:val="auto"/>
                <w:w w:val="99"/>
                <w:kern w:val="2"/>
                <w:sz w:val="21"/>
                <w:szCs w:val="21"/>
                <w:highlight w:val="none"/>
              </w:rPr>
              <w:t>、C</w:t>
            </w:r>
            <w:r>
              <w:rPr>
                <w:rFonts w:hint="eastAsia" w:ascii="Times New Roman" w:hAnsi="Times New Roman" w:cs="Times New Roman" w:eastAsiaTheme="minorEastAsia"/>
                <w:color w:val="auto"/>
                <w:w w:val="99"/>
                <w:kern w:val="2"/>
                <w:sz w:val="21"/>
                <w:szCs w:val="21"/>
                <w:highlight w:val="none"/>
                <w:vertAlign w:val="superscript"/>
              </w:rPr>
              <w:t>l-</w:t>
            </w:r>
            <w:r>
              <w:rPr>
                <w:rFonts w:hint="eastAsia" w:ascii="Times New Roman" w:hAnsi="Times New Roman" w:cs="Times New Roman" w:eastAsiaTheme="minorEastAsia"/>
                <w:color w:val="auto"/>
                <w:w w:val="99"/>
                <w:kern w:val="2"/>
                <w:sz w:val="21"/>
                <w:szCs w:val="21"/>
                <w:highlight w:val="none"/>
              </w:rPr>
              <w:t>、NO</w:t>
            </w:r>
            <w:r>
              <w:rPr>
                <w:rFonts w:hint="eastAsia" w:ascii="Times New Roman" w:hAnsi="Times New Roman" w:cs="Times New Roman" w:eastAsiaTheme="minorEastAsia"/>
                <w:color w:val="auto"/>
                <w:w w:val="99"/>
                <w:kern w:val="2"/>
                <w:sz w:val="21"/>
                <w:szCs w:val="21"/>
                <w:highlight w:val="none"/>
                <w:vertAlign w:val="subscript"/>
              </w:rPr>
              <w:t>2</w:t>
            </w:r>
            <w:r>
              <w:rPr>
                <w:rFonts w:hint="eastAsia" w:ascii="Times New Roman" w:hAnsi="Times New Roman" w:cs="Times New Roman" w:eastAsiaTheme="minorEastAsia"/>
                <w:color w:val="auto"/>
                <w:w w:val="99"/>
                <w:kern w:val="2"/>
                <w:sz w:val="21"/>
                <w:szCs w:val="21"/>
                <w:highlight w:val="none"/>
                <w:vertAlign w:val="superscript"/>
              </w:rPr>
              <w:t>-</w:t>
            </w:r>
            <w:r>
              <w:rPr>
                <w:rFonts w:hint="eastAsia" w:ascii="Times New Roman" w:hAnsi="Times New Roman" w:cs="Times New Roman" w:eastAsiaTheme="minorEastAsia"/>
                <w:color w:val="auto"/>
                <w:w w:val="99"/>
                <w:kern w:val="2"/>
                <w:sz w:val="21"/>
                <w:szCs w:val="21"/>
                <w:highlight w:val="none"/>
              </w:rPr>
              <w:t>、B</w:t>
            </w:r>
            <w:r>
              <w:rPr>
                <w:rFonts w:hint="eastAsia" w:ascii="Times New Roman" w:hAnsi="Times New Roman" w:cs="Times New Roman" w:eastAsiaTheme="minorEastAsia"/>
                <w:color w:val="auto"/>
                <w:w w:val="99"/>
                <w:kern w:val="2"/>
                <w:sz w:val="21"/>
                <w:szCs w:val="21"/>
                <w:highlight w:val="none"/>
                <w:vertAlign w:val="superscript"/>
              </w:rPr>
              <w:t>r-</w:t>
            </w:r>
            <w:r>
              <w:rPr>
                <w:rFonts w:hint="eastAsia" w:ascii="Times New Roman" w:hAnsi="Times New Roman" w:cs="Times New Roman" w:eastAsiaTheme="minorEastAsia"/>
                <w:color w:val="auto"/>
                <w:w w:val="99"/>
                <w:kern w:val="2"/>
                <w:sz w:val="21"/>
                <w:szCs w:val="21"/>
                <w:highlight w:val="none"/>
              </w:rPr>
              <w:t>、NO</w:t>
            </w:r>
            <w:r>
              <w:rPr>
                <w:rFonts w:hint="eastAsia" w:ascii="Times New Roman" w:hAnsi="Times New Roman" w:cs="Times New Roman" w:eastAsiaTheme="minorEastAsia"/>
                <w:color w:val="auto"/>
                <w:w w:val="99"/>
                <w:kern w:val="2"/>
                <w:sz w:val="21"/>
                <w:szCs w:val="21"/>
                <w:highlight w:val="none"/>
                <w:vertAlign w:val="subscript"/>
              </w:rPr>
              <w:t>3</w:t>
            </w:r>
            <w:r>
              <w:rPr>
                <w:rFonts w:hint="eastAsia" w:ascii="Times New Roman" w:hAnsi="Times New Roman" w:cs="Times New Roman" w:eastAsiaTheme="minorEastAsia"/>
                <w:color w:val="auto"/>
                <w:w w:val="99"/>
                <w:kern w:val="2"/>
                <w:sz w:val="21"/>
                <w:szCs w:val="21"/>
                <w:highlight w:val="none"/>
                <w:vertAlign w:val="superscript"/>
              </w:rPr>
              <w:t>-</w:t>
            </w:r>
            <w:r>
              <w:rPr>
                <w:rFonts w:hint="eastAsia" w:ascii="Times New Roman" w:hAnsi="Times New Roman" w:cs="Times New Roman" w:eastAsiaTheme="minorEastAsia"/>
                <w:color w:val="auto"/>
                <w:w w:val="99"/>
                <w:kern w:val="2"/>
                <w:sz w:val="21"/>
                <w:szCs w:val="21"/>
                <w:highlight w:val="none"/>
              </w:rPr>
              <w:t>、PO</w:t>
            </w:r>
            <w:r>
              <w:rPr>
                <w:rFonts w:hint="eastAsia" w:ascii="Times New Roman" w:hAnsi="Times New Roman" w:cs="Times New Roman" w:eastAsiaTheme="minorEastAsia"/>
                <w:color w:val="auto"/>
                <w:w w:val="99"/>
                <w:kern w:val="2"/>
                <w:sz w:val="21"/>
                <w:szCs w:val="21"/>
                <w:highlight w:val="none"/>
                <w:vertAlign w:val="subscript"/>
              </w:rPr>
              <w:t>4</w:t>
            </w:r>
            <w:r>
              <w:rPr>
                <w:rFonts w:hint="eastAsia" w:ascii="Times New Roman" w:hAnsi="Times New Roman" w:cs="Times New Roman" w:eastAsiaTheme="minorEastAsia"/>
                <w:color w:val="auto"/>
                <w:w w:val="99"/>
                <w:kern w:val="2"/>
                <w:sz w:val="21"/>
                <w:szCs w:val="21"/>
                <w:highlight w:val="none"/>
                <w:vertAlign w:val="superscript"/>
              </w:rPr>
              <w:t>3-</w:t>
            </w:r>
            <w:r>
              <w:rPr>
                <w:rFonts w:hint="eastAsia" w:ascii="Times New Roman" w:hAnsi="Times New Roman" w:cs="Times New Roman" w:eastAsiaTheme="minorEastAsia"/>
                <w:color w:val="auto"/>
                <w:w w:val="99"/>
                <w:kern w:val="2"/>
                <w:sz w:val="21"/>
                <w:szCs w:val="21"/>
                <w:highlight w:val="none"/>
              </w:rPr>
              <w:t>、SO</w:t>
            </w:r>
            <w:r>
              <w:rPr>
                <w:rFonts w:hint="eastAsia" w:ascii="Times New Roman" w:hAnsi="Times New Roman" w:cs="Times New Roman" w:eastAsiaTheme="minorEastAsia"/>
                <w:color w:val="auto"/>
                <w:w w:val="99"/>
                <w:kern w:val="2"/>
                <w:sz w:val="21"/>
                <w:szCs w:val="21"/>
                <w:highlight w:val="none"/>
                <w:vertAlign w:val="subscript"/>
              </w:rPr>
              <w:t>3</w:t>
            </w:r>
            <w:r>
              <w:rPr>
                <w:rFonts w:hint="eastAsia" w:ascii="Times New Roman" w:hAnsi="Times New Roman" w:cs="Times New Roman" w:eastAsiaTheme="minorEastAsia"/>
                <w:color w:val="auto"/>
                <w:w w:val="99"/>
                <w:kern w:val="2"/>
                <w:sz w:val="21"/>
                <w:szCs w:val="21"/>
                <w:highlight w:val="none"/>
                <w:vertAlign w:val="superscript"/>
              </w:rPr>
              <w:t>2-</w:t>
            </w:r>
            <w:r>
              <w:rPr>
                <w:rFonts w:hint="eastAsia" w:ascii="Times New Roman" w:hAnsi="Times New Roman" w:cs="Times New Roman" w:eastAsiaTheme="minorEastAsia"/>
                <w:color w:val="auto"/>
                <w:w w:val="99"/>
                <w:kern w:val="2"/>
                <w:sz w:val="21"/>
                <w:szCs w:val="21"/>
                <w:highlight w:val="none"/>
              </w:rPr>
              <w:t>、SO</w:t>
            </w:r>
            <w:r>
              <w:rPr>
                <w:rFonts w:hint="eastAsia" w:ascii="Times New Roman" w:hAnsi="Times New Roman" w:cs="Times New Roman" w:eastAsiaTheme="minorEastAsia"/>
                <w:color w:val="auto"/>
                <w:w w:val="99"/>
                <w:kern w:val="2"/>
                <w:sz w:val="21"/>
                <w:szCs w:val="21"/>
                <w:highlight w:val="none"/>
                <w:vertAlign w:val="subscript"/>
              </w:rPr>
              <w:t>4</w:t>
            </w:r>
            <w:r>
              <w:rPr>
                <w:rFonts w:hint="eastAsia" w:ascii="Times New Roman" w:hAnsi="Times New Roman" w:cs="Times New Roman" w:eastAsiaTheme="minorEastAsia"/>
                <w:color w:val="auto"/>
                <w:w w:val="99"/>
                <w:kern w:val="2"/>
                <w:sz w:val="21"/>
                <w:szCs w:val="21"/>
                <w:highlight w:val="none"/>
                <w:vertAlign w:val="superscript"/>
              </w:rPr>
              <w:t>2-</w:t>
            </w:r>
            <w:r>
              <w:rPr>
                <w:rFonts w:hint="eastAsia" w:ascii="Times New Roman" w:hAnsi="Times New Roman" w:cs="Times New Roman" w:eastAsiaTheme="minorEastAsia"/>
                <w:color w:val="auto"/>
                <w:w w:val="99"/>
                <w:kern w:val="2"/>
                <w:sz w:val="21"/>
                <w:szCs w:val="21"/>
                <w:highlight w:val="none"/>
              </w:rPr>
              <w:t>）的测定离子色谱法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HJ 84-2016</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离子色谱仪</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PIC-10</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0.018mg/L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8</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Cl</w:t>
            </w:r>
            <w:r>
              <w:rPr>
                <w:rFonts w:hint="eastAsia" w:ascii="Times New Roman" w:hAnsi="Times New Roman" w:cs="Times New Roman" w:eastAsiaTheme="minorEastAsia"/>
                <w:color w:val="auto"/>
                <w:w w:val="99"/>
                <w:kern w:val="2"/>
                <w:sz w:val="21"/>
                <w:szCs w:val="21"/>
                <w:highlight w:val="none"/>
                <w:vertAlign w:val="superscript"/>
              </w:rPr>
              <w:t>-</w:t>
            </w:r>
          </w:p>
        </w:tc>
        <w:tc>
          <w:tcPr>
            <w:tcW w:w="2775" w:type="dxa"/>
            <w:tcBorders>
              <w:tl2br w:val="nil"/>
              <w:tr2bl w:val="nil"/>
            </w:tcBorders>
            <w:vAlign w:val="center"/>
          </w:tcPr>
          <w:p>
            <w:pPr>
              <w:adjustRightInd w:val="0"/>
              <w:snapToGrid w:val="0"/>
              <w:jc w:val="center"/>
              <w:rPr>
                <w:rFonts w:ascii="Times New Roman" w:hAnsi="Times New Roman" w:cs="Times New Roman"/>
                <w:color w:val="auto"/>
                <w:kern w:val="2"/>
                <w:sz w:val="21"/>
                <w:szCs w:val="21"/>
                <w:highlight w:val="none"/>
                <w:shd w:val="clear" w:color="auto" w:fill="FFFFFF"/>
              </w:rPr>
            </w:pPr>
            <w:r>
              <w:rPr>
                <w:rFonts w:hint="eastAsia" w:ascii="Times New Roman" w:hAnsi="Times New Roman" w:cs="Times New Roman" w:eastAsiaTheme="minorEastAsia"/>
                <w:color w:val="auto"/>
                <w:w w:val="99"/>
                <w:kern w:val="2"/>
                <w:sz w:val="21"/>
                <w:szCs w:val="21"/>
                <w:highlight w:val="none"/>
              </w:rPr>
              <w:t>水质无机阴离子（F</w:t>
            </w:r>
            <w:r>
              <w:rPr>
                <w:rFonts w:hint="eastAsia" w:ascii="Times New Roman" w:hAnsi="Times New Roman" w:cs="Times New Roman" w:eastAsiaTheme="minorEastAsia"/>
                <w:color w:val="auto"/>
                <w:w w:val="99"/>
                <w:kern w:val="2"/>
                <w:sz w:val="21"/>
                <w:szCs w:val="21"/>
                <w:highlight w:val="none"/>
                <w:vertAlign w:val="superscript"/>
              </w:rPr>
              <w:t>-</w:t>
            </w:r>
            <w:r>
              <w:rPr>
                <w:rFonts w:hint="eastAsia" w:ascii="Times New Roman" w:hAnsi="Times New Roman" w:cs="Times New Roman" w:eastAsiaTheme="minorEastAsia"/>
                <w:color w:val="auto"/>
                <w:w w:val="99"/>
                <w:kern w:val="2"/>
                <w:sz w:val="21"/>
                <w:szCs w:val="21"/>
                <w:highlight w:val="none"/>
              </w:rPr>
              <w:t>、C</w:t>
            </w:r>
            <w:r>
              <w:rPr>
                <w:rFonts w:hint="eastAsia" w:ascii="Times New Roman" w:hAnsi="Times New Roman" w:cs="Times New Roman" w:eastAsiaTheme="minorEastAsia"/>
                <w:color w:val="auto"/>
                <w:w w:val="99"/>
                <w:kern w:val="2"/>
                <w:sz w:val="21"/>
                <w:szCs w:val="21"/>
                <w:highlight w:val="none"/>
                <w:vertAlign w:val="superscript"/>
              </w:rPr>
              <w:t>l-</w:t>
            </w:r>
            <w:r>
              <w:rPr>
                <w:rFonts w:hint="eastAsia" w:ascii="Times New Roman" w:hAnsi="Times New Roman" w:cs="Times New Roman" w:eastAsiaTheme="minorEastAsia"/>
                <w:color w:val="auto"/>
                <w:w w:val="99"/>
                <w:kern w:val="2"/>
                <w:sz w:val="21"/>
                <w:szCs w:val="21"/>
                <w:highlight w:val="none"/>
              </w:rPr>
              <w:t>、NO</w:t>
            </w:r>
            <w:r>
              <w:rPr>
                <w:rFonts w:hint="eastAsia" w:ascii="Times New Roman" w:hAnsi="Times New Roman" w:cs="Times New Roman" w:eastAsiaTheme="minorEastAsia"/>
                <w:color w:val="auto"/>
                <w:w w:val="99"/>
                <w:kern w:val="2"/>
                <w:sz w:val="21"/>
                <w:szCs w:val="21"/>
                <w:highlight w:val="none"/>
                <w:vertAlign w:val="subscript"/>
              </w:rPr>
              <w:t>2</w:t>
            </w:r>
            <w:r>
              <w:rPr>
                <w:rFonts w:hint="eastAsia" w:ascii="Times New Roman" w:hAnsi="Times New Roman" w:cs="Times New Roman" w:eastAsiaTheme="minorEastAsia"/>
                <w:color w:val="auto"/>
                <w:w w:val="99"/>
                <w:kern w:val="2"/>
                <w:sz w:val="21"/>
                <w:szCs w:val="21"/>
                <w:highlight w:val="none"/>
                <w:vertAlign w:val="superscript"/>
              </w:rPr>
              <w:t>-</w:t>
            </w:r>
            <w:r>
              <w:rPr>
                <w:rFonts w:hint="eastAsia" w:ascii="Times New Roman" w:hAnsi="Times New Roman" w:cs="Times New Roman" w:eastAsiaTheme="minorEastAsia"/>
                <w:color w:val="auto"/>
                <w:w w:val="99"/>
                <w:kern w:val="2"/>
                <w:sz w:val="21"/>
                <w:szCs w:val="21"/>
                <w:highlight w:val="none"/>
              </w:rPr>
              <w:t>、B</w:t>
            </w:r>
            <w:r>
              <w:rPr>
                <w:rFonts w:hint="eastAsia" w:ascii="Times New Roman" w:hAnsi="Times New Roman" w:cs="Times New Roman" w:eastAsiaTheme="minorEastAsia"/>
                <w:color w:val="auto"/>
                <w:w w:val="99"/>
                <w:kern w:val="2"/>
                <w:sz w:val="21"/>
                <w:szCs w:val="21"/>
                <w:highlight w:val="none"/>
                <w:vertAlign w:val="superscript"/>
              </w:rPr>
              <w:t>r-</w:t>
            </w:r>
            <w:r>
              <w:rPr>
                <w:rFonts w:hint="eastAsia" w:ascii="Times New Roman" w:hAnsi="Times New Roman" w:cs="Times New Roman" w:eastAsiaTheme="minorEastAsia"/>
                <w:color w:val="auto"/>
                <w:w w:val="99"/>
                <w:kern w:val="2"/>
                <w:sz w:val="21"/>
                <w:szCs w:val="21"/>
                <w:highlight w:val="none"/>
              </w:rPr>
              <w:t>、NO</w:t>
            </w:r>
            <w:r>
              <w:rPr>
                <w:rFonts w:hint="eastAsia" w:ascii="Times New Roman" w:hAnsi="Times New Roman" w:cs="Times New Roman" w:eastAsiaTheme="minorEastAsia"/>
                <w:color w:val="auto"/>
                <w:w w:val="99"/>
                <w:kern w:val="2"/>
                <w:sz w:val="21"/>
                <w:szCs w:val="21"/>
                <w:highlight w:val="none"/>
                <w:vertAlign w:val="subscript"/>
              </w:rPr>
              <w:t>3</w:t>
            </w:r>
            <w:r>
              <w:rPr>
                <w:rFonts w:hint="eastAsia" w:ascii="Times New Roman" w:hAnsi="Times New Roman" w:cs="Times New Roman" w:eastAsiaTheme="minorEastAsia"/>
                <w:color w:val="auto"/>
                <w:w w:val="99"/>
                <w:kern w:val="2"/>
                <w:sz w:val="21"/>
                <w:szCs w:val="21"/>
                <w:highlight w:val="none"/>
                <w:vertAlign w:val="superscript"/>
              </w:rPr>
              <w:t>-</w:t>
            </w:r>
            <w:r>
              <w:rPr>
                <w:rFonts w:hint="eastAsia" w:ascii="Times New Roman" w:hAnsi="Times New Roman" w:cs="Times New Roman" w:eastAsiaTheme="minorEastAsia"/>
                <w:color w:val="auto"/>
                <w:w w:val="99"/>
                <w:kern w:val="2"/>
                <w:sz w:val="21"/>
                <w:szCs w:val="21"/>
                <w:highlight w:val="none"/>
              </w:rPr>
              <w:t>、PO</w:t>
            </w:r>
            <w:r>
              <w:rPr>
                <w:rFonts w:hint="eastAsia" w:ascii="Times New Roman" w:hAnsi="Times New Roman" w:cs="Times New Roman" w:eastAsiaTheme="minorEastAsia"/>
                <w:color w:val="auto"/>
                <w:w w:val="99"/>
                <w:kern w:val="2"/>
                <w:sz w:val="21"/>
                <w:szCs w:val="21"/>
                <w:highlight w:val="none"/>
                <w:vertAlign w:val="subscript"/>
              </w:rPr>
              <w:t>4</w:t>
            </w:r>
            <w:r>
              <w:rPr>
                <w:rFonts w:hint="eastAsia" w:ascii="Times New Roman" w:hAnsi="Times New Roman" w:cs="Times New Roman" w:eastAsiaTheme="minorEastAsia"/>
                <w:color w:val="auto"/>
                <w:w w:val="99"/>
                <w:kern w:val="2"/>
                <w:sz w:val="21"/>
                <w:szCs w:val="21"/>
                <w:highlight w:val="none"/>
                <w:vertAlign w:val="superscript"/>
              </w:rPr>
              <w:t>3-</w:t>
            </w:r>
            <w:r>
              <w:rPr>
                <w:rFonts w:hint="eastAsia" w:ascii="Times New Roman" w:hAnsi="Times New Roman" w:cs="Times New Roman" w:eastAsiaTheme="minorEastAsia"/>
                <w:color w:val="auto"/>
                <w:w w:val="99"/>
                <w:kern w:val="2"/>
                <w:sz w:val="21"/>
                <w:szCs w:val="21"/>
                <w:highlight w:val="none"/>
              </w:rPr>
              <w:t>、SO</w:t>
            </w:r>
            <w:r>
              <w:rPr>
                <w:rFonts w:hint="eastAsia" w:ascii="Times New Roman" w:hAnsi="Times New Roman" w:cs="Times New Roman" w:eastAsiaTheme="minorEastAsia"/>
                <w:color w:val="auto"/>
                <w:w w:val="99"/>
                <w:kern w:val="2"/>
                <w:sz w:val="21"/>
                <w:szCs w:val="21"/>
                <w:highlight w:val="none"/>
                <w:vertAlign w:val="subscript"/>
              </w:rPr>
              <w:t>3</w:t>
            </w:r>
            <w:r>
              <w:rPr>
                <w:rFonts w:hint="eastAsia" w:ascii="Times New Roman" w:hAnsi="Times New Roman" w:cs="Times New Roman" w:eastAsiaTheme="minorEastAsia"/>
                <w:color w:val="auto"/>
                <w:w w:val="99"/>
                <w:kern w:val="2"/>
                <w:sz w:val="21"/>
                <w:szCs w:val="21"/>
                <w:highlight w:val="none"/>
                <w:vertAlign w:val="superscript"/>
              </w:rPr>
              <w:t>2-</w:t>
            </w:r>
            <w:r>
              <w:rPr>
                <w:rFonts w:hint="eastAsia" w:ascii="Times New Roman" w:hAnsi="Times New Roman" w:cs="Times New Roman" w:eastAsiaTheme="minorEastAsia"/>
                <w:color w:val="auto"/>
                <w:w w:val="99"/>
                <w:kern w:val="2"/>
                <w:sz w:val="21"/>
                <w:szCs w:val="21"/>
                <w:highlight w:val="none"/>
              </w:rPr>
              <w:t>、SO</w:t>
            </w:r>
            <w:r>
              <w:rPr>
                <w:rFonts w:hint="eastAsia" w:ascii="Times New Roman" w:hAnsi="Times New Roman" w:cs="Times New Roman" w:eastAsiaTheme="minorEastAsia"/>
                <w:color w:val="auto"/>
                <w:w w:val="99"/>
                <w:kern w:val="2"/>
                <w:sz w:val="21"/>
                <w:szCs w:val="21"/>
                <w:highlight w:val="none"/>
                <w:vertAlign w:val="subscript"/>
              </w:rPr>
              <w:t>4</w:t>
            </w:r>
            <w:r>
              <w:rPr>
                <w:rFonts w:hint="eastAsia" w:ascii="Times New Roman" w:hAnsi="Times New Roman" w:cs="Times New Roman" w:eastAsiaTheme="minorEastAsia"/>
                <w:color w:val="auto"/>
                <w:w w:val="99"/>
                <w:kern w:val="2"/>
                <w:sz w:val="21"/>
                <w:szCs w:val="21"/>
                <w:highlight w:val="none"/>
                <w:vertAlign w:val="superscript"/>
              </w:rPr>
              <w:t>2-</w:t>
            </w:r>
            <w:r>
              <w:rPr>
                <w:rFonts w:hint="eastAsia" w:ascii="Times New Roman" w:hAnsi="Times New Roman" w:cs="Times New Roman" w:eastAsiaTheme="minorEastAsia"/>
                <w:color w:val="auto"/>
                <w:w w:val="99"/>
                <w:kern w:val="2"/>
                <w:sz w:val="21"/>
                <w:szCs w:val="21"/>
                <w:highlight w:val="none"/>
              </w:rPr>
              <w:t>）的测定离子色谱法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HJ 84-2016</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离子色谱仪</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PIC-10</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0.007mg/L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47" w:hRule="atLeas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9</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pH</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 pH的测定玻璃电极法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GB/T 6920-1986</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酸度计PHS-25</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10</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总硬度</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zh-CN"/>
              </w:rPr>
            </w:pPr>
            <w:r>
              <w:rPr>
                <w:rFonts w:hint="eastAsia" w:ascii="Times New Roman" w:hAnsi="Times New Roman" w:cs="Times New Roman" w:eastAsiaTheme="minorEastAsia"/>
                <w:color w:val="auto"/>
                <w:w w:val="99"/>
                <w:kern w:val="2"/>
                <w:sz w:val="21"/>
                <w:szCs w:val="21"/>
                <w:highlight w:val="none"/>
                <w:lang w:val="zh-CN"/>
              </w:rPr>
              <w:t>水质钙和镁的总量的测定EDTA滴定法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GB/T7477-1987</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滴定管</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5.00mg/L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11</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溶解性总固体</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生活饮用水标准检验方法感光性状和物理指标(8.1称量法)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GB/T5750.4-2006</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精密电子天平FA2004</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耗氧量</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水质高锰酸盐指数测定</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GB 11892-1989</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滴定管</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zh-CN"/>
              </w:rPr>
            </w:pPr>
            <w:r>
              <w:rPr>
                <w:rFonts w:hint="eastAsia" w:ascii="Times New Roman" w:hAnsi="Times New Roman" w:cs="Times New Roman" w:eastAsiaTheme="minorEastAsia"/>
                <w:color w:val="auto"/>
                <w:w w:val="99"/>
                <w:kern w:val="2"/>
                <w:sz w:val="21"/>
                <w:szCs w:val="21"/>
                <w:highlight w:val="none"/>
                <w:lang w:val="zh-CN"/>
              </w:rPr>
              <w:t>0.5mg/L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13</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挥发酚</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水质挥发酚的测定</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4-氨基安替比林分光光度法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HJ 503-2009</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可见分光光度计721</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0.0003mg/L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36" w:hRule="atLeas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14</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氟化物</w:t>
            </w:r>
          </w:p>
        </w:tc>
        <w:tc>
          <w:tcPr>
            <w:tcW w:w="277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水质无机阴离子（F</w:t>
            </w:r>
            <w:r>
              <w:rPr>
                <w:rFonts w:hint="eastAsia" w:ascii="Times New Roman" w:hAnsi="Times New Roman" w:cs="Times New Roman" w:eastAsiaTheme="minorEastAsia"/>
                <w:color w:val="auto"/>
                <w:w w:val="99"/>
                <w:kern w:val="2"/>
                <w:sz w:val="21"/>
                <w:szCs w:val="21"/>
                <w:highlight w:val="none"/>
                <w:vertAlign w:val="superscript"/>
              </w:rPr>
              <w:t>-</w:t>
            </w:r>
            <w:r>
              <w:rPr>
                <w:rFonts w:hint="eastAsia" w:ascii="Times New Roman" w:hAnsi="Times New Roman" w:cs="Times New Roman" w:eastAsiaTheme="minorEastAsia"/>
                <w:color w:val="auto"/>
                <w:w w:val="99"/>
                <w:kern w:val="2"/>
                <w:sz w:val="21"/>
                <w:szCs w:val="21"/>
                <w:highlight w:val="none"/>
              </w:rPr>
              <w:t>、C</w:t>
            </w:r>
            <w:r>
              <w:rPr>
                <w:rFonts w:hint="eastAsia" w:ascii="Times New Roman" w:hAnsi="Times New Roman" w:cs="Times New Roman" w:eastAsiaTheme="minorEastAsia"/>
                <w:color w:val="auto"/>
                <w:w w:val="99"/>
                <w:kern w:val="2"/>
                <w:sz w:val="21"/>
                <w:szCs w:val="21"/>
                <w:highlight w:val="none"/>
                <w:vertAlign w:val="superscript"/>
              </w:rPr>
              <w:t>l-</w:t>
            </w:r>
            <w:r>
              <w:rPr>
                <w:rFonts w:hint="eastAsia" w:ascii="Times New Roman" w:hAnsi="Times New Roman" w:cs="Times New Roman" w:eastAsiaTheme="minorEastAsia"/>
                <w:color w:val="auto"/>
                <w:w w:val="99"/>
                <w:kern w:val="2"/>
                <w:sz w:val="21"/>
                <w:szCs w:val="21"/>
                <w:highlight w:val="none"/>
              </w:rPr>
              <w:t>、NO</w:t>
            </w:r>
            <w:r>
              <w:rPr>
                <w:rFonts w:hint="eastAsia" w:ascii="Times New Roman" w:hAnsi="Times New Roman" w:cs="Times New Roman" w:eastAsiaTheme="minorEastAsia"/>
                <w:color w:val="auto"/>
                <w:w w:val="99"/>
                <w:kern w:val="2"/>
                <w:sz w:val="21"/>
                <w:szCs w:val="21"/>
                <w:highlight w:val="none"/>
                <w:vertAlign w:val="subscript"/>
              </w:rPr>
              <w:t>2</w:t>
            </w:r>
            <w:r>
              <w:rPr>
                <w:rFonts w:hint="eastAsia" w:ascii="Times New Roman" w:hAnsi="Times New Roman" w:cs="Times New Roman" w:eastAsiaTheme="minorEastAsia"/>
                <w:color w:val="auto"/>
                <w:w w:val="99"/>
                <w:kern w:val="2"/>
                <w:sz w:val="21"/>
                <w:szCs w:val="21"/>
                <w:highlight w:val="none"/>
                <w:vertAlign w:val="superscript"/>
              </w:rPr>
              <w:t>-</w:t>
            </w:r>
            <w:r>
              <w:rPr>
                <w:rFonts w:hint="eastAsia" w:ascii="Times New Roman" w:hAnsi="Times New Roman" w:cs="Times New Roman" w:eastAsiaTheme="minorEastAsia"/>
                <w:color w:val="auto"/>
                <w:w w:val="99"/>
                <w:kern w:val="2"/>
                <w:sz w:val="21"/>
                <w:szCs w:val="21"/>
                <w:highlight w:val="none"/>
              </w:rPr>
              <w:t>、B</w:t>
            </w:r>
            <w:r>
              <w:rPr>
                <w:rFonts w:hint="eastAsia" w:ascii="Times New Roman" w:hAnsi="Times New Roman" w:cs="Times New Roman" w:eastAsiaTheme="minorEastAsia"/>
                <w:color w:val="auto"/>
                <w:w w:val="99"/>
                <w:kern w:val="2"/>
                <w:sz w:val="21"/>
                <w:szCs w:val="21"/>
                <w:highlight w:val="none"/>
                <w:vertAlign w:val="superscript"/>
              </w:rPr>
              <w:t>r-</w:t>
            </w:r>
            <w:r>
              <w:rPr>
                <w:rFonts w:hint="eastAsia" w:ascii="Times New Roman" w:hAnsi="Times New Roman" w:cs="Times New Roman" w:eastAsiaTheme="minorEastAsia"/>
                <w:color w:val="auto"/>
                <w:w w:val="99"/>
                <w:kern w:val="2"/>
                <w:sz w:val="21"/>
                <w:szCs w:val="21"/>
                <w:highlight w:val="none"/>
              </w:rPr>
              <w:t>、NO</w:t>
            </w:r>
            <w:r>
              <w:rPr>
                <w:rFonts w:hint="eastAsia" w:ascii="Times New Roman" w:hAnsi="Times New Roman" w:cs="Times New Roman" w:eastAsiaTheme="minorEastAsia"/>
                <w:color w:val="auto"/>
                <w:w w:val="99"/>
                <w:kern w:val="2"/>
                <w:sz w:val="21"/>
                <w:szCs w:val="21"/>
                <w:highlight w:val="none"/>
                <w:vertAlign w:val="subscript"/>
              </w:rPr>
              <w:t>3</w:t>
            </w:r>
            <w:r>
              <w:rPr>
                <w:rFonts w:hint="eastAsia" w:ascii="Times New Roman" w:hAnsi="Times New Roman" w:cs="Times New Roman" w:eastAsiaTheme="minorEastAsia"/>
                <w:color w:val="auto"/>
                <w:w w:val="99"/>
                <w:kern w:val="2"/>
                <w:sz w:val="21"/>
                <w:szCs w:val="21"/>
                <w:highlight w:val="none"/>
                <w:vertAlign w:val="superscript"/>
              </w:rPr>
              <w:t>-</w:t>
            </w:r>
            <w:r>
              <w:rPr>
                <w:rFonts w:hint="eastAsia" w:ascii="Times New Roman" w:hAnsi="Times New Roman" w:cs="Times New Roman" w:eastAsiaTheme="minorEastAsia"/>
                <w:color w:val="auto"/>
                <w:w w:val="99"/>
                <w:kern w:val="2"/>
                <w:sz w:val="21"/>
                <w:szCs w:val="21"/>
                <w:highlight w:val="none"/>
              </w:rPr>
              <w:t>、PO</w:t>
            </w:r>
            <w:r>
              <w:rPr>
                <w:rFonts w:hint="eastAsia" w:ascii="Times New Roman" w:hAnsi="Times New Roman" w:cs="Times New Roman" w:eastAsiaTheme="minorEastAsia"/>
                <w:color w:val="auto"/>
                <w:w w:val="99"/>
                <w:kern w:val="2"/>
                <w:sz w:val="21"/>
                <w:szCs w:val="21"/>
                <w:highlight w:val="none"/>
                <w:vertAlign w:val="subscript"/>
              </w:rPr>
              <w:t>4</w:t>
            </w:r>
            <w:r>
              <w:rPr>
                <w:rFonts w:hint="eastAsia" w:ascii="Times New Roman" w:hAnsi="Times New Roman" w:cs="Times New Roman" w:eastAsiaTheme="minorEastAsia"/>
                <w:color w:val="auto"/>
                <w:w w:val="99"/>
                <w:kern w:val="2"/>
                <w:sz w:val="21"/>
                <w:szCs w:val="21"/>
                <w:highlight w:val="none"/>
                <w:vertAlign w:val="superscript"/>
              </w:rPr>
              <w:t>3-</w:t>
            </w:r>
            <w:r>
              <w:rPr>
                <w:rFonts w:hint="eastAsia" w:ascii="Times New Roman" w:hAnsi="Times New Roman" w:cs="Times New Roman" w:eastAsiaTheme="minorEastAsia"/>
                <w:color w:val="auto"/>
                <w:w w:val="99"/>
                <w:kern w:val="2"/>
                <w:sz w:val="21"/>
                <w:szCs w:val="21"/>
                <w:highlight w:val="none"/>
              </w:rPr>
              <w:t>、SO</w:t>
            </w:r>
            <w:r>
              <w:rPr>
                <w:rFonts w:hint="eastAsia" w:ascii="Times New Roman" w:hAnsi="Times New Roman" w:cs="Times New Roman" w:eastAsiaTheme="minorEastAsia"/>
                <w:color w:val="auto"/>
                <w:w w:val="99"/>
                <w:kern w:val="2"/>
                <w:sz w:val="21"/>
                <w:szCs w:val="21"/>
                <w:highlight w:val="none"/>
                <w:vertAlign w:val="subscript"/>
              </w:rPr>
              <w:t>3</w:t>
            </w:r>
            <w:r>
              <w:rPr>
                <w:rFonts w:hint="eastAsia" w:ascii="Times New Roman" w:hAnsi="Times New Roman" w:cs="Times New Roman" w:eastAsiaTheme="minorEastAsia"/>
                <w:color w:val="auto"/>
                <w:w w:val="99"/>
                <w:kern w:val="2"/>
                <w:sz w:val="21"/>
                <w:szCs w:val="21"/>
                <w:highlight w:val="none"/>
                <w:vertAlign w:val="superscript"/>
              </w:rPr>
              <w:t>2-</w:t>
            </w:r>
            <w:r>
              <w:rPr>
                <w:rFonts w:hint="eastAsia" w:ascii="Times New Roman" w:hAnsi="Times New Roman" w:cs="Times New Roman" w:eastAsiaTheme="minorEastAsia"/>
                <w:color w:val="auto"/>
                <w:w w:val="99"/>
                <w:kern w:val="2"/>
                <w:sz w:val="21"/>
                <w:szCs w:val="21"/>
                <w:highlight w:val="none"/>
              </w:rPr>
              <w:t>、SO</w:t>
            </w:r>
            <w:r>
              <w:rPr>
                <w:rFonts w:hint="eastAsia" w:ascii="Times New Roman" w:hAnsi="Times New Roman" w:cs="Times New Roman" w:eastAsiaTheme="minorEastAsia"/>
                <w:color w:val="auto"/>
                <w:w w:val="99"/>
                <w:kern w:val="2"/>
                <w:sz w:val="21"/>
                <w:szCs w:val="21"/>
                <w:highlight w:val="none"/>
                <w:vertAlign w:val="subscript"/>
              </w:rPr>
              <w:t>4</w:t>
            </w:r>
            <w:r>
              <w:rPr>
                <w:rFonts w:hint="eastAsia" w:ascii="Times New Roman" w:hAnsi="Times New Roman" w:cs="Times New Roman" w:eastAsiaTheme="minorEastAsia"/>
                <w:color w:val="auto"/>
                <w:w w:val="99"/>
                <w:kern w:val="2"/>
                <w:sz w:val="21"/>
                <w:szCs w:val="21"/>
                <w:highlight w:val="none"/>
                <w:vertAlign w:val="superscript"/>
              </w:rPr>
              <w:t>2-</w:t>
            </w:r>
            <w:r>
              <w:rPr>
                <w:rFonts w:hint="eastAsia" w:ascii="Times New Roman" w:hAnsi="Times New Roman" w:cs="Times New Roman" w:eastAsiaTheme="minorEastAsia"/>
                <w:color w:val="auto"/>
                <w:w w:val="99"/>
                <w:kern w:val="2"/>
                <w:sz w:val="21"/>
                <w:szCs w:val="21"/>
                <w:highlight w:val="none"/>
              </w:rPr>
              <w:t>）的测定离子色谱法</w:t>
            </w:r>
          </w:p>
        </w:tc>
        <w:tc>
          <w:tcPr>
            <w:tcW w:w="172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HJ 84-2016</w:t>
            </w:r>
          </w:p>
        </w:tc>
        <w:tc>
          <w:tcPr>
            <w:tcW w:w="163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离子色谱仪</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PIC-10</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zh-CN"/>
              </w:rPr>
            </w:pPr>
            <w:r>
              <w:rPr>
                <w:rFonts w:hint="eastAsia" w:ascii="Times New Roman" w:hAnsi="Times New Roman" w:cs="Times New Roman" w:eastAsiaTheme="minorEastAsia"/>
                <w:color w:val="auto"/>
                <w:w w:val="99"/>
                <w:kern w:val="2"/>
                <w:sz w:val="21"/>
                <w:szCs w:val="21"/>
                <w:highlight w:val="none"/>
                <w:lang w:val="zh-CN"/>
              </w:rPr>
              <w:t>0.006mg/L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15</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硝酸盐氮</w:t>
            </w:r>
          </w:p>
        </w:tc>
        <w:tc>
          <w:tcPr>
            <w:tcW w:w="277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72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63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zh-CN"/>
              </w:rPr>
            </w:pPr>
            <w:r>
              <w:rPr>
                <w:rFonts w:hint="eastAsia" w:ascii="Times New Roman" w:hAnsi="Times New Roman" w:cs="Times New Roman" w:eastAsiaTheme="minorEastAsia"/>
                <w:color w:val="auto"/>
                <w:w w:val="99"/>
                <w:kern w:val="2"/>
                <w:sz w:val="21"/>
                <w:szCs w:val="21"/>
                <w:highlight w:val="none"/>
                <w:lang w:val="zh-CN"/>
              </w:rPr>
              <w:t>0.004mg1/L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16</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亚硝酸盐（氮）</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水质亚硝酸盐氮的测定</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分光光度法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GB7493-87</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可见分光光度计721</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zh-CN"/>
              </w:rPr>
            </w:pPr>
            <w:r>
              <w:rPr>
                <w:rFonts w:hint="eastAsia" w:ascii="Times New Roman" w:hAnsi="Times New Roman" w:cs="Times New Roman" w:eastAsiaTheme="minorEastAsia"/>
                <w:color w:val="auto"/>
                <w:w w:val="99"/>
                <w:kern w:val="2"/>
                <w:sz w:val="21"/>
                <w:szCs w:val="21"/>
                <w:highlight w:val="none"/>
                <w:lang w:val="zh-CN"/>
              </w:rPr>
              <w:t>0.003mg/L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17</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氨氮</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水质氨氮的测定</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纳氏试剂分光光度法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 xml:space="preserve">HJ 535-2009 </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可见分光光度计721</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0.025mg/L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18</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石油类</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水质石油类的测定紫外分光光度法（试行）</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HJ 970-2018</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紫外分光光度计</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0.01mg/L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19</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六价铬</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水质六价铬的测定</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二苯碳酰二肼分光光度法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GB/T 7467-1987</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可见分光光度计721</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zh-CN"/>
              </w:rPr>
            </w:pPr>
            <w:r>
              <w:rPr>
                <w:rFonts w:hint="eastAsia" w:ascii="Times New Roman" w:hAnsi="Times New Roman" w:cs="Times New Roman" w:eastAsiaTheme="minorEastAsia"/>
                <w:color w:val="auto"/>
                <w:w w:val="99"/>
                <w:kern w:val="2"/>
                <w:sz w:val="21"/>
                <w:szCs w:val="21"/>
                <w:highlight w:val="none"/>
                <w:lang w:val="zh-CN"/>
              </w:rPr>
              <w:t>0.004mg/L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20</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氰化物</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 氰化物的测定 容量法和分光光度法（ 异烟酸-吡唑酮分光光度法）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 xml:space="preserve">HJ 484-2009 </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可见分光光度计   721</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0.004mg/L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21</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镉</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生活饮用水标准检验方法金属指标(9.1无火焰原子吸收分光光度法)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GB/T 5750.6-2006</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原子吸收分光光度计 AA320N</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0.5µg/L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22</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砷</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水质汞、砷、硒、铋和锑的测定原子荧光法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HJ 694-2014</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原子荧光光度计AFS-8220</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0.0003mg/L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23</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铅</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生活饮用水标准检验方法金属指标(11.1无火焰原子吸收分光光度法)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GB/T5750.6-2006</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原子吸收分光光度计 AA320N</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0.0025mg/L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24</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铁</w:t>
            </w:r>
          </w:p>
        </w:tc>
        <w:tc>
          <w:tcPr>
            <w:tcW w:w="277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水质铁、锰的测定</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火焰原子吸收分光光度法</w:t>
            </w:r>
          </w:p>
        </w:tc>
        <w:tc>
          <w:tcPr>
            <w:tcW w:w="172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GB 11911-1989</w:t>
            </w:r>
          </w:p>
        </w:tc>
        <w:tc>
          <w:tcPr>
            <w:tcW w:w="163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原子吸收分光光度计AA320N</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zh-CN"/>
              </w:rPr>
            </w:pPr>
            <w:r>
              <w:rPr>
                <w:rFonts w:hint="eastAsia" w:ascii="Times New Roman" w:hAnsi="Times New Roman" w:cs="Times New Roman" w:eastAsiaTheme="minorEastAsia"/>
                <w:color w:val="auto"/>
                <w:w w:val="99"/>
                <w:kern w:val="2"/>
                <w:sz w:val="21"/>
                <w:szCs w:val="21"/>
                <w:highlight w:val="none"/>
                <w:lang w:val="zh-CN"/>
              </w:rPr>
              <w:t>0.03mg/L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25</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锰</w:t>
            </w:r>
          </w:p>
        </w:tc>
        <w:tc>
          <w:tcPr>
            <w:tcW w:w="277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72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63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zh-CN"/>
              </w:rPr>
            </w:pPr>
            <w:r>
              <w:rPr>
                <w:rFonts w:hint="eastAsia" w:ascii="Times New Roman" w:hAnsi="Times New Roman" w:cs="Times New Roman" w:eastAsiaTheme="minorEastAsia"/>
                <w:color w:val="auto"/>
                <w:w w:val="99"/>
                <w:kern w:val="2"/>
                <w:sz w:val="21"/>
                <w:szCs w:val="21"/>
                <w:highlight w:val="none"/>
                <w:lang w:val="zh-CN"/>
              </w:rPr>
              <w:t>0.01mg/L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26</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汞</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水质汞、砷、硒、铋和锑的测定原子荧光法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HJ 694-2014</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原子荧光光度计AFS-8220</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0.00004mg/L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27</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菌落</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总数</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水质细菌总数的测定</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平板计数法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《水和废水监测分析方法》（第四版增补版）国家环境保护总局（2002年）</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恒温培养箱GL-278</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28</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总大肠菌群</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多管发酵法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《水和废水监测分析方法》（第四版）国家环境保护总局（2002年）</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恒温培养箱GL-278</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zh-CN"/>
              </w:rPr>
            </w:pPr>
            <w:r>
              <w:rPr>
                <w:rFonts w:hint="eastAsia" w:ascii="Times New Roman" w:hAnsi="Times New Roman" w:cs="Times New Roman" w:eastAsiaTheme="minorEastAsia"/>
                <w:color w:val="auto"/>
                <w:w w:val="99"/>
                <w:kern w:val="2"/>
                <w:sz w:val="21"/>
                <w:szCs w:val="21"/>
                <w:highlight w:val="none"/>
                <w:lang w:val="zh-CN"/>
              </w:rPr>
              <w:t>2MPN/100mL</w:t>
            </w:r>
          </w:p>
        </w:tc>
      </w:tr>
    </w:tbl>
    <w:p>
      <w:pPr>
        <w:spacing w:line="500" w:lineRule="exact"/>
        <w:ind w:firstLine="474" w:firstLineChars="200"/>
        <w:jc w:val="both"/>
        <w:rPr>
          <w:rFonts w:ascii="Times New Roman" w:hAnsi="Times New Roman" w:cs="Times New Roman" w:eastAsiaTheme="minorEastAsia"/>
          <w:color w:val="auto"/>
          <w:w w:val="99"/>
          <w:highlight w:val="none"/>
        </w:rPr>
      </w:pPr>
      <w:r>
        <w:rPr>
          <w:rFonts w:hint="eastAsia" w:ascii="Times New Roman" w:hAnsi="Times New Roman" w:cs="Times New Roman" w:eastAsiaTheme="minorEastAsia"/>
          <w:color w:val="auto"/>
          <w:w w:val="99"/>
          <w:highlight w:val="none"/>
          <w:lang w:eastAsia="zh-CN"/>
        </w:rPr>
        <w:t>（</w:t>
      </w:r>
      <w:r>
        <w:rPr>
          <w:rFonts w:hint="eastAsia" w:ascii="Times New Roman" w:hAnsi="Times New Roman" w:cs="Times New Roman" w:eastAsiaTheme="minorEastAsia"/>
          <w:color w:val="auto"/>
          <w:w w:val="99"/>
          <w:highlight w:val="none"/>
          <w:lang w:val="en-US" w:eastAsia="zh-CN"/>
        </w:rPr>
        <w:t>5</w:t>
      </w:r>
      <w:r>
        <w:rPr>
          <w:rFonts w:hint="eastAsia" w:ascii="Times New Roman" w:hAnsi="Times New Roman" w:cs="Times New Roman" w:eastAsiaTheme="minorEastAsia"/>
          <w:color w:val="auto"/>
          <w:w w:val="99"/>
          <w:highlight w:val="none"/>
          <w:lang w:eastAsia="zh-CN"/>
        </w:rPr>
        <w:t>）</w:t>
      </w:r>
      <w:r>
        <w:rPr>
          <w:rFonts w:ascii="Times New Roman" w:hAnsi="Times New Roman" w:cs="Times New Roman" w:eastAsiaTheme="minorEastAsia"/>
          <w:color w:val="auto"/>
          <w:w w:val="99"/>
          <w:highlight w:val="none"/>
        </w:rPr>
        <w:t>监测结果</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地下水水质现状监测结果见表4.3-9。</w:t>
      </w:r>
    </w:p>
    <w:p>
      <w:pPr>
        <w:spacing w:line="500" w:lineRule="exact"/>
        <w:ind w:firstLine="476"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b/>
          <w:bCs/>
          <w:color w:val="auto"/>
          <w:w w:val="99"/>
          <w:highlight w:val="none"/>
        </w:rPr>
        <w:t xml:space="preserve">表4.3-9                  地下水水质现状监测结果   </w:t>
      </w:r>
      <w:r>
        <w:rPr>
          <w:rFonts w:ascii="Times New Roman" w:hAnsi="Times New Roman" w:cs="Times New Roman" w:eastAsiaTheme="minorEastAsia"/>
          <w:color w:val="auto"/>
          <w:w w:val="99"/>
          <w:highlight w:val="none"/>
        </w:rPr>
        <w:t xml:space="preserve"> </w:t>
      </w:r>
    </w:p>
    <w:tbl>
      <w:tblPr>
        <w:tblStyle w:val="82"/>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30"/>
        <w:gridCol w:w="1322"/>
        <w:gridCol w:w="1384"/>
        <w:gridCol w:w="1450"/>
        <w:gridCol w:w="1248"/>
        <w:gridCol w:w="12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6"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3583" w:type="pct"/>
            <w:gridSpan w:val="5"/>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202</w:t>
            </w:r>
            <w:r>
              <w:rPr>
                <w:rFonts w:hint="eastAsia" w:ascii="Times New Roman" w:hAnsi="Times New Roman" w:cs="Times New Roman" w:eastAsiaTheme="minorEastAsia"/>
                <w:color w:val="auto"/>
                <w:w w:val="99"/>
                <w:sz w:val="21"/>
                <w:szCs w:val="21"/>
                <w:highlight w:val="none"/>
                <w:lang w:val="en-US" w:eastAsia="zh-CN"/>
              </w:rPr>
              <w:t>2.01.18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6"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132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后仓粮</w:t>
            </w:r>
            <w:r>
              <w:rPr>
                <w:rFonts w:hint="eastAsia" w:ascii="Times New Roman" w:hAnsi="Times New Roman" w:cs="Times New Roman" w:eastAsiaTheme="minorEastAsia"/>
                <w:color w:val="auto"/>
                <w:w w:val="99"/>
                <w:sz w:val="21"/>
                <w:szCs w:val="21"/>
                <w:highlight w:val="none"/>
                <w:lang w:val="en-US" w:eastAsia="zh-CN"/>
              </w:rPr>
              <w:t>(陈家、潜水)</w:t>
            </w:r>
          </w:p>
        </w:tc>
        <w:tc>
          <w:tcPr>
            <w:tcW w:w="138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仓粮村（孙家、潜水）</w:t>
            </w:r>
          </w:p>
        </w:tc>
        <w:tc>
          <w:tcPr>
            <w:tcW w:w="145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厢房屯</w:t>
            </w:r>
            <w:r>
              <w:rPr>
                <w:rFonts w:hint="eastAsia" w:ascii="Times New Roman" w:hAnsi="Times New Roman" w:cs="Times New Roman" w:eastAsiaTheme="minorEastAsia"/>
                <w:color w:val="auto"/>
                <w:w w:val="99"/>
                <w:sz w:val="21"/>
                <w:szCs w:val="21"/>
                <w:highlight w:val="none"/>
                <w:lang w:val="en-US" w:eastAsia="zh-CN"/>
              </w:rPr>
              <w:t>(张家、承压水)</w:t>
            </w:r>
          </w:p>
        </w:tc>
        <w:tc>
          <w:tcPr>
            <w:tcW w:w="124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三家子村</w:t>
            </w:r>
            <w:r>
              <w:rPr>
                <w:rFonts w:hint="eastAsia" w:ascii="Times New Roman" w:hAnsi="Times New Roman" w:cs="Times New Roman" w:eastAsiaTheme="minorEastAsia"/>
                <w:color w:val="auto"/>
                <w:w w:val="99"/>
                <w:sz w:val="21"/>
                <w:szCs w:val="21"/>
                <w:highlight w:val="none"/>
                <w:lang w:eastAsia="zh-CN"/>
              </w:rPr>
              <w:t>（冯家、承压水）</w:t>
            </w:r>
          </w:p>
        </w:tc>
        <w:tc>
          <w:tcPr>
            <w:tcW w:w="67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zh-CN"/>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K</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32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1.98</w:t>
            </w:r>
          </w:p>
        </w:tc>
        <w:tc>
          <w:tcPr>
            <w:tcW w:w="138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3.05</w:t>
            </w:r>
          </w:p>
        </w:tc>
        <w:tc>
          <w:tcPr>
            <w:tcW w:w="1450"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1.37</w:t>
            </w:r>
          </w:p>
        </w:tc>
        <w:tc>
          <w:tcPr>
            <w:tcW w:w="124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1.49</w:t>
            </w:r>
          </w:p>
        </w:tc>
        <w:tc>
          <w:tcPr>
            <w:tcW w:w="673"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Na</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32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71.4</w:t>
            </w:r>
          </w:p>
        </w:tc>
        <w:tc>
          <w:tcPr>
            <w:tcW w:w="138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62.4</w:t>
            </w:r>
          </w:p>
        </w:tc>
        <w:tc>
          <w:tcPr>
            <w:tcW w:w="1450"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55.6</w:t>
            </w:r>
          </w:p>
        </w:tc>
        <w:tc>
          <w:tcPr>
            <w:tcW w:w="124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36.4</w:t>
            </w:r>
          </w:p>
        </w:tc>
        <w:tc>
          <w:tcPr>
            <w:tcW w:w="673"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Ca</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32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60.9</w:t>
            </w:r>
          </w:p>
        </w:tc>
        <w:tc>
          <w:tcPr>
            <w:tcW w:w="138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57.3</w:t>
            </w:r>
          </w:p>
        </w:tc>
        <w:tc>
          <w:tcPr>
            <w:tcW w:w="1450"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49.6</w:t>
            </w:r>
          </w:p>
        </w:tc>
        <w:tc>
          <w:tcPr>
            <w:tcW w:w="1246" w:type="dxa"/>
            <w:vAlign w:val="top"/>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42.1</w:t>
            </w:r>
          </w:p>
        </w:tc>
        <w:tc>
          <w:tcPr>
            <w:tcW w:w="673"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Mg</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32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15.5</w:t>
            </w:r>
          </w:p>
        </w:tc>
        <w:tc>
          <w:tcPr>
            <w:tcW w:w="138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14.1</w:t>
            </w:r>
          </w:p>
        </w:tc>
        <w:tc>
          <w:tcPr>
            <w:tcW w:w="1450"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9.21</w:t>
            </w:r>
          </w:p>
        </w:tc>
        <w:tc>
          <w:tcPr>
            <w:tcW w:w="1246" w:type="dxa"/>
            <w:vAlign w:val="top"/>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9.2</w:t>
            </w:r>
            <w:r>
              <w:rPr>
                <w:rFonts w:hint="eastAsia" w:ascii="Times New Roman" w:hAnsi="Times New Roman" w:cs="Times New Roman" w:eastAsiaTheme="minorEastAsia"/>
                <w:color w:val="auto"/>
                <w:w w:val="99"/>
                <w:sz w:val="21"/>
                <w:szCs w:val="21"/>
                <w:highlight w:val="none"/>
                <w:lang w:val="en-US" w:eastAsia="zh-CN"/>
              </w:rPr>
              <w:t>2</w:t>
            </w:r>
          </w:p>
        </w:tc>
        <w:tc>
          <w:tcPr>
            <w:tcW w:w="673"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HCO</w:t>
            </w:r>
            <w:r>
              <w:rPr>
                <w:rFonts w:ascii="Times New Roman" w:hAnsi="Times New Roman" w:cs="Times New Roman" w:eastAsiaTheme="minorEastAsia"/>
                <w:color w:val="auto"/>
                <w:w w:val="99"/>
                <w:sz w:val="21"/>
                <w:szCs w:val="21"/>
                <w:highlight w:val="none"/>
                <w:vertAlign w:val="subscript"/>
              </w:rPr>
              <w:t>3</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32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296</w:t>
            </w:r>
          </w:p>
        </w:tc>
        <w:tc>
          <w:tcPr>
            <w:tcW w:w="138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275</w:t>
            </w:r>
          </w:p>
        </w:tc>
        <w:tc>
          <w:tcPr>
            <w:tcW w:w="1450"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246</w:t>
            </w:r>
          </w:p>
        </w:tc>
        <w:tc>
          <w:tcPr>
            <w:tcW w:w="124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159</w:t>
            </w:r>
          </w:p>
        </w:tc>
        <w:tc>
          <w:tcPr>
            <w:tcW w:w="673"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CO</w:t>
            </w:r>
            <w:r>
              <w:rPr>
                <w:rFonts w:ascii="Times New Roman" w:hAnsi="Times New Roman" w:cs="Times New Roman" w:eastAsiaTheme="minorEastAsia"/>
                <w:color w:val="auto"/>
                <w:w w:val="99"/>
                <w:sz w:val="21"/>
                <w:szCs w:val="21"/>
                <w:highlight w:val="none"/>
                <w:vertAlign w:val="subscript"/>
              </w:rPr>
              <w:t>3</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32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0</w:t>
            </w:r>
          </w:p>
        </w:tc>
        <w:tc>
          <w:tcPr>
            <w:tcW w:w="138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0</w:t>
            </w:r>
          </w:p>
        </w:tc>
        <w:tc>
          <w:tcPr>
            <w:tcW w:w="1450"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0</w:t>
            </w:r>
          </w:p>
        </w:tc>
        <w:tc>
          <w:tcPr>
            <w:tcW w:w="124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p>
        </w:tc>
        <w:tc>
          <w:tcPr>
            <w:tcW w:w="673"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Cl</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32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55.4</w:t>
            </w:r>
          </w:p>
        </w:tc>
        <w:tc>
          <w:tcPr>
            <w:tcW w:w="138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50.3</w:t>
            </w:r>
          </w:p>
        </w:tc>
        <w:tc>
          <w:tcPr>
            <w:tcW w:w="1450"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38.9</w:t>
            </w:r>
          </w:p>
        </w:tc>
        <w:tc>
          <w:tcPr>
            <w:tcW w:w="124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43.2</w:t>
            </w:r>
          </w:p>
        </w:tc>
        <w:tc>
          <w:tcPr>
            <w:tcW w:w="673"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4</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32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48.7</w:t>
            </w:r>
          </w:p>
        </w:tc>
        <w:tc>
          <w:tcPr>
            <w:tcW w:w="138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44.6</w:t>
            </w:r>
          </w:p>
        </w:tc>
        <w:tc>
          <w:tcPr>
            <w:tcW w:w="1450"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24.7</w:t>
            </w:r>
          </w:p>
        </w:tc>
        <w:tc>
          <w:tcPr>
            <w:tcW w:w="124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31.9</w:t>
            </w:r>
          </w:p>
        </w:tc>
        <w:tc>
          <w:tcPr>
            <w:tcW w:w="673"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1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pH</w:t>
            </w:r>
            <w:r>
              <w:rPr>
                <w:rFonts w:ascii="Times New Roman" w:hAnsi="Times New Roman" w:cs="Times New Roman" w:eastAsiaTheme="minorEastAsia"/>
                <w:color w:val="auto"/>
                <w:w w:val="99"/>
                <w:sz w:val="21"/>
                <w:szCs w:val="21"/>
                <w:highlight w:val="none"/>
                <w:lang w:val="zh-CN"/>
              </w:rPr>
              <w:t>（无量纲）</w:t>
            </w:r>
          </w:p>
        </w:tc>
        <w:tc>
          <w:tcPr>
            <w:tcW w:w="132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7.7</w:t>
            </w:r>
          </w:p>
        </w:tc>
        <w:tc>
          <w:tcPr>
            <w:tcW w:w="138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7.9</w:t>
            </w:r>
          </w:p>
        </w:tc>
        <w:tc>
          <w:tcPr>
            <w:tcW w:w="145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7.6</w:t>
            </w:r>
          </w:p>
        </w:tc>
        <w:tc>
          <w:tcPr>
            <w:tcW w:w="124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w:t>
            </w:r>
            <w:r>
              <w:rPr>
                <w:rFonts w:hint="eastAsia" w:ascii="Times New Roman" w:hAnsi="Times New Roman" w:cs="Times New Roman" w:eastAsiaTheme="minorEastAsia"/>
                <w:color w:val="auto"/>
                <w:w w:val="99"/>
                <w:sz w:val="21"/>
                <w:szCs w:val="21"/>
                <w:highlight w:val="none"/>
                <w:lang w:val="en-US" w:eastAsia="zh-CN"/>
              </w:rPr>
              <w:t>7</w:t>
            </w:r>
          </w:p>
        </w:tc>
        <w:tc>
          <w:tcPr>
            <w:tcW w:w="673"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6.5～8.5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总硬度</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32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217</w:t>
            </w:r>
          </w:p>
        </w:tc>
        <w:tc>
          <w:tcPr>
            <w:tcW w:w="138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202</w:t>
            </w:r>
          </w:p>
        </w:tc>
        <w:tc>
          <w:tcPr>
            <w:tcW w:w="145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162</w:t>
            </w:r>
          </w:p>
        </w:tc>
        <w:tc>
          <w:tcPr>
            <w:tcW w:w="124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144</w:t>
            </w:r>
          </w:p>
        </w:tc>
        <w:tc>
          <w:tcPr>
            <w:tcW w:w="673"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溶解性总固体</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320"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660</w:t>
            </w:r>
          </w:p>
        </w:tc>
        <w:tc>
          <w:tcPr>
            <w:tcW w:w="138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600</w:t>
            </w:r>
          </w:p>
        </w:tc>
        <w:tc>
          <w:tcPr>
            <w:tcW w:w="145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500</w:t>
            </w:r>
          </w:p>
        </w:tc>
        <w:tc>
          <w:tcPr>
            <w:tcW w:w="124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39</w:t>
            </w:r>
            <w:r>
              <w:rPr>
                <w:rFonts w:hint="eastAsia" w:ascii="Times New Roman" w:hAnsi="Times New Roman" w:cs="Times New Roman" w:eastAsiaTheme="minorEastAsia"/>
                <w:color w:val="auto"/>
                <w:w w:val="99"/>
                <w:sz w:val="21"/>
                <w:szCs w:val="21"/>
                <w:highlight w:val="none"/>
                <w:lang w:val="en-US" w:eastAsia="zh-CN"/>
              </w:rPr>
              <w:t>0</w:t>
            </w:r>
          </w:p>
        </w:tc>
        <w:tc>
          <w:tcPr>
            <w:tcW w:w="673"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耗氧量</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320"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1.9</w:t>
            </w:r>
          </w:p>
        </w:tc>
        <w:tc>
          <w:tcPr>
            <w:tcW w:w="138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2.0</w:t>
            </w:r>
          </w:p>
        </w:tc>
        <w:tc>
          <w:tcPr>
            <w:tcW w:w="145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1.8</w:t>
            </w:r>
          </w:p>
        </w:tc>
        <w:tc>
          <w:tcPr>
            <w:tcW w:w="124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1.8</w:t>
            </w:r>
          </w:p>
        </w:tc>
        <w:tc>
          <w:tcPr>
            <w:tcW w:w="673"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挥发酚</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32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38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45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24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673"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氰化物</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32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38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45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24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673"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氟化物</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32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0.497</w:t>
            </w:r>
          </w:p>
        </w:tc>
        <w:tc>
          <w:tcPr>
            <w:tcW w:w="138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535</w:t>
            </w:r>
          </w:p>
        </w:tc>
        <w:tc>
          <w:tcPr>
            <w:tcW w:w="145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475</w:t>
            </w:r>
          </w:p>
        </w:tc>
        <w:tc>
          <w:tcPr>
            <w:tcW w:w="124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436</w:t>
            </w:r>
          </w:p>
        </w:tc>
        <w:tc>
          <w:tcPr>
            <w:tcW w:w="673"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硝酸盐</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32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2.47</w:t>
            </w:r>
          </w:p>
        </w:tc>
        <w:tc>
          <w:tcPr>
            <w:tcW w:w="138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2.98</w:t>
            </w:r>
          </w:p>
        </w:tc>
        <w:tc>
          <w:tcPr>
            <w:tcW w:w="145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1.85</w:t>
            </w:r>
          </w:p>
        </w:tc>
        <w:tc>
          <w:tcPr>
            <w:tcW w:w="124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1.74</w:t>
            </w:r>
          </w:p>
        </w:tc>
        <w:tc>
          <w:tcPr>
            <w:tcW w:w="673"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亚硝酸盐</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32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0.003L</w:t>
            </w:r>
          </w:p>
        </w:tc>
        <w:tc>
          <w:tcPr>
            <w:tcW w:w="138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0.003L</w:t>
            </w:r>
          </w:p>
        </w:tc>
        <w:tc>
          <w:tcPr>
            <w:tcW w:w="145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0.003L</w:t>
            </w:r>
          </w:p>
        </w:tc>
        <w:tc>
          <w:tcPr>
            <w:tcW w:w="124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0.003L</w:t>
            </w:r>
          </w:p>
        </w:tc>
        <w:tc>
          <w:tcPr>
            <w:tcW w:w="673"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氨氮</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32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231</w:t>
            </w:r>
          </w:p>
        </w:tc>
        <w:tc>
          <w:tcPr>
            <w:tcW w:w="138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262</w:t>
            </w:r>
          </w:p>
        </w:tc>
        <w:tc>
          <w:tcPr>
            <w:tcW w:w="145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193</w:t>
            </w:r>
          </w:p>
        </w:tc>
        <w:tc>
          <w:tcPr>
            <w:tcW w:w="124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0.178</w:t>
            </w:r>
          </w:p>
        </w:tc>
        <w:tc>
          <w:tcPr>
            <w:tcW w:w="673"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六价铬</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32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38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45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24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673"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32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38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45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24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673"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32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0.0025L</w:t>
            </w:r>
          </w:p>
        </w:tc>
        <w:tc>
          <w:tcPr>
            <w:tcW w:w="138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0.0025L</w:t>
            </w:r>
          </w:p>
        </w:tc>
        <w:tc>
          <w:tcPr>
            <w:tcW w:w="145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0.0025L</w:t>
            </w:r>
          </w:p>
        </w:tc>
        <w:tc>
          <w:tcPr>
            <w:tcW w:w="124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0.0025L</w:t>
            </w:r>
          </w:p>
        </w:tc>
        <w:tc>
          <w:tcPr>
            <w:tcW w:w="673"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铁</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32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27</w:t>
            </w:r>
          </w:p>
        </w:tc>
        <w:tc>
          <w:tcPr>
            <w:tcW w:w="138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29</w:t>
            </w:r>
          </w:p>
        </w:tc>
        <w:tc>
          <w:tcPr>
            <w:tcW w:w="145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24</w:t>
            </w:r>
          </w:p>
        </w:tc>
        <w:tc>
          <w:tcPr>
            <w:tcW w:w="124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0.26</w:t>
            </w:r>
          </w:p>
        </w:tc>
        <w:tc>
          <w:tcPr>
            <w:tcW w:w="673"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32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0.00004L</w:t>
            </w:r>
          </w:p>
        </w:tc>
        <w:tc>
          <w:tcPr>
            <w:tcW w:w="138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0.00004L</w:t>
            </w:r>
          </w:p>
        </w:tc>
        <w:tc>
          <w:tcPr>
            <w:tcW w:w="145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0.00004L</w:t>
            </w:r>
          </w:p>
        </w:tc>
        <w:tc>
          <w:tcPr>
            <w:tcW w:w="124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0.00004L</w:t>
            </w:r>
          </w:p>
        </w:tc>
        <w:tc>
          <w:tcPr>
            <w:tcW w:w="673"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锰</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32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12</w:t>
            </w:r>
          </w:p>
        </w:tc>
        <w:tc>
          <w:tcPr>
            <w:tcW w:w="138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13</w:t>
            </w:r>
          </w:p>
        </w:tc>
        <w:tc>
          <w:tcPr>
            <w:tcW w:w="145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03</w:t>
            </w:r>
          </w:p>
        </w:tc>
        <w:tc>
          <w:tcPr>
            <w:tcW w:w="124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0.05</w:t>
            </w:r>
          </w:p>
        </w:tc>
        <w:tc>
          <w:tcPr>
            <w:tcW w:w="673"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320" w:type="dxa"/>
            <w:vAlign w:val="center"/>
          </w:tcPr>
          <w:p>
            <w:pPr>
              <w:pStyle w:val="125"/>
              <w:keepNext w:val="0"/>
              <w:keepLines w:val="0"/>
              <w:pageBreakBefore w:val="0"/>
              <w:kinsoku/>
              <w:wordWrap/>
              <w:overflowPunct/>
              <w:topLinePunct w:val="0"/>
              <w:autoSpaceDE/>
              <w:autoSpaceDN/>
              <w:bidi w:val="0"/>
              <w:spacing w:line="240" w:lineRule="auto"/>
              <w:jc w:val="center"/>
              <w:textAlignment w:val="auto"/>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0.0005L</w:t>
            </w:r>
          </w:p>
        </w:tc>
        <w:tc>
          <w:tcPr>
            <w:tcW w:w="1382" w:type="dxa"/>
            <w:vAlign w:val="center"/>
          </w:tcPr>
          <w:p>
            <w:pPr>
              <w:pStyle w:val="125"/>
              <w:keepNext w:val="0"/>
              <w:keepLines w:val="0"/>
              <w:pageBreakBefore w:val="0"/>
              <w:kinsoku/>
              <w:wordWrap/>
              <w:overflowPunct/>
              <w:topLinePunct w:val="0"/>
              <w:autoSpaceDE/>
              <w:autoSpaceDN/>
              <w:bidi w:val="0"/>
              <w:spacing w:line="240" w:lineRule="auto"/>
              <w:jc w:val="center"/>
              <w:textAlignment w:val="auto"/>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0.0005L</w:t>
            </w:r>
          </w:p>
        </w:tc>
        <w:tc>
          <w:tcPr>
            <w:tcW w:w="1450" w:type="dxa"/>
            <w:vAlign w:val="center"/>
          </w:tcPr>
          <w:p>
            <w:pPr>
              <w:pStyle w:val="125"/>
              <w:keepNext w:val="0"/>
              <w:keepLines w:val="0"/>
              <w:pageBreakBefore w:val="0"/>
              <w:kinsoku/>
              <w:wordWrap/>
              <w:overflowPunct/>
              <w:topLinePunct w:val="0"/>
              <w:autoSpaceDE/>
              <w:autoSpaceDN/>
              <w:bidi w:val="0"/>
              <w:spacing w:line="240" w:lineRule="auto"/>
              <w:jc w:val="center"/>
              <w:textAlignment w:val="auto"/>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0.0005L</w:t>
            </w:r>
          </w:p>
        </w:tc>
        <w:tc>
          <w:tcPr>
            <w:tcW w:w="1246" w:type="dxa"/>
            <w:vAlign w:val="center"/>
          </w:tcPr>
          <w:p>
            <w:pPr>
              <w:pStyle w:val="125"/>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0.0005L</w:t>
            </w:r>
          </w:p>
        </w:tc>
        <w:tc>
          <w:tcPr>
            <w:tcW w:w="673"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石油类</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320" w:type="dxa"/>
            <w:vAlign w:val="center"/>
          </w:tcPr>
          <w:p>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0.01L</w:t>
            </w:r>
          </w:p>
        </w:tc>
        <w:tc>
          <w:tcPr>
            <w:tcW w:w="1382" w:type="dxa"/>
            <w:vAlign w:val="center"/>
          </w:tcPr>
          <w:p>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0.01L</w:t>
            </w:r>
          </w:p>
        </w:tc>
        <w:tc>
          <w:tcPr>
            <w:tcW w:w="1450" w:type="dxa"/>
            <w:vAlign w:val="center"/>
          </w:tcPr>
          <w:p>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0.01L</w:t>
            </w:r>
          </w:p>
        </w:tc>
        <w:tc>
          <w:tcPr>
            <w:tcW w:w="1246" w:type="dxa"/>
            <w:vAlign w:val="center"/>
          </w:tcPr>
          <w:p>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0.01L</w:t>
            </w:r>
          </w:p>
        </w:tc>
        <w:tc>
          <w:tcPr>
            <w:tcW w:w="673"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总大肠菌群（MPN/100mL）</w:t>
            </w:r>
          </w:p>
        </w:tc>
        <w:tc>
          <w:tcPr>
            <w:tcW w:w="1320" w:type="dxa"/>
            <w:vAlign w:val="center"/>
          </w:tcPr>
          <w:p>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2L</w:t>
            </w:r>
          </w:p>
        </w:tc>
        <w:tc>
          <w:tcPr>
            <w:tcW w:w="1382" w:type="dxa"/>
            <w:vAlign w:val="center"/>
          </w:tcPr>
          <w:p>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2L</w:t>
            </w:r>
          </w:p>
        </w:tc>
        <w:tc>
          <w:tcPr>
            <w:tcW w:w="1450" w:type="dxa"/>
            <w:vAlign w:val="center"/>
          </w:tcPr>
          <w:p>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2L</w:t>
            </w:r>
          </w:p>
        </w:tc>
        <w:tc>
          <w:tcPr>
            <w:tcW w:w="1246" w:type="dxa"/>
            <w:vAlign w:val="center"/>
          </w:tcPr>
          <w:p>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2L</w:t>
            </w:r>
          </w:p>
        </w:tc>
        <w:tc>
          <w:tcPr>
            <w:tcW w:w="673"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菌落总数（CFU/mL）</w:t>
            </w:r>
          </w:p>
        </w:tc>
        <w:tc>
          <w:tcPr>
            <w:tcW w:w="1320" w:type="dxa"/>
            <w:vAlign w:val="center"/>
          </w:tcPr>
          <w:p>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12</w:t>
            </w:r>
          </w:p>
        </w:tc>
        <w:tc>
          <w:tcPr>
            <w:tcW w:w="1382" w:type="dxa"/>
            <w:vAlign w:val="center"/>
          </w:tcPr>
          <w:p>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11</w:t>
            </w:r>
          </w:p>
        </w:tc>
        <w:tc>
          <w:tcPr>
            <w:tcW w:w="1450" w:type="dxa"/>
            <w:vAlign w:val="center"/>
          </w:tcPr>
          <w:p>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8</w:t>
            </w:r>
          </w:p>
        </w:tc>
        <w:tc>
          <w:tcPr>
            <w:tcW w:w="1246" w:type="dxa"/>
            <w:vAlign w:val="center"/>
          </w:tcPr>
          <w:p>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7</w:t>
            </w:r>
          </w:p>
        </w:tc>
        <w:tc>
          <w:tcPr>
            <w:tcW w:w="673"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≤100</w:t>
            </w:r>
          </w:p>
        </w:tc>
      </w:tr>
    </w:tbl>
    <w:p>
      <w:pPr>
        <w:spacing w:line="500" w:lineRule="exact"/>
        <w:ind w:firstLine="476"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b/>
          <w:bCs/>
          <w:color w:val="auto"/>
          <w:w w:val="99"/>
          <w:highlight w:val="none"/>
        </w:rPr>
        <w:t xml:space="preserve">续表4.3-9                 地下水水质现状监测结果 </w:t>
      </w:r>
      <w:r>
        <w:rPr>
          <w:rFonts w:ascii="Times New Roman" w:hAnsi="Times New Roman" w:cs="Times New Roman" w:eastAsiaTheme="minorEastAsia"/>
          <w:color w:val="auto"/>
          <w:w w:val="99"/>
          <w:highlight w:val="none"/>
        </w:rPr>
        <w:t xml:space="preserve">   </w:t>
      </w:r>
    </w:p>
    <w:tbl>
      <w:tblPr>
        <w:tblStyle w:val="82"/>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40"/>
        <w:gridCol w:w="1528"/>
        <w:gridCol w:w="1595"/>
        <w:gridCol w:w="1677"/>
        <w:gridCol w:w="14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7"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3362" w:type="pct"/>
            <w:gridSpan w:val="4"/>
            <w:vAlign w:val="center"/>
          </w:tcPr>
          <w:p>
            <w:pPr>
              <w:spacing w:line="360" w:lineRule="exact"/>
              <w:jc w:val="center"/>
              <w:textAlignment w:val="center"/>
              <w:rPr>
                <w:rFonts w:hint="default" w:ascii="Times New Roman" w:hAnsi="Times New Roman" w:cs="Times New Roman" w:eastAsiaTheme="minorEastAsia"/>
                <w:color w:val="auto"/>
                <w:w w:val="99"/>
                <w:sz w:val="21"/>
                <w:szCs w:val="21"/>
                <w:highlight w:val="none"/>
                <w:lang w:val="en-US" w:eastAsia="zh-CN"/>
              </w:rPr>
            </w:pPr>
            <w:r>
              <w:rPr>
                <w:rFonts w:ascii="Times New Roman" w:hAnsi="Times New Roman" w:cs="Times New Roman" w:eastAsiaTheme="minorEastAsia"/>
                <w:color w:val="auto"/>
                <w:w w:val="99"/>
                <w:sz w:val="21"/>
                <w:szCs w:val="21"/>
                <w:highlight w:val="none"/>
              </w:rPr>
              <w:t>202</w:t>
            </w:r>
            <w:r>
              <w:rPr>
                <w:rFonts w:hint="eastAsia" w:ascii="Times New Roman" w:hAnsi="Times New Roman" w:cs="Times New Roman" w:eastAsiaTheme="minorEastAsia"/>
                <w:color w:val="auto"/>
                <w:w w:val="99"/>
                <w:sz w:val="21"/>
                <w:szCs w:val="21"/>
                <w:highlight w:val="none"/>
                <w:lang w:val="en-US" w:eastAsia="zh-CN"/>
              </w:rPr>
              <w:t>2.1.18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7"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15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后永利村(张家、潜水)</w:t>
            </w:r>
          </w:p>
        </w:tc>
        <w:tc>
          <w:tcPr>
            <w:tcW w:w="1593"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肖荣窝棚</w:t>
            </w:r>
            <w:r>
              <w:rPr>
                <w:rFonts w:hint="eastAsia" w:ascii="Times New Roman" w:hAnsi="Times New Roman" w:cs="Times New Roman" w:eastAsiaTheme="minorEastAsia"/>
                <w:color w:val="auto"/>
                <w:w w:val="99"/>
                <w:sz w:val="21"/>
                <w:szCs w:val="21"/>
                <w:highlight w:val="none"/>
                <w:lang w:eastAsia="zh-CN"/>
              </w:rPr>
              <w:t>（冯家、潜水）</w:t>
            </w:r>
          </w:p>
        </w:tc>
        <w:tc>
          <w:tcPr>
            <w:tcW w:w="903" w:type="pct"/>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果元村(王家、潜水)</w:t>
            </w:r>
          </w:p>
        </w:tc>
        <w:tc>
          <w:tcPr>
            <w:tcW w:w="7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zh-CN"/>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K</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5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2.27</w:t>
            </w:r>
          </w:p>
        </w:tc>
        <w:tc>
          <w:tcPr>
            <w:tcW w:w="1593"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2.15</w:t>
            </w:r>
          </w:p>
        </w:tc>
        <w:tc>
          <w:tcPr>
            <w:tcW w:w="1677" w:type="dxa"/>
            <w:vAlign w:val="bottom"/>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2.22</w:t>
            </w:r>
          </w:p>
        </w:tc>
        <w:tc>
          <w:tcPr>
            <w:tcW w:w="777" w:type="pct"/>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Na</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5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68.3</w:t>
            </w:r>
          </w:p>
        </w:tc>
        <w:tc>
          <w:tcPr>
            <w:tcW w:w="1593"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61.4</w:t>
            </w:r>
          </w:p>
        </w:tc>
        <w:tc>
          <w:tcPr>
            <w:tcW w:w="1677" w:type="dxa"/>
            <w:vAlign w:val="bottom"/>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67.4</w:t>
            </w:r>
          </w:p>
        </w:tc>
        <w:tc>
          <w:tcPr>
            <w:tcW w:w="777" w:type="pct"/>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Ca</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5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52.6</w:t>
            </w:r>
          </w:p>
        </w:tc>
        <w:tc>
          <w:tcPr>
            <w:tcW w:w="1593"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50.5</w:t>
            </w:r>
          </w:p>
        </w:tc>
        <w:tc>
          <w:tcPr>
            <w:tcW w:w="1677" w:type="dxa"/>
            <w:vAlign w:val="bottom"/>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52.5</w:t>
            </w:r>
          </w:p>
        </w:tc>
        <w:tc>
          <w:tcPr>
            <w:tcW w:w="777" w:type="pct"/>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Mg</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5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12.7</w:t>
            </w:r>
          </w:p>
        </w:tc>
        <w:tc>
          <w:tcPr>
            <w:tcW w:w="1593"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10.9</w:t>
            </w:r>
          </w:p>
        </w:tc>
        <w:tc>
          <w:tcPr>
            <w:tcW w:w="1677" w:type="dxa"/>
            <w:vAlign w:val="bottom"/>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12.1</w:t>
            </w:r>
          </w:p>
        </w:tc>
        <w:tc>
          <w:tcPr>
            <w:tcW w:w="777" w:type="pct"/>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HCO</w:t>
            </w:r>
            <w:r>
              <w:rPr>
                <w:rFonts w:ascii="Times New Roman" w:hAnsi="Times New Roman" w:cs="Times New Roman" w:eastAsiaTheme="minorEastAsia"/>
                <w:color w:val="auto"/>
                <w:w w:val="99"/>
                <w:sz w:val="21"/>
                <w:szCs w:val="21"/>
                <w:highlight w:val="none"/>
                <w:vertAlign w:val="subscript"/>
              </w:rPr>
              <w:t>3</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5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271</w:t>
            </w:r>
          </w:p>
        </w:tc>
        <w:tc>
          <w:tcPr>
            <w:tcW w:w="1593"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225</w:t>
            </w:r>
          </w:p>
        </w:tc>
        <w:tc>
          <w:tcPr>
            <w:tcW w:w="1677" w:type="dxa"/>
            <w:vAlign w:val="bottom"/>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261</w:t>
            </w:r>
          </w:p>
        </w:tc>
        <w:tc>
          <w:tcPr>
            <w:tcW w:w="777" w:type="pct"/>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CO</w:t>
            </w:r>
            <w:r>
              <w:rPr>
                <w:rFonts w:ascii="Times New Roman" w:hAnsi="Times New Roman" w:cs="Times New Roman" w:eastAsiaTheme="minorEastAsia"/>
                <w:color w:val="auto"/>
                <w:w w:val="99"/>
                <w:sz w:val="21"/>
                <w:szCs w:val="21"/>
                <w:highlight w:val="none"/>
                <w:vertAlign w:val="subscript"/>
              </w:rPr>
              <w:t>3</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5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0</w:t>
            </w:r>
          </w:p>
        </w:tc>
        <w:tc>
          <w:tcPr>
            <w:tcW w:w="1593"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0</w:t>
            </w:r>
          </w:p>
        </w:tc>
        <w:tc>
          <w:tcPr>
            <w:tcW w:w="1677" w:type="dxa"/>
            <w:vAlign w:val="bottom"/>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0</w:t>
            </w:r>
          </w:p>
        </w:tc>
        <w:tc>
          <w:tcPr>
            <w:tcW w:w="777" w:type="pct"/>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Cl</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5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49.5</w:t>
            </w:r>
          </w:p>
        </w:tc>
        <w:tc>
          <w:tcPr>
            <w:tcW w:w="1593"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52.3</w:t>
            </w:r>
          </w:p>
        </w:tc>
        <w:tc>
          <w:tcPr>
            <w:tcW w:w="1677" w:type="dxa"/>
            <w:vAlign w:val="bottom"/>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48.7</w:t>
            </w:r>
          </w:p>
        </w:tc>
        <w:tc>
          <w:tcPr>
            <w:tcW w:w="777" w:type="pct"/>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r>
              <w:rPr>
                <w:rFonts w:ascii="Times New Roman" w:hAnsi="Times New Roman" w:cs="Times New Roman" w:eastAsiaTheme="minorEastAsia"/>
                <w:color w:val="auto"/>
                <w:spacing w:val="-20"/>
                <w:w w:val="99"/>
                <w:sz w:val="21"/>
                <w:szCs w:val="21"/>
                <w:highlight w:val="none"/>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4</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5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36.8</w:t>
            </w:r>
          </w:p>
        </w:tc>
        <w:tc>
          <w:tcPr>
            <w:tcW w:w="1593"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46.8</w:t>
            </w:r>
          </w:p>
        </w:tc>
        <w:tc>
          <w:tcPr>
            <w:tcW w:w="1677" w:type="dxa"/>
            <w:vAlign w:val="bottom"/>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39.9</w:t>
            </w:r>
          </w:p>
        </w:tc>
        <w:tc>
          <w:tcPr>
            <w:tcW w:w="777" w:type="pct"/>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r>
              <w:rPr>
                <w:rFonts w:ascii="Times New Roman" w:hAnsi="Times New Roman" w:cs="Times New Roman" w:eastAsiaTheme="minorEastAsia"/>
                <w:color w:val="auto"/>
                <w:spacing w:val="-20"/>
                <w:w w:val="99"/>
                <w:sz w:val="21"/>
                <w:szCs w:val="21"/>
                <w:highlight w:val="none"/>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pH</w:t>
            </w:r>
            <w:r>
              <w:rPr>
                <w:rFonts w:ascii="Times New Roman" w:hAnsi="Times New Roman" w:cs="Times New Roman" w:eastAsiaTheme="minorEastAsia"/>
                <w:color w:val="auto"/>
                <w:w w:val="99"/>
                <w:sz w:val="21"/>
                <w:szCs w:val="21"/>
                <w:highlight w:val="none"/>
                <w:lang w:val="zh-CN"/>
              </w:rPr>
              <w:t>（无量纲）</w:t>
            </w:r>
          </w:p>
        </w:tc>
        <w:tc>
          <w:tcPr>
            <w:tcW w:w="15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7.9</w:t>
            </w:r>
          </w:p>
        </w:tc>
        <w:tc>
          <w:tcPr>
            <w:tcW w:w="1593"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7.7</w:t>
            </w:r>
          </w:p>
        </w:tc>
        <w:tc>
          <w:tcPr>
            <w:tcW w:w="167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7.8</w:t>
            </w:r>
          </w:p>
        </w:tc>
        <w:tc>
          <w:tcPr>
            <w:tcW w:w="777" w:type="pct"/>
            <w:vAlign w:val="center"/>
          </w:tcPr>
          <w:p>
            <w:pPr>
              <w:jc w:val="center"/>
              <w:textAlignment w:val="bottom"/>
              <w:rPr>
                <w:rFonts w:hint="eastAsia" w:ascii="Times New Roman" w:hAnsi="Times New Roman" w:cs="Times New Roman" w:eastAsiaTheme="minorEastAsia"/>
                <w:color w:val="auto"/>
                <w:w w:val="99"/>
                <w:sz w:val="21"/>
                <w:szCs w:val="21"/>
                <w:highlight w:val="none"/>
              </w:rPr>
            </w:pPr>
            <w:r>
              <w:rPr>
                <w:rFonts w:hint="eastAsia"/>
                <w:color w:val="auto"/>
                <w:sz w:val="21"/>
                <w:szCs w:val="21"/>
                <w:highlight w:val="none"/>
                <w:lang w:bidi="ar"/>
              </w:rPr>
              <w:t>6.5～8.5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总硬度</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5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184</w:t>
            </w:r>
          </w:p>
        </w:tc>
        <w:tc>
          <w:tcPr>
            <w:tcW w:w="1593"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171</w:t>
            </w:r>
          </w:p>
        </w:tc>
        <w:tc>
          <w:tcPr>
            <w:tcW w:w="167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182</w:t>
            </w:r>
          </w:p>
        </w:tc>
        <w:tc>
          <w:tcPr>
            <w:tcW w:w="777" w:type="pct"/>
            <w:vAlign w:val="center"/>
          </w:tcPr>
          <w:p>
            <w:pPr>
              <w:jc w:val="center"/>
              <w:textAlignment w:val="bottom"/>
              <w:rPr>
                <w:rFonts w:hint="eastAsia" w:ascii="Times New Roman" w:hAnsi="Times New Roman" w:cs="Times New Roman" w:eastAsiaTheme="minorEastAsia"/>
                <w:color w:val="auto"/>
                <w:w w:val="99"/>
                <w:sz w:val="21"/>
                <w:szCs w:val="21"/>
                <w:highlight w:val="none"/>
              </w:rPr>
            </w:pPr>
            <w:r>
              <w:rPr>
                <w:rFonts w:hint="eastAsia"/>
                <w:color w:val="auto"/>
                <w:sz w:val="21"/>
                <w:szCs w:val="21"/>
                <w:highlight w:val="none"/>
                <w:lang w:bidi="ar"/>
              </w:rPr>
              <w:t>≤450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溶解性总固体</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527" w:type="dxa"/>
            <w:vAlign w:val="bottom"/>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560</w:t>
            </w:r>
          </w:p>
        </w:tc>
        <w:tc>
          <w:tcPr>
            <w:tcW w:w="1593"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530</w:t>
            </w:r>
          </w:p>
        </w:tc>
        <w:tc>
          <w:tcPr>
            <w:tcW w:w="167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570</w:t>
            </w:r>
          </w:p>
        </w:tc>
        <w:tc>
          <w:tcPr>
            <w:tcW w:w="777" w:type="pct"/>
            <w:vAlign w:val="center"/>
          </w:tcPr>
          <w:p>
            <w:pPr>
              <w:jc w:val="center"/>
              <w:textAlignment w:val="bottom"/>
              <w:rPr>
                <w:rFonts w:hint="eastAsia" w:ascii="Times New Roman" w:hAnsi="Times New Roman" w:cs="Times New Roman" w:eastAsiaTheme="minorEastAsia"/>
                <w:color w:val="auto"/>
                <w:w w:val="99"/>
                <w:sz w:val="21"/>
                <w:szCs w:val="21"/>
                <w:highlight w:val="none"/>
              </w:rPr>
            </w:pPr>
            <w:r>
              <w:rPr>
                <w:rFonts w:hint="eastAsia"/>
                <w:color w:val="auto"/>
                <w:sz w:val="21"/>
                <w:szCs w:val="21"/>
                <w:highlight w:val="none"/>
                <w:lang w:bidi="ar"/>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耗氧量</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527" w:type="dxa"/>
            <w:vAlign w:val="bottom"/>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2.2</w:t>
            </w:r>
          </w:p>
        </w:tc>
        <w:tc>
          <w:tcPr>
            <w:tcW w:w="1593"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2.3</w:t>
            </w:r>
          </w:p>
        </w:tc>
        <w:tc>
          <w:tcPr>
            <w:tcW w:w="167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2.1</w:t>
            </w:r>
          </w:p>
        </w:tc>
        <w:tc>
          <w:tcPr>
            <w:tcW w:w="777" w:type="pct"/>
            <w:vAlign w:val="center"/>
          </w:tcPr>
          <w:p>
            <w:pPr>
              <w:pStyle w:val="125"/>
              <w:spacing w:line="360" w:lineRule="exact"/>
              <w:rPr>
                <w:rFonts w:hint="eastAsia" w:ascii="Times New Roman" w:hAnsi="Times New Roman" w:cs="Times New Roman" w:eastAsiaTheme="minorEastAsia"/>
                <w:color w:val="auto"/>
                <w:w w:val="99"/>
                <w:sz w:val="21"/>
                <w:szCs w:val="21"/>
                <w:highlight w:val="none"/>
              </w:rPr>
            </w:pPr>
            <w:r>
              <w:rPr>
                <w:rFonts w:ascii="Times New Roman" w:hAnsi="Times New Roman" w:eastAsiaTheme="minorEastAsia"/>
                <w:color w:val="auto"/>
                <w:w w:val="99"/>
                <w:highlight w:val="none"/>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挥发酚</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5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593"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67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777" w:type="pct"/>
            <w:vAlign w:val="center"/>
          </w:tcPr>
          <w:p>
            <w:pPr>
              <w:pStyle w:val="125"/>
              <w:spacing w:line="360" w:lineRule="exact"/>
              <w:rPr>
                <w:rFonts w:hint="eastAsia" w:ascii="Times New Roman" w:hAnsi="Times New Roman" w:cs="Times New Roman" w:eastAsiaTheme="minorEastAsia"/>
                <w:color w:val="auto"/>
                <w:w w:val="99"/>
                <w:sz w:val="21"/>
                <w:szCs w:val="21"/>
                <w:highlight w:val="none"/>
              </w:rPr>
            </w:pPr>
            <w:r>
              <w:rPr>
                <w:rFonts w:ascii="Times New Roman" w:hAnsi="Times New Roman" w:eastAsiaTheme="minorEastAsia"/>
                <w:color w:val="auto"/>
                <w:w w:val="99"/>
                <w:highlight w:val="none"/>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氰化物</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5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593"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67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777" w:type="pct"/>
            <w:vAlign w:val="center"/>
          </w:tcPr>
          <w:p>
            <w:pPr>
              <w:pStyle w:val="125"/>
              <w:spacing w:line="360" w:lineRule="exact"/>
              <w:rPr>
                <w:rFonts w:hint="eastAsia" w:ascii="Times New Roman" w:hAnsi="Times New Roman" w:cs="Times New Roman" w:eastAsiaTheme="minorEastAsia"/>
                <w:color w:val="auto"/>
                <w:w w:val="99"/>
                <w:sz w:val="21"/>
                <w:szCs w:val="21"/>
                <w:highlight w:val="none"/>
              </w:rPr>
            </w:pPr>
            <w:r>
              <w:rPr>
                <w:rFonts w:ascii="Times New Roman" w:hAnsi="Times New Roman" w:eastAsiaTheme="minorEastAsia"/>
                <w:color w:val="auto"/>
                <w:w w:val="99"/>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氟化物</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5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0.527</w:t>
            </w:r>
          </w:p>
        </w:tc>
        <w:tc>
          <w:tcPr>
            <w:tcW w:w="1593"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662</w:t>
            </w:r>
          </w:p>
        </w:tc>
        <w:tc>
          <w:tcPr>
            <w:tcW w:w="167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571</w:t>
            </w:r>
          </w:p>
        </w:tc>
        <w:tc>
          <w:tcPr>
            <w:tcW w:w="777" w:type="pct"/>
            <w:vAlign w:val="center"/>
          </w:tcPr>
          <w:p>
            <w:pPr>
              <w:pStyle w:val="125"/>
              <w:spacing w:line="360" w:lineRule="exact"/>
              <w:rPr>
                <w:rFonts w:hint="eastAsia" w:ascii="Times New Roman" w:hAnsi="Times New Roman" w:cs="Times New Roman" w:eastAsiaTheme="minorEastAsia"/>
                <w:color w:val="auto"/>
                <w:w w:val="99"/>
                <w:sz w:val="21"/>
                <w:szCs w:val="21"/>
                <w:highlight w:val="none"/>
              </w:rPr>
            </w:pPr>
            <w:r>
              <w:rPr>
                <w:rFonts w:ascii="Times New Roman" w:hAnsi="Times New Roman" w:eastAsiaTheme="minorEastAsia"/>
                <w:color w:val="auto"/>
                <w:w w:val="99"/>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硝酸盐</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5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2.15</w:t>
            </w:r>
          </w:p>
        </w:tc>
        <w:tc>
          <w:tcPr>
            <w:tcW w:w="1593"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2.89</w:t>
            </w:r>
          </w:p>
        </w:tc>
        <w:tc>
          <w:tcPr>
            <w:tcW w:w="167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2.41</w:t>
            </w:r>
          </w:p>
        </w:tc>
        <w:tc>
          <w:tcPr>
            <w:tcW w:w="777" w:type="pct"/>
            <w:vAlign w:val="center"/>
          </w:tcPr>
          <w:p>
            <w:pPr>
              <w:pStyle w:val="125"/>
              <w:spacing w:line="360" w:lineRule="exact"/>
              <w:rPr>
                <w:rFonts w:hint="eastAsia" w:ascii="Times New Roman" w:hAnsi="Times New Roman" w:cs="Times New Roman" w:eastAsiaTheme="minorEastAsia"/>
                <w:color w:val="auto"/>
                <w:w w:val="99"/>
                <w:sz w:val="21"/>
                <w:szCs w:val="21"/>
                <w:highlight w:val="none"/>
              </w:rPr>
            </w:pPr>
            <w:r>
              <w:rPr>
                <w:rFonts w:ascii="Times New Roman" w:hAnsi="Times New Roman" w:eastAsiaTheme="minorEastAsia"/>
                <w:color w:val="auto"/>
                <w:w w:val="99"/>
                <w:highlight w:val="none"/>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亚硝酸盐</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5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0.003L</w:t>
            </w:r>
          </w:p>
        </w:tc>
        <w:tc>
          <w:tcPr>
            <w:tcW w:w="1593"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0.003L</w:t>
            </w:r>
          </w:p>
        </w:tc>
        <w:tc>
          <w:tcPr>
            <w:tcW w:w="167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0.003L</w:t>
            </w:r>
          </w:p>
        </w:tc>
        <w:tc>
          <w:tcPr>
            <w:tcW w:w="777" w:type="pct"/>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氨氮</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5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198</w:t>
            </w:r>
          </w:p>
        </w:tc>
        <w:tc>
          <w:tcPr>
            <w:tcW w:w="1593"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277</w:t>
            </w:r>
          </w:p>
        </w:tc>
        <w:tc>
          <w:tcPr>
            <w:tcW w:w="167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274</w:t>
            </w:r>
          </w:p>
        </w:tc>
        <w:tc>
          <w:tcPr>
            <w:tcW w:w="777" w:type="pct"/>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六价铬</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5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593"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67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777" w:type="pct"/>
            <w:vAlign w:val="center"/>
          </w:tcPr>
          <w:p>
            <w:pPr>
              <w:pStyle w:val="125"/>
              <w:spacing w:line="360" w:lineRule="exact"/>
              <w:rPr>
                <w:rFonts w:hint="eastAsia" w:ascii="Times New Roman" w:hAnsi="Times New Roman" w:cs="Times New Roman" w:eastAsiaTheme="minorEastAsia"/>
                <w:color w:val="auto"/>
                <w:w w:val="99"/>
                <w:sz w:val="21"/>
                <w:szCs w:val="21"/>
                <w:highlight w:val="none"/>
              </w:rPr>
            </w:pPr>
            <w:r>
              <w:rPr>
                <w:rFonts w:ascii="Times New Roman" w:hAnsi="Times New Roman" w:eastAsiaTheme="minorEastAsia"/>
                <w:color w:val="auto"/>
                <w:w w:val="99"/>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5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593"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67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777" w:type="pct"/>
            <w:vAlign w:val="center"/>
          </w:tcPr>
          <w:p>
            <w:pPr>
              <w:pStyle w:val="125"/>
              <w:spacing w:line="360" w:lineRule="exact"/>
              <w:rPr>
                <w:rFonts w:hint="eastAsia" w:ascii="Times New Roman" w:hAnsi="Times New Roman" w:cs="Times New Roman" w:eastAsiaTheme="minorEastAsia"/>
                <w:color w:val="auto"/>
                <w:w w:val="99"/>
                <w:sz w:val="21"/>
                <w:szCs w:val="21"/>
                <w:highlight w:val="none"/>
              </w:rPr>
            </w:pPr>
            <w:r>
              <w:rPr>
                <w:rFonts w:ascii="Times New Roman" w:hAnsi="Times New Roman" w:eastAsiaTheme="minorEastAsia"/>
                <w:color w:val="auto"/>
                <w:w w:val="99"/>
                <w:highlight w:val="none"/>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5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0.0025L</w:t>
            </w:r>
          </w:p>
        </w:tc>
        <w:tc>
          <w:tcPr>
            <w:tcW w:w="1593"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0.0025L</w:t>
            </w:r>
          </w:p>
        </w:tc>
        <w:tc>
          <w:tcPr>
            <w:tcW w:w="167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0.0025L</w:t>
            </w:r>
          </w:p>
        </w:tc>
        <w:tc>
          <w:tcPr>
            <w:tcW w:w="777" w:type="pct"/>
            <w:vAlign w:val="center"/>
          </w:tcPr>
          <w:p>
            <w:pPr>
              <w:pStyle w:val="125"/>
              <w:spacing w:line="360" w:lineRule="exact"/>
              <w:rPr>
                <w:rFonts w:hint="eastAsia" w:ascii="Times New Roman" w:hAnsi="Times New Roman" w:cs="Times New Roman" w:eastAsiaTheme="minorEastAsia"/>
                <w:color w:val="auto"/>
                <w:w w:val="99"/>
                <w:sz w:val="21"/>
                <w:szCs w:val="21"/>
                <w:highlight w:val="none"/>
              </w:rPr>
            </w:pPr>
            <w:r>
              <w:rPr>
                <w:rFonts w:ascii="Times New Roman" w:hAnsi="Times New Roman" w:eastAsiaTheme="minorEastAsia"/>
                <w:color w:val="auto"/>
                <w:w w:val="99"/>
                <w:highlight w:val="none"/>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铁</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5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26</w:t>
            </w:r>
          </w:p>
        </w:tc>
        <w:tc>
          <w:tcPr>
            <w:tcW w:w="1593"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27</w:t>
            </w:r>
          </w:p>
        </w:tc>
        <w:tc>
          <w:tcPr>
            <w:tcW w:w="167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26</w:t>
            </w:r>
          </w:p>
        </w:tc>
        <w:tc>
          <w:tcPr>
            <w:tcW w:w="777" w:type="pct"/>
            <w:vAlign w:val="center"/>
          </w:tcPr>
          <w:p>
            <w:pPr>
              <w:pStyle w:val="125"/>
              <w:spacing w:line="360" w:lineRule="exact"/>
              <w:rPr>
                <w:rFonts w:hint="eastAsia" w:ascii="Times New Roman" w:hAnsi="Times New Roman" w:cs="Times New Roman" w:eastAsiaTheme="minorEastAsia"/>
                <w:color w:val="auto"/>
                <w:w w:val="99"/>
                <w:sz w:val="21"/>
                <w:szCs w:val="21"/>
                <w:highlight w:val="none"/>
              </w:rPr>
            </w:pPr>
            <w:r>
              <w:rPr>
                <w:rFonts w:ascii="Times New Roman" w:hAnsi="Times New Roman" w:eastAsiaTheme="minorEastAsia"/>
                <w:color w:val="auto"/>
                <w:w w:val="99"/>
                <w:highlight w:val="none"/>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5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0.00004L</w:t>
            </w:r>
          </w:p>
        </w:tc>
        <w:tc>
          <w:tcPr>
            <w:tcW w:w="1593"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0.00004L</w:t>
            </w:r>
          </w:p>
        </w:tc>
        <w:tc>
          <w:tcPr>
            <w:tcW w:w="167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0.00004L</w:t>
            </w:r>
          </w:p>
        </w:tc>
        <w:tc>
          <w:tcPr>
            <w:tcW w:w="777" w:type="pct"/>
            <w:vAlign w:val="center"/>
          </w:tcPr>
          <w:p>
            <w:pPr>
              <w:pStyle w:val="125"/>
              <w:spacing w:line="360" w:lineRule="exact"/>
              <w:rPr>
                <w:rFonts w:hint="eastAsia" w:ascii="Times New Roman" w:hAnsi="Times New Roman" w:cs="Times New Roman" w:eastAsiaTheme="minorEastAsia"/>
                <w:color w:val="auto"/>
                <w:w w:val="99"/>
                <w:sz w:val="21"/>
                <w:szCs w:val="21"/>
                <w:highlight w:val="none"/>
              </w:rPr>
            </w:pPr>
            <w:r>
              <w:rPr>
                <w:rFonts w:ascii="Times New Roman" w:hAnsi="Times New Roman" w:eastAsiaTheme="minorEastAsia"/>
                <w:color w:val="auto"/>
                <w:w w:val="99"/>
                <w:highlight w:val="none"/>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锰</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5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09</w:t>
            </w:r>
          </w:p>
        </w:tc>
        <w:tc>
          <w:tcPr>
            <w:tcW w:w="1593"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11</w:t>
            </w:r>
          </w:p>
        </w:tc>
        <w:tc>
          <w:tcPr>
            <w:tcW w:w="167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10</w:t>
            </w:r>
          </w:p>
        </w:tc>
        <w:tc>
          <w:tcPr>
            <w:tcW w:w="777" w:type="pct"/>
            <w:vAlign w:val="center"/>
          </w:tcPr>
          <w:p>
            <w:pPr>
              <w:pStyle w:val="125"/>
              <w:spacing w:line="360" w:lineRule="exact"/>
              <w:rPr>
                <w:rFonts w:hint="eastAsia" w:ascii="Times New Roman" w:hAnsi="Times New Roman" w:cs="Times New Roman" w:eastAsiaTheme="minorEastAsia"/>
                <w:color w:val="auto"/>
                <w:w w:val="99"/>
                <w:sz w:val="21"/>
                <w:szCs w:val="21"/>
                <w:highlight w:val="none"/>
              </w:rPr>
            </w:pPr>
            <w:r>
              <w:rPr>
                <w:rFonts w:ascii="Times New Roman" w:hAnsi="Times New Roman" w:eastAsiaTheme="minorEastAsia"/>
                <w:color w:val="auto"/>
                <w:w w:val="99"/>
                <w:highlight w:val="none"/>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5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0.0005L</w:t>
            </w:r>
          </w:p>
        </w:tc>
        <w:tc>
          <w:tcPr>
            <w:tcW w:w="1593"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0.0005L</w:t>
            </w:r>
          </w:p>
        </w:tc>
        <w:tc>
          <w:tcPr>
            <w:tcW w:w="167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0.0005L</w:t>
            </w:r>
          </w:p>
        </w:tc>
        <w:tc>
          <w:tcPr>
            <w:tcW w:w="777" w:type="pct"/>
            <w:vAlign w:val="center"/>
          </w:tcPr>
          <w:p>
            <w:pPr>
              <w:pStyle w:val="125"/>
              <w:spacing w:line="360" w:lineRule="exact"/>
              <w:rPr>
                <w:rFonts w:hint="eastAsia" w:ascii="Times New Roman" w:hAnsi="Times New Roman" w:cs="Times New Roman" w:eastAsiaTheme="minorEastAsia"/>
                <w:color w:val="auto"/>
                <w:w w:val="99"/>
                <w:sz w:val="21"/>
                <w:szCs w:val="21"/>
                <w:highlight w:val="none"/>
              </w:rPr>
            </w:pPr>
            <w:r>
              <w:rPr>
                <w:rFonts w:ascii="Times New Roman" w:hAnsi="Times New Roman" w:eastAsiaTheme="minorEastAsia"/>
                <w:color w:val="auto"/>
                <w:w w:val="99"/>
                <w:highlight w:val="none"/>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石油类</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5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1593"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167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777" w:type="pct"/>
            <w:vAlign w:val="center"/>
          </w:tcPr>
          <w:p>
            <w:pPr>
              <w:pStyle w:val="125"/>
              <w:spacing w:line="360" w:lineRule="exact"/>
              <w:rPr>
                <w:rFonts w:hint="eastAsia" w:ascii="Times New Roman" w:hAnsi="Times New Roman" w:cs="Times New Roman" w:eastAsiaTheme="minorEastAsia"/>
                <w:color w:val="auto"/>
                <w:w w:val="99"/>
                <w:sz w:val="21"/>
                <w:szCs w:val="21"/>
                <w:highlight w:val="none"/>
              </w:rPr>
            </w:pPr>
            <w:r>
              <w:rPr>
                <w:rFonts w:ascii="Times New Roman" w:hAnsi="Times New Roman" w:eastAsiaTheme="minorEastAsia"/>
                <w:color w:val="auto"/>
                <w:w w:val="99"/>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总大肠菌群（MPN/100mL）</w:t>
            </w:r>
          </w:p>
        </w:tc>
        <w:tc>
          <w:tcPr>
            <w:tcW w:w="15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2L</w:t>
            </w:r>
          </w:p>
        </w:tc>
        <w:tc>
          <w:tcPr>
            <w:tcW w:w="1593"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2L</w:t>
            </w:r>
          </w:p>
        </w:tc>
        <w:tc>
          <w:tcPr>
            <w:tcW w:w="167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2L</w:t>
            </w:r>
          </w:p>
        </w:tc>
        <w:tc>
          <w:tcPr>
            <w:tcW w:w="777" w:type="pct"/>
            <w:vAlign w:val="center"/>
          </w:tcPr>
          <w:p>
            <w:pPr>
              <w:pStyle w:val="125"/>
              <w:spacing w:line="360" w:lineRule="exact"/>
              <w:rPr>
                <w:rFonts w:hint="eastAsia" w:ascii="Times New Roman" w:hAnsi="Times New Roman" w:cs="Times New Roman" w:eastAsiaTheme="minorEastAsia"/>
                <w:color w:val="auto"/>
                <w:w w:val="99"/>
                <w:sz w:val="21"/>
                <w:szCs w:val="21"/>
                <w:highlight w:val="none"/>
              </w:rPr>
            </w:pPr>
            <w:r>
              <w:rPr>
                <w:rFonts w:ascii="Times New Roman" w:hAnsi="Times New Roman" w:eastAsiaTheme="minorEastAsia"/>
                <w:color w:val="auto"/>
                <w:w w:val="99"/>
                <w:highlight w:val="none"/>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菌落总数（CFU/mL）</w:t>
            </w:r>
          </w:p>
        </w:tc>
        <w:tc>
          <w:tcPr>
            <w:tcW w:w="15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10</w:t>
            </w:r>
          </w:p>
        </w:tc>
        <w:tc>
          <w:tcPr>
            <w:tcW w:w="1593"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13</w:t>
            </w:r>
          </w:p>
        </w:tc>
        <w:tc>
          <w:tcPr>
            <w:tcW w:w="167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11</w:t>
            </w:r>
          </w:p>
        </w:tc>
        <w:tc>
          <w:tcPr>
            <w:tcW w:w="777" w:type="pct"/>
            <w:vAlign w:val="center"/>
          </w:tcPr>
          <w:p>
            <w:pPr>
              <w:pStyle w:val="125"/>
              <w:spacing w:line="360" w:lineRule="exact"/>
              <w:rPr>
                <w:rFonts w:hint="eastAsia" w:ascii="Times New Roman" w:hAnsi="Times New Roman" w:cs="Times New Roman" w:eastAsiaTheme="minorEastAsia"/>
                <w:color w:val="auto"/>
                <w:w w:val="99"/>
                <w:sz w:val="21"/>
                <w:szCs w:val="21"/>
                <w:highlight w:val="none"/>
              </w:rPr>
            </w:pPr>
            <w:r>
              <w:rPr>
                <w:rFonts w:ascii="Times New Roman" w:hAnsi="Times New Roman" w:eastAsiaTheme="minorEastAsia"/>
                <w:color w:val="auto"/>
                <w:w w:val="99"/>
                <w:highlight w:val="none"/>
              </w:rPr>
              <w:t>≤100</w:t>
            </w:r>
          </w:p>
        </w:tc>
      </w:tr>
    </w:tbl>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4.3.2.3地下水水质现状评价</w:t>
      </w:r>
    </w:p>
    <w:p>
      <w:pPr>
        <w:pStyle w:val="44"/>
        <w:spacing w:line="500" w:lineRule="exact"/>
        <w:ind w:firstLine="474" w:firstLineChars="200"/>
        <w:jc w:val="both"/>
        <w:rPr>
          <w:rFonts w:ascii="Times New Roman" w:hAnsi="Times New Roman" w:eastAsiaTheme="minorEastAsia"/>
          <w:color w:val="auto"/>
          <w:w w:val="99"/>
          <w:sz w:val="24"/>
          <w:highlight w:val="none"/>
        </w:rPr>
      </w:pPr>
      <w:r>
        <w:rPr>
          <w:rFonts w:ascii="Times New Roman" w:hAnsi="Times New Roman" w:eastAsiaTheme="minorEastAsia"/>
          <w:color w:val="auto"/>
          <w:w w:val="99"/>
          <w:sz w:val="24"/>
          <w:highlight w:val="none"/>
        </w:rPr>
        <w:t>（1）评价标准</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采用《地下水质量标准》（GB/T14848-2017）中</w:t>
      </w:r>
      <w:r>
        <w:rPr>
          <w:rFonts w:ascii="Times New Roman" w:hAnsi="Times New Roman" w:cs="Times New Roman" w:eastAsiaTheme="minorEastAsia"/>
          <w:color w:val="auto"/>
          <w:w w:val="99"/>
          <w:highlight w:val="none"/>
        </w:rPr>
        <w:fldChar w:fldCharType="begin"/>
      </w:r>
      <w:r>
        <w:rPr>
          <w:rFonts w:ascii="Times New Roman" w:hAnsi="Times New Roman" w:cs="Times New Roman" w:eastAsiaTheme="minorEastAsia"/>
          <w:color w:val="auto"/>
          <w:w w:val="99"/>
          <w:highlight w:val="none"/>
        </w:rPr>
        <w:instrText xml:space="preserve"> = 3 \* ROMAN \* MERGEFORMAT </w:instrText>
      </w:r>
      <w:r>
        <w:rPr>
          <w:rFonts w:ascii="Times New Roman" w:hAnsi="Times New Roman" w:cs="Times New Roman" w:eastAsiaTheme="minorEastAsia"/>
          <w:color w:val="auto"/>
          <w:w w:val="99"/>
          <w:highlight w:val="none"/>
        </w:rPr>
        <w:fldChar w:fldCharType="separate"/>
      </w:r>
      <w:r>
        <w:rPr>
          <w:rFonts w:ascii="Times New Roman" w:hAnsi="Times New Roman" w:cs="Times New Roman" w:eastAsiaTheme="minorEastAsia"/>
          <w:color w:val="auto"/>
          <w:w w:val="99"/>
          <w:highlight w:val="none"/>
        </w:rPr>
        <w:t>III</w:t>
      </w:r>
      <w:r>
        <w:rPr>
          <w:rFonts w:ascii="Times New Roman" w:hAnsi="Times New Roman" w:cs="Times New Roman" w:eastAsiaTheme="minorEastAsia"/>
          <w:color w:val="auto"/>
          <w:w w:val="99"/>
          <w:highlight w:val="none"/>
        </w:rPr>
        <w:fldChar w:fldCharType="end"/>
      </w:r>
      <w:r>
        <w:rPr>
          <w:rFonts w:ascii="Times New Roman" w:hAnsi="Times New Roman" w:cs="Times New Roman" w:eastAsiaTheme="minorEastAsia"/>
          <w:color w:val="auto"/>
          <w:w w:val="99"/>
          <w:highlight w:val="none"/>
        </w:rPr>
        <w:t>类标准，石油类参照《地表水环境质量标准》（GB3838-2002）</w:t>
      </w:r>
      <w:r>
        <w:rPr>
          <w:rFonts w:hint="eastAsia" w:ascii="Times New Roman" w:hAnsi="Times New Roman" w:cs="Times New Roman" w:eastAsiaTheme="minorEastAsia"/>
          <w:color w:val="auto"/>
          <w:w w:val="99"/>
          <w:highlight w:val="none"/>
        </w:rPr>
        <w:t>表</w:t>
      </w:r>
      <w:r>
        <w:rPr>
          <w:rFonts w:ascii="Times New Roman" w:hAnsi="Times New Roman" w:cs="Times New Roman" w:eastAsiaTheme="minorEastAsia"/>
          <w:color w:val="auto"/>
          <w:w w:val="99"/>
          <w:highlight w:val="none"/>
        </w:rPr>
        <w:t>1中III类标准限值要求</w:t>
      </w:r>
      <w:r>
        <w:rPr>
          <w:rFonts w:hint="eastAsia" w:ascii="Times New Roman" w:hAnsi="Times New Roman" w:cs="Times New Roman" w:eastAsiaTheme="minorEastAsia"/>
          <w:color w:val="auto"/>
          <w:w w:val="99"/>
          <w:highlight w:val="none"/>
        </w:rPr>
        <w:t>，</w:t>
      </w:r>
      <w:r>
        <w:rPr>
          <w:rFonts w:ascii="Times New Roman" w:hAnsi="Times New Roman" w:cs="Times New Roman" w:eastAsiaTheme="minorEastAsia"/>
          <w:color w:val="auto"/>
          <w:w w:val="99"/>
          <w:highlight w:val="none"/>
        </w:rPr>
        <w:t>执行≤0.05mg/L。</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（2）评价方法</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采用单因子标准指数法对地下水水质现状监测结果进行评价，评价模式如下：</w:t>
      </w:r>
    </w:p>
    <w:p>
      <w:pPr>
        <w:ind w:firstLine="3318" w:firstLineChars="14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drawing>
          <wp:inline distT="0" distB="0" distL="0" distR="0">
            <wp:extent cx="762000" cy="333375"/>
            <wp:effectExtent l="0" t="0" r="0"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62000" cy="333375"/>
                    </a:xfrm>
                    <a:prstGeom prst="rect">
                      <a:avLst/>
                    </a:prstGeom>
                    <a:noFill/>
                    <a:ln>
                      <a:noFill/>
                    </a:ln>
                  </pic:spPr>
                </pic:pic>
              </a:graphicData>
            </a:graphic>
          </wp:inline>
        </w:drawing>
      </w:r>
    </w:p>
    <w:p>
      <w:pPr>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式中：S</w:t>
      </w:r>
      <w:r>
        <w:rPr>
          <w:rFonts w:ascii="Times New Roman" w:hAnsi="Times New Roman" w:cs="Times New Roman" w:eastAsiaTheme="minorEastAsia"/>
          <w:color w:val="auto"/>
          <w:w w:val="99"/>
          <w:highlight w:val="none"/>
          <w:vertAlign w:val="subscript"/>
        </w:rPr>
        <w:t>i,j</w:t>
      </w:r>
      <w:r>
        <w:rPr>
          <w:rFonts w:ascii="Times New Roman" w:hAnsi="Times New Roman" w:cs="Times New Roman" w:eastAsiaTheme="minorEastAsia"/>
          <w:color w:val="auto"/>
          <w:w w:val="99"/>
          <w:highlight w:val="none"/>
        </w:rPr>
        <w:t>——水质单因子i在第j点的标准指数；</w:t>
      </w:r>
    </w:p>
    <w:p>
      <w:pPr>
        <w:spacing w:line="500" w:lineRule="exact"/>
        <w:ind w:firstLine="1185" w:firstLineChars="5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C</w:t>
      </w:r>
      <w:r>
        <w:rPr>
          <w:rFonts w:ascii="Times New Roman" w:hAnsi="Times New Roman" w:cs="Times New Roman" w:eastAsiaTheme="minorEastAsia"/>
          <w:color w:val="auto"/>
          <w:w w:val="99"/>
          <w:highlight w:val="none"/>
          <w:vertAlign w:val="subscript"/>
        </w:rPr>
        <w:t>ij</w:t>
      </w:r>
      <w:r>
        <w:rPr>
          <w:rFonts w:ascii="Times New Roman" w:hAnsi="Times New Roman" w:cs="Times New Roman" w:eastAsiaTheme="minorEastAsia"/>
          <w:color w:val="auto"/>
          <w:w w:val="99"/>
          <w:highlight w:val="none"/>
        </w:rPr>
        <w:t xml:space="preserve"> ——水质评价因子i在第j点的监测值，mg/L；</w:t>
      </w:r>
    </w:p>
    <w:p>
      <w:pPr>
        <w:spacing w:line="500" w:lineRule="exact"/>
        <w:ind w:firstLine="1185" w:firstLineChars="5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C</w:t>
      </w:r>
      <w:r>
        <w:rPr>
          <w:rFonts w:ascii="Times New Roman" w:hAnsi="Times New Roman" w:cs="Times New Roman" w:eastAsiaTheme="minorEastAsia"/>
          <w:color w:val="auto"/>
          <w:w w:val="99"/>
          <w:highlight w:val="none"/>
          <w:vertAlign w:val="subscript"/>
        </w:rPr>
        <w:t>si</w:t>
      </w:r>
      <w:r>
        <w:rPr>
          <w:rFonts w:ascii="Times New Roman" w:hAnsi="Times New Roman" w:cs="Times New Roman" w:eastAsiaTheme="minorEastAsia"/>
          <w:color w:val="auto"/>
          <w:w w:val="99"/>
          <w:highlight w:val="none"/>
        </w:rPr>
        <w:t>——i因子的评价标准，mg/L。</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pH的标准指数公式：</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pH</w:t>
      </w:r>
      <w:r>
        <w:rPr>
          <w:rFonts w:ascii="Times New Roman" w:hAnsi="Times New Roman" w:cs="Times New Roman" w:eastAsiaTheme="minorEastAsia"/>
          <w:color w:val="auto"/>
          <w:w w:val="99"/>
          <w:highlight w:val="none"/>
          <w:vertAlign w:val="subscript"/>
        </w:rPr>
        <w:t>j</w:t>
      </w:r>
      <w:r>
        <w:rPr>
          <w:rFonts w:ascii="Times New Roman" w:hAnsi="Times New Roman" w:cs="Times New Roman" w:eastAsiaTheme="minorEastAsia"/>
          <w:color w:val="auto"/>
          <w:w w:val="99"/>
          <w:highlight w:val="none"/>
        </w:rPr>
        <w:t>≤7.0时</w:t>
      </w:r>
    </w:p>
    <w:p>
      <w:pPr>
        <w:spacing w:line="360" w:lineRule="auto"/>
        <w:ind w:firstLine="2488" w:firstLineChars="105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drawing>
          <wp:inline distT="0" distB="0" distL="0" distR="0">
            <wp:extent cx="1238250" cy="447675"/>
            <wp:effectExtent l="0" t="0" r="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0" cy="447675"/>
                    </a:xfrm>
                    <a:prstGeom prst="rect">
                      <a:avLst/>
                    </a:prstGeom>
                    <a:noFill/>
                    <a:ln>
                      <a:noFill/>
                    </a:ln>
                  </pic:spPr>
                </pic:pic>
              </a:graphicData>
            </a:graphic>
          </wp:inline>
        </w:drawing>
      </w:r>
    </w:p>
    <w:p>
      <w:pPr>
        <w:spacing w:line="500" w:lineRule="exact"/>
        <w:ind w:firstLine="471"/>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pH</w:t>
      </w:r>
      <w:r>
        <w:rPr>
          <w:rFonts w:ascii="Times New Roman" w:hAnsi="Times New Roman" w:cs="Times New Roman" w:eastAsiaTheme="minorEastAsia"/>
          <w:color w:val="auto"/>
          <w:w w:val="99"/>
          <w:highlight w:val="none"/>
          <w:vertAlign w:val="subscript"/>
        </w:rPr>
        <w:t>j</w:t>
      </w:r>
      <w:r>
        <w:rPr>
          <w:rFonts w:ascii="Times New Roman" w:hAnsi="Times New Roman" w:cs="Times New Roman" w:eastAsiaTheme="minorEastAsia"/>
          <w:color w:val="auto"/>
          <w:w w:val="99"/>
          <w:highlight w:val="none"/>
        </w:rPr>
        <w:t>＞7.0时</w:t>
      </w:r>
    </w:p>
    <w:p>
      <w:pPr>
        <w:spacing w:line="360" w:lineRule="auto"/>
        <w:ind w:firstLine="2488" w:firstLineChars="105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drawing>
          <wp:inline distT="0" distB="0" distL="0" distR="0">
            <wp:extent cx="1266825" cy="457200"/>
            <wp:effectExtent l="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66825" cy="457200"/>
                    </a:xfrm>
                    <a:prstGeom prst="rect">
                      <a:avLst/>
                    </a:prstGeom>
                    <a:noFill/>
                    <a:ln>
                      <a:noFill/>
                    </a:ln>
                  </pic:spPr>
                </pic:pic>
              </a:graphicData>
            </a:graphic>
          </wp:inline>
        </w:drawing>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式中：S</w:t>
      </w:r>
      <w:r>
        <w:rPr>
          <w:rFonts w:ascii="Times New Roman" w:hAnsi="Times New Roman" w:cs="Times New Roman" w:eastAsiaTheme="minorEastAsia"/>
          <w:color w:val="auto"/>
          <w:w w:val="99"/>
          <w:highlight w:val="none"/>
          <w:vertAlign w:val="subscript"/>
        </w:rPr>
        <w:t>pH.j</w:t>
      </w:r>
      <w:r>
        <w:rPr>
          <w:rFonts w:ascii="Times New Roman" w:hAnsi="Times New Roman" w:cs="Times New Roman" w:eastAsiaTheme="minorEastAsia"/>
          <w:color w:val="auto"/>
          <w:w w:val="99"/>
          <w:highlight w:val="none"/>
        </w:rPr>
        <w:t>——pH值的单项指数；</w:t>
      </w:r>
    </w:p>
    <w:p>
      <w:pPr>
        <w:spacing w:line="500" w:lineRule="exact"/>
        <w:ind w:firstLine="1185" w:firstLineChars="5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pH</w:t>
      </w:r>
      <w:r>
        <w:rPr>
          <w:rFonts w:ascii="Times New Roman" w:hAnsi="Times New Roman" w:cs="Times New Roman" w:eastAsiaTheme="minorEastAsia"/>
          <w:color w:val="auto"/>
          <w:w w:val="99"/>
          <w:highlight w:val="none"/>
          <w:vertAlign w:val="subscript"/>
        </w:rPr>
        <w:t>j</w:t>
      </w:r>
      <w:r>
        <w:rPr>
          <w:rFonts w:ascii="Times New Roman" w:hAnsi="Times New Roman" w:cs="Times New Roman" w:eastAsiaTheme="minorEastAsia"/>
          <w:color w:val="auto"/>
          <w:w w:val="99"/>
          <w:highlight w:val="none"/>
        </w:rPr>
        <w:t>——j点pH值监测值；</w:t>
      </w:r>
    </w:p>
    <w:p>
      <w:pPr>
        <w:spacing w:line="500" w:lineRule="exact"/>
        <w:ind w:firstLine="1185" w:firstLineChars="5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pH</w:t>
      </w:r>
      <w:r>
        <w:rPr>
          <w:rFonts w:ascii="Times New Roman" w:hAnsi="Times New Roman" w:cs="Times New Roman" w:eastAsiaTheme="minorEastAsia"/>
          <w:color w:val="auto"/>
          <w:w w:val="99"/>
          <w:highlight w:val="none"/>
          <w:vertAlign w:val="subscript"/>
        </w:rPr>
        <w:t>su</w:t>
      </w:r>
      <w:r>
        <w:rPr>
          <w:rFonts w:ascii="Times New Roman" w:hAnsi="Times New Roman" w:cs="Times New Roman" w:eastAsiaTheme="minorEastAsia"/>
          <w:color w:val="auto"/>
          <w:w w:val="99"/>
          <w:highlight w:val="none"/>
        </w:rPr>
        <w:t>——水质标准中pH值上限；</w:t>
      </w:r>
    </w:p>
    <w:p>
      <w:pPr>
        <w:spacing w:line="500" w:lineRule="exact"/>
        <w:ind w:firstLine="1185" w:firstLineChars="5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pH</w:t>
      </w:r>
      <w:r>
        <w:rPr>
          <w:rFonts w:ascii="Times New Roman" w:hAnsi="Times New Roman" w:cs="Times New Roman" w:eastAsiaTheme="minorEastAsia"/>
          <w:color w:val="auto"/>
          <w:w w:val="99"/>
          <w:highlight w:val="none"/>
          <w:vertAlign w:val="subscript"/>
        </w:rPr>
        <w:t>sd</w:t>
      </w:r>
      <w:r>
        <w:rPr>
          <w:rFonts w:ascii="Times New Roman" w:hAnsi="Times New Roman" w:cs="Times New Roman" w:eastAsiaTheme="minorEastAsia"/>
          <w:color w:val="auto"/>
          <w:w w:val="99"/>
          <w:highlight w:val="none"/>
        </w:rPr>
        <w:t>——水质标准中pH值下限。</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当单因子标准指数＞1 时，表示该水质参数所表征的污染物已满足不了标准要求，水体已受到污染；反之，则满足标准要求。</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（3）单因子标准指数</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地下水单因子标准指数计算结果见表4.3-10。</w:t>
      </w:r>
    </w:p>
    <w:p>
      <w:pPr>
        <w:spacing w:line="500" w:lineRule="exact"/>
        <w:ind w:firstLine="476" w:firstLineChars="200"/>
        <w:jc w:val="both"/>
        <w:rPr>
          <w:rFonts w:ascii="Times New Roman" w:hAnsi="Times New Roman" w:cs="Times New Roman" w:eastAsiaTheme="minorEastAsia"/>
          <w:b/>
          <w:bCs/>
          <w:color w:val="auto"/>
          <w:w w:val="99"/>
          <w:highlight w:val="none"/>
        </w:rPr>
      </w:pPr>
      <w:r>
        <w:rPr>
          <w:rFonts w:ascii="Times New Roman" w:hAnsi="Times New Roman" w:cs="Times New Roman" w:eastAsiaTheme="minorEastAsia"/>
          <w:b/>
          <w:bCs/>
          <w:color w:val="auto"/>
          <w:w w:val="99"/>
          <w:highlight w:val="none"/>
        </w:rPr>
        <w:t>表4.3-10             地下水单因子标准指数计算结果</w:t>
      </w:r>
    </w:p>
    <w:tbl>
      <w:tblPr>
        <w:tblStyle w:val="8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41"/>
        <w:gridCol w:w="1521"/>
        <w:gridCol w:w="1597"/>
        <w:gridCol w:w="1669"/>
        <w:gridCol w:w="14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3361" w:type="pct"/>
            <w:gridSpan w:val="4"/>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hint="eastAsia" w:ascii="Times New Roman" w:hAnsi="Times New Roman" w:cs="Times New Roman" w:eastAsiaTheme="minorEastAsia"/>
                <w:color w:val="auto"/>
                <w:w w:val="99"/>
                <w:sz w:val="21"/>
                <w:szCs w:val="21"/>
                <w:highlight w:val="none"/>
              </w:rPr>
              <w:t>202</w:t>
            </w:r>
            <w:r>
              <w:rPr>
                <w:rFonts w:hint="eastAsia" w:ascii="Times New Roman" w:hAnsi="Times New Roman" w:cs="Times New Roman" w:eastAsiaTheme="minorEastAsia"/>
                <w:color w:val="auto"/>
                <w:w w:val="99"/>
                <w:sz w:val="21"/>
                <w:szCs w:val="21"/>
                <w:highlight w:val="none"/>
                <w:lang w:val="en-US" w:eastAsia="zh-CN"/>
              </w:rPr>
              <w:t>2.01.18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81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后仓粮</w:t>
            </w:r>
            <w:r>
              <w:rPr>
                <w:rFonts w:hint="eastAsia" w:ascii="Times New Roman" w:hAnsi="Times New Roman" w:cs="Times New Roman" w:eastAsiaTheme="minorEastAsia"/>
                <w:color w:val="auto"/>
                <w:w w:val="99"/>
                <w:sz w:val="21"/>
                <w:szCs w:val="21"/>
                <w:highlight w:val="none"/>
                <w:lang w:val="en-US" w:eastAsia="zh-CN"/>
              </w:rPr>
              <w:t>(陈家、潜水)</w:t>
            </w:r>
          </w:p>
        </w:tc>
        <w:tc>
          <w:tcPr>
            <w:tcW w:w="86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仓粮村（孙家、潜水）</w:t>
            </w:r>
          </w:p>
        </w:tc>
        <w:tc>
          <w:tcPr>
            <w:tcW w:w="89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厢房屯</w:t>
            </w:r>
            <w:r>
              <w:rPr>
                <w:rFonts w:hint="eastAsia" w:ascii="Times New Roman" w:hAnsi="Times New Roman" w:cs="Times New Roman" w:eastAsiaTheme="minorEastAsia"/>
                <w:color w:val="auto"/>
                <w:w w:val="99"/>
                <w:sz w:val="21"/>
                <w:szCs w:val="21"/>
                <w:highlight w:val="none"/>
                <w:lang w:val="en-US" w:eastAsia="zh-CN"/>
              </w:rPr>
              <w:t>(张家、承压水)</w:t>
            </w:r>
          </w:p>
        </w:tc>
        <w:tc>
          <w:tcPr>
            <w:tcW w:w="78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三家子村</w:t>
            </w:r>
            <w:r>
              <w:rPr>
                <w:rFonts w:hint="eastAsia" w:ascii="Times New Roman" w:hAnsi="Times New Roman" w:cs="Times New Roman" w:eastAsiaTheme="minorEastAsia"/>
                <w:color w:val="auto"/>
                <w:w w:val="99"/>
                <w:sz w:val="21"/>
                <w:szCs w:val="21"/>
                <w:highlight w:val="none"/>
                <w:lang w:eastAsia="zh-CN"/>
              </w:rPr>
              <w:t>（冯家、承压水）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pH</w:t>
            </w:r>
          </w:p>
        </w:tc>
        <w:tc>
          <w:tcPr>
            <w:tcW w:w="81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0.467 </w:t>
            </w:r>
          </w:p>
        </w:tc>
        <w:tc>
          <w:tcPr>
            <w:tcW w:w="860"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0.600 </w:t>
            </w:r>
          </w:p>
        </w:tc>
        <w:tc>
          <w:tcPr>
            <w:tcW w:w="89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0.400 </w:t>
            </w:r>
          </w:p>
        </w:tc>
        <w:tc>
          <w:tcPr>
            <w:tcW w:w="782"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0.467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总硬度</w:t>
            </w:r>
          </w:p>
        </w:tc>
        <w:tc>
          <w:tcPr>
            <w:tcW w:w="81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0.482 </w:t>
            </w:r>
          </w:p>
        </w:tc>
        <w:tc>
          <w:tcPr>
            <w:tcW w:w="860"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0.449 </w:t>
            </w:r>
          </w:p>
        </w:tc>
        <w:tc>
          <w:tcPr>
            <w:tcW w:w="89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0.360 </w:t>
            </w:r>
          </w:p>
        </w:tc>
        <w:tc>
          <w:tcPr>
            <w:tcW w:w="782"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0.320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溶解性总固体</w:t>
            </w:r>
          </w:p>
        </w:tc>
        <w:tc>
          <w:tcPr>
            <w:tcW w:w="81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0.660 </w:t>
            </w:r>
          </w:p>
        </w:tc>
        <w:tc>
          <w:tcPr>
            <w:tcW w:w="860"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0.600 </w:t>
            </w:r>
          </w:p>
        </w:tc>
        <w:tc>
          <w:tcPr>
            <w:tcW w:w="89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0.500 </w:t>
            </w:r>
          </w:p>
        </w:tc>
        <w:tc>
          <w:tcPr>
            <w:tcW w:w="782"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0.390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耗氧量</w:t>
            </w:r>
          </w:p>
        </w:tc>
        <w:tc>
          <w:tcPr>
            <w:tcW w:w="81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0.633 </w:t>
            </w:r>
          </w:p>
        </w:tc>
        <w:tc>
          <w:tcPr>
            <w:tcW w:w="860"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0.667 </w:t>
            </w:r>
          </w:p>
        </w:tc>
        <w:tc>
          <w:tcPr>
            <w:tcW w:w="89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0.600 </w:t>
            </w:r>
          </w:p>
        </w:tc>
        <w:tc>
          <w:tcPr>
            <w:tcW w:w="782"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0.600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挥发酚</w:t>
            </w:r>
          </w:p>
        </w:tc>
        <w:tc>
          <w:tcPr>
            <w:tcW w:w="81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c>
          <w:tcPr>
            <w:tcW w:w="860"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c>
          <w:tcPr>
            <w:tcW w:w="89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c>
          <w:tcPr>
            <w:tcW w:w="782"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氰化物</w:t>
            </w:r>
          </w:p>
        </w:tc>
        <w:tc>
          <w:tcPr>
            <w:tcW w:w="81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c>
          <w:tcPr>
            <w:tcW w:w="860"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c>
          <w:tcPr>
            <w:tcW w:w="89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c>
          <w:tcPr>
            <w:tcW w:w="782"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氟化物</w:t>
            </w:r>
          </w:p>
        </w:tc>
        <w:tc>
          <w:tcPr>
            <w:tcW w:w="81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0.497 </w:t>
            </w:r>
          </w:p>
        </w:tc>
        <w:tc>
          <w:tcPr>
            <w:tcW w:w="860"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0.535 </w:t>
            </w:r>
          </w:p>
        </w:tc>
        <w:tc>
          <w:tcPr>
            <w:tcW w:w="89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0.475 </w:t>
            </w:r>
          </w:p>
        </w:tc>
        <w:tc>
          <w:tcPr>
            <w:tcW w:w="782"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0.436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硝酸盐</w:t>
            </w:r>
          </w:p>
        </w:tc>
        <w:tc>
          <w:tcPr>
            <w:tcW w:w="81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0.124 </w:t>
            </w:r>
          </w:p>
        </w:tc>
        <w:tc>
          <w:tcPr>
            <w:tcW w:w="860"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0.149 </w:t>
            </w:r>
          </w:p>
        </w:tc>
        <w:tc>
          <w:tcPr>
            <w:tcW w:w="89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0.093 </w:t>
            </w:r>
          </w:p>
        </w:tc>
        <w:tc>
          <w:tcPr>
            <w:tcW w:w="782"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0.087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亚硝酸盐</w:t>
            </w:r>
          </w:p>
        </w:tc>
        <w:tc>
          <w:tcPr>
            <w:tcW w:w="81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c>
          <w:tcPr>
            <w:tcW w:w="860"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c>
          <w:tcPr>
            <w:tcW w:w="89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c>
          <w:tcPr>
            <w:tcW w:w="782"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氨氮</w:t>
            </w:r>
          </w:p>
        </w:tc>
        <w:tc>
          <w:tcPr>
            <w:tcW w:w="81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0.462 </w:t>
            </w:r>
          </w:p>
        </w:tc>
        <w:tc>
          <w:tcPr>
            <w:tcW w:w="860"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0.524 </w:t>
            </w:r>
          </w:p>
        </w:tc>
        <w:tc>
          <w:tcPr>
            <w:tcW w:w="89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0.386 </w:t>
            </w:r>
          </w:p>
        </w:tc>
        <w:tc>
          <w:tcPr>
            <w:tcW w:w="782"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0.356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六价铬</w:t>
            </w:r>
          </w:p>
        </w:tc>
        <w:tc>
          <w:tcPr>
            <w:tcW w:w="81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c>
          <w:tcPr>
            <w:tcW w:w="860"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c>
          <w:tcPr>
            <w:tcW w:w="89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c>
          <w:tcPr>
            <w:tcW w:w="782"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w:t>
            </w:r>
          </w:p>
        </w:tc>
        <w:tc>
          <w:tcPr>
            <w:tcW w:w="81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c>
          <w:tcPr>
            <w:tcW w:w="860"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c>
          <w:tcPr>
            <w:tcW w:w="89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c>
          <w:tcPr>
            <w:tcW w:w="782"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w:t>
            </w:r>
          </w:p>
        </w:tc>
        <w:tc>
          <w:tcPr>
            <w:tcW w:w="81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c>
          <w:tcPr>
            <w:tcW w:w="860"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c>
          <w:tcPr>
            <w:tcW w:w="89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c>
          <w:tcPr>
            <w:tcW w:w="782"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铁</w:t>
            </w:r>
          </w:p>
        </w:tc>
        <w:tc>
          <w:tcPr>
            <w:tcW w:w="81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0.900 </w:t>
            </w:r>
          </w:p>
        </w:tc>
        <w:tc>
          <w:tcPr>
            <w:tcW w:w="860"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0.967 </w:t>
            </w:r>
          </w:p>
        </w:tc>
        <w:tc>
          <w:tcPr>
            <w:tcW w:w="89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0.800 </w:t>
            </w:r>
          </w:p>
        </w:tc>
        <w:tc>
          <w:tcPr>
            <w:tcW w:w="782"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0.867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w:t>
            </w:r>
          </w:p>
        </w:tc>
        <w:tc>
          <w:tcPr>
            <w:tcW w:w="81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c>
          <w:tcPr>
            <w:tcW w:w="860"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c>
          <w:tcPr>
            <w:tcW w:w="89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c>
          <w:tcPr>
            <w:tcW w:w="782"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锰</w:t>
            </w:r>
          </w:p>
        </w:tc>
        <w:tc>
          <w:tcPr>
            <w:tcW w:w="81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1.200 </w:t>
            </w:r>
          </w:p>
        </w:tc>
        <w:tc>
          <w:tcPr>
            <w:tcW w:w="860"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1.300 </w:t>
            </w:r>
          </w:p>
        </w:tc>
        <w:tc>
          <w:tcPr>
            <w:tcW w:w="89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0.300 </w:t>
            </w:r>
          </w:p>
        </w:tc>
        <w:tc>
          <w:tcPr>
            <w:tcW w:w="782"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0.500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w:t>
            </w:r>
          </w:p>
        </w:tc>
        <w:tc>
          <w:tcPr>
            <w:tcW w:w="81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c>
          <w:tcPr>
            <w:tcW w:w="860"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c>
          <w:tcPr>
            <w:tcW w:w="89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c>
          <w:tcPr>
            <w:tcW w:w="782"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石油类</w:t>
            </w:r>
          </w:p>
        </w:tc>
        <w:tc>
          <w:tcPr>
            <w:tcW w:w="81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c>
          <w:tcPr>
            <w:tcW w:w="860"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c>
          <w:tcPr>
            <w:tcW w:w="89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c>
          <w:tcPr>
            <w:tcW w:w="782"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总大肠菌群</w:t>
            </w:r>
          </w:p>
        </w:tc>
        <w:tc>
          <w:tcPr>
            <w:tcW w:w="81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c>
          <w:tcPr>
            <w:tcW w:w="860"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c>
          <w:tcPr>
            <w:tcW w:w="89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c>
          <w:tcPr>
            <w:tcW w:w="782"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菌落总数</w:t>
            </w:r>
          </w:p>
        </w:tc>
        <w:tc>
          <w:tcPr>
            <w:tcW w:w="81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0.120 </w:t>
            </w:r>
          </w:p>
        </w:tc>
        <w:tc>
          <w:tcPr>
            <w:tcW w:w="860"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0.110 </w:t>
            </w:r>
          </w:p>
        </w:tc>
        <w:tc>
          <w:tcPr>
            <w:tcW w:w="89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0.080 </w:t>
            </w:r>
          </w:p>
        </w:tc>
        <w:tc>
          <w:tcPr>
            <w:tcW w:w="782"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0.070 </w:t>
            </w:r>
          </w:p>
        </w:tc>
      </w:tr>
    </w:tbl>
    <w:p>
      <w:pPr>
        <w:spacing w:line="500" w:lineRule="exact"/>
        <w:ind w:firstLine="476" w:firstLineChars="200"/>
        <w:jc w:val="both"/>
        <w:rPr>
          <w:rFonts w:ascii="Times New Roman" w:hAnsi="Times New Roman" w:cs="Times New Roman" w:eastAsiaTheme="minorEastAsia"/>
          <w:b/>
          <w:bCs/>
          <w:color w:val="auto"/>
          <w:w w:val="99"/>
          <w:highlight w:val="none"/>
        </w:rPr>
      </w:pPr>
      <w:r>
        <w:rPr>
          <w:rFonts w:ascii="Times New Roman" w:hAnsi="Times New Roman" w:cs="Times New Roman" w:eastAsiaTheme="minorEastAsia"/>
          <w:b/>
          <w:bCs/>
          <w:color w:val="auto"/>
          <w:w w:val="99"/>
          <w:highlight w:val="none"/>
        </w:rPr>
        <w:t>续表4.3-10             地下水单因子标准指数计算结果</w:t>
      </w:r>
    </w:p>
    <w:tbl>
      <w:tblPr>
        <w:tblStyle w:val="8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602"/>
        <w:gridCol w:w="1803"/>
        <w:gridCol w:w="1888"/>
        <w:gridCol w:w="19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0"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3059" w:type="pct"/>
            <w:gridSpan w:val="3"/>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hint="eastAsia" w:ascii="Times New Roman" w:hAnsi="Times New Roman" w:cs="Times New Roman" w:eastAsiaTheme="minorEastAsia"/>
                <w:color w:val="auto"/>
                <w:w w:val="99"/>
                <w:sz w:val="21"/>
                <w:szCs w:val="21"/>
                <w:highlight w:val="none"/>
              </w:rPr>
              <w:t>202</w:t>
            </w:r>
            <w:r>
              <w:rPr>
                <w:rFonts w:hint="eastAsia" w:ascii="Times New Roman" w:hAnsi="Times New Roman" w:cs="Times New Roman" w:eastAsiaTheme="minorEastAsia"/>
                <w:color w:val="auto"/>
                <w:w w:val="99"/>
                <w:sz w:val="21"/>
                <w:szCs w:val="21"/>
                <w:highlight w:val="none"/>
                <w:lang w:val="en-US" w:eastAsia="zh-CN"/>
              </w:rPr>
              <w:t>2.01.18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0"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9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后永利村(张家、潜水)</w:t>
            </w:r>
          </w:p>
        </w:tc>
        <w:tc>
          <w:tcPr>
            <w:tcW w:w="101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肖荣窝棚</w:t>
            </w:r>
            <w:r>
              <w:rPr>
                <w:rFonts w:hint="eastAsia" w:ascii="Times New Roman" w:hAnsi="Times New Roman" w:cs="Times New Roman" w:eastAsiaTheme="minorEastAsia"/>
                <w:color w:val="auto"/>
                <w:w w:val="99"/>
                <w:sz w:val="21"/>
                <w:szCs w:val="21"/>
                <w:highlight w:val="none"/>
                <w:lang w:eastAsia="zh-CN"/>
              </w:rPr>
              <w:t>（冯家、潜水）</w:t>
            </w:r>
          </w:p>
        </w:tc>
        <w:tc>
          <w:tcPr>
            <w:tcW w:w="10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果元村(王家、潜水)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0"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pH</w:t>
            </w:r>
          </w:p>
        </w:tc>
        <w:tc>
          <w:tcPr>
            <w:tcW w:w="9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0.600 </w:t>
            </w:r>
          </w:p>
        </w:tc>
        <w:tc>
          <w:tcPr>
            <w:tcW w:w="10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0.467 </w:t>
            </w:r>
          </w:p>
        </w:tc>
        <w:tc>
          <w:tcPr>
            <w:tcW w:w="10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0.533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0"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总硬度</w:t>
            </w:r>
          </w:p>
        </w:tc>
        <w:tc>
          <w:tcPr>
            <w:tcW w:w="9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0.409 </w:t>
            </w:r>
          </w:p>
        </w:tc>
        <w:tc>
          <w:tcPr>
            <w:tcW w:w="10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0.380 </w:t>
            </w:r>
          </w:p>
        </w:tc>
        <w:tc>
          <w:tcPr>
            <w:tcW w:w="10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0.404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0"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溶解性总固体</w:t>
            </w:r>
          </w:p>
        </w:tc>
        <w:tc>
          <w:tcPr>
            <w:tcW w:w="9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0.560 </w:t>
            </w:r>
          </w:p>
        </w:tc>
        <w:tc>
          <w:tcPr>
            <w:tcW w:w="10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0.530 </w:t>
            </w:r>
          </w:p>
        </w:tc>
        <w:tc>
          <w:tcPr>
            <w:tcW w:w="10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0.570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0"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耗氧量</w:t>
            </w:r>
          </w:p>
        </w:tc>
        <w:tc>
          <w:tcPr>
            <w:tcW w:w="9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0.733 </w:t>
            </w:r>
          </w:p>
        </w:tc>
        <w:tc>
          <w:tcPr>
            <w:tcW w:w="10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0.767 </w:t>
            </w:r>
          </w:p>
        </w:tc>
        <w:tc>
          <w:tcPr>
            <w:tcW w:w="10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0.700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40"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挥发酚</w:t>
            </w:r>
          </w:p>
        </w:tc>
        <w:tc>
          <w:tcPr>
            <w:tcW w:w="9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0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0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0"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氰化物</w:t>
            </w:r>
          </w:p>
        </w:tc>
        <w:tc>
          <w:tcPr>
            <w:tcW w:w="9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0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0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0"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氟化物</w:t>
            </w:r>
          </w:p>
        </w:tc>
        <w:tc>
          <w:tcPr>
            <w:tcW w:w="9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0.527 </w:t>
            </w:r>
          </w:p>
        </w:tc>
        <w:tc>
          <w:tcPr>
            <w:tcW w:w="10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0.662 </w:t>
            </w:r>
          </w:p>
        </w:tc>
        <w:tc>
          <w:tcPr>
            <w:tcW w:w="10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0.571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0"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硝酸盐</w:t>
            </w:r>
          </w:p>
        </w:tc>
        <w:tc>
          <w:tcPr>
            <w:tcW w:w="9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0.108 </w:t>
            </w:r>
          </w:p>
        </w:tc>
        <w:tc>
          <w:tcPr>
            <w:tcW w:w="10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0.145 </w:t>
            </w:r>
          </w:p>
        </w:tc>
        <w:tc>
          <w:tcPr>
            <w:tcW w:w="10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0.121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0"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亚硝酸盐</w:t>
            </w:r>
          </w:p>
        </w:tc>
        <w:tc>
          <w:tcPr>
            <w:tcW w:w="9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0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0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0"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氨氮</w:t>
            </w:r>
          </w:p>
        </w:tc>
        <w:tc>
          <w:tcPr>
            <w:tcW w:w="9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0.396 </w:t>
            </w:r>
          </w:p>
        </w:tc>
        <w:tc>
          <w:tcPr>
            <w:tcW w:w="10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0.554 </w:t>
            </w:r>
          </w:p>
        </w:tc>
        <w:tc>
          <w:tcPr>
            <w:tcW w:w="10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0.548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0"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六价铬</w:t>
            </w:r>
          </w:p>
        </w:tc>
        <w:tc>
          <w:tcPr>
            <w:tcW w:w="9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0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0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0"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w:t>
            </w:r>
          </w:p>
        </w:tc>
        <w:tc>
          <w:tcPr>
            <w:tcW w:w="9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0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0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0"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w:t>
            </w:r>
          </w:p>
        </w:tc>
        <w:tc>
          <w:tcPr>
            <w:tcW w:w="9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0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0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0"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铁</w:t>
            </w:r>
          </w:p>
        </w:tc>
        <w:tc>
          <w:tcPr>
            <w:tcW w:w="9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0.867 </w:t>
            </w:r>
          </w:p>
        </w:tc>
        <w:tc>
          <w:tcPr>
            <w:tcW w:w="10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0.900 </w:t>
            </w:r>
          </w:p>
        </w:tc>
        <w:tc>
          <w:tcPr>
            <w:tcW w:w="10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0.867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0"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w:t>
            </w:r>
          </w:p>
        </w:tc>
        <w:tc>
          <w:tcPr>
            <w:tcW w:w="9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0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0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0"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锰</w:t>
            </w:r>
          </w:p>
        </w:tc>
        <w:tc>
          <w:tcPr>
            <w:tcW w:w="9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0.900 </w:t>
            </w:r>
          </w:p>
        </w:tc>
        <w:tc>
          <w:tcPr>
            <w:tcW w:w="10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1.100 </w:t>
            </w:r>
          </w:p>
        </w:tc>
        <w:tc>
          <w:tcPr>
            <w:tcW w:w="10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1.000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0"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w:t>
            </w:r>
          </w:p>
        </w:tc>
        <w:tc>
          <w:tcPr>
            <w:tcW w:w="9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0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0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0"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石油类</w:t>
            </w:r>
          </w:p>
        </w:tc>
        <w:tc>
          <w:tcPr>
            <w:tcW w:w="9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0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0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0"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总大肠菌群</w:t>
            </w:r>
          </w:p>
        </w:tc>
        <w:tc>
          <w:tcPr>
            <w:tcW w:w="9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0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0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0"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菌落总数</w:t>
            </w:r>
          </w:p>
        </w:tc>
        <w:tc>
          <w:tcPr>
            <w:tcW w:w="9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0.100 </w:t>
            </w:r>
          </w:p>
        </w:tc>
        <w:tc>
          <w:tcPr>
            <w:tcW w:w="10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0.130 </w:t>
            </w:r>
          </w:p>
        </w:tc>
        <w:tc>
          <w:tcPr>
            <w:tcW w:w="107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0.110 </w:t>
            </w:r>
          </w:p>
        </w:tc>
      </w:tr>
    </w:tbl>
    <w:p>
      <w:pPr>
        <w:widowControl w:val="0"/>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从上表可以看出，地下水环境质量监测项目均能满足《地下水质量标准》（GB/T14848-2017）III类标准，石油类能够满足《地表水环境质量标准》（GB3838-2002）</w:t>
      </w:r>
      <w:r>
        <w:rPr>
          <w:rFonts w:hint="eastAsia" w:ascii="Times New Roman" w:hAnsi="Times New Roman" w:cs="Times New Roman" w:eastAsiaTheme="minorEastAsia"/>
          <w:color w:val="auto"/>
          <w:w w:val="99"/>
          <w:kern w:val="21"/>
          <w:highlight w:val="none"/>
        </w:rPr>
        <w:t>表</w:t>
      </w:r>
      <w:r>
        <w:rPr>
          <w:rFonts w:ascii="Times New Roman" w:hAnsi="Times New Roman" w:cs="Times New Roman" w:eastAsiaTheme="minorEastAsia"/>
          <w:color w:val="auto"/>
          <w:w w:val="99"/>
          <w:kern w:val="21"/>
          <w:highlight w:val="none"/>
        </w:rPr>
        <w:t>1中III类标准限值要求。</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（4）区域地下承压水化学类型分析</w:t>
      </w:r>
    </w:p>
    <w:p>
      <w:pPr>
        <w:widowControl w:val="0"/>
        <w:spacing w:line="500" w:lineRule="exact"/>
        <w:ind w:firstLine="474" w:firstLineChars="200"/>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根据舒卡列夫分类法，按地下水中Ca</w:t>
      </w:r>
      <w:r>
        <w:rPr>
          <w:rFonts w:ascii="Times New Roman" w:hAnsi="Times New Roman" w:cs="Times New Roman" w:eastAsiaTheme="minorEastAsia"/>
          <w:color w:val="auto"/>
          <w:w w:val="99"/>
          <w:szCs w:val="20"/>
          <w:highlight w:val="none"/>
          <w:vertAlign w:val="superscript"/>
        </w:rPr>
        <w:t>2+</w:t>
      </w:r>
      <w:r>
        <w:rPr>
          <w:rFonts w:ascii="Times New Roman" w:hAnsi="Times New Roman" w:cs="Times New Roman" w:eastAsiaTheme="minorEastAsia"/>
          <w:color w:val="auto"/>
          <w:w w:val="99"/>
          <w:szCs w:val="20"/>
          <w:highlight w:val="none"/>
        </w:rPr>
        <w:t>、Mg</w:t>
      </w:r>
      <w:r>
        <w:rPr>
          <w:rFonts w:ascii="Times New Roman" w:hAnsi="Times New Roman" w:cs="Times New Roman" w:eastAsiaTheme="minorEastAsia"/>
          <w:color w:val="auto"/>
          <w:w w:val="99"/>
          <w:szCs w:val="20"/>
          <w:highlight w:val="none"/>
          <w:vertAlign w:val="superscript"/>
        </w:rPr>
        <w:t>2+</w:t>
      </w:r>
      <w:r>
        <w:rPr>
          <w:rFonts w:ascii="Times New Roman" w:hAnsi="Times New Roman" w:cs="Times New Roman" w:eastAsiaTheme="minorEastAsia"/>
          <w:color w:val="auto"/>
          <w:w w:val="99"/>
          <w:szCs w:val="20"/>
          <w:highlight w:val="none"/>
        </w:rPr>
        <w:t>、Na</w:t>
      </w:r>
      <w:r>
        <w:rPr>
          <w:rFonts w:ascii="Times New Roman" w:hAnsi="Times New Roman" w:cs="Times New Roman" w:eastAsiaTheme="minorEastAsia"/>
          <w:color w:val="auto"/>
          <w:w w:val="99"/>
          <w:szCs w:val="20"/>
          <w:highlight w:val="none"/>
          <w:vertAlign w:val="superscript"/>
        </w:rPr>
        <w:t>+</w:t>
      </w:r>
      <w:r>
        <w:rPr>
          <w:rFonts w:ascii="Times New Roman" w:hAnsi="Times New Roman" w:cs="Times New Roman" w:eastAsiaTheme="minorEastAsia"/>
          <w:color w:val="auto"/>
          <w:w w:val="99"/>
          <w:szCs w:val="20"/>
          <w:highlight w:val="none"/>
        </w:rPr>
        <w:t>、K</w:t>
      </w:r>
      <w:r>
        <w:rPr>
          <w:rFonts w:ascii="Times New Roman" w:hAnsi="Times New Roman" w:cs="Times New Roman" w:eastAsiaTheme="minorEastAsia"/>
          <w:color w:val="auto"/>
          <w:w w:val="99"/>
          <w:szCs w:val="20"/>
          <w:highlight w:val="none"/>
          <w:vertAlign w:val="superscript"/>
        </w:rPr>
        <w:t>+</w:t>
      </w:r>
      <w:r>
        <w:rPr>
          <w:rFonts w:ascii="Times New Roman" w:hAnsi="Times New Roman" w:cs="Times New Roman" w:eastAsiaTheme="minorEastAsia"/>
          <w:color w:val="auto"/>
          <w:w w:val="99"/>
          <w:szCs w:val="20"/>
          <w:highlight w:val="none"/>
        </w:rPr>
        <w:t>、Cl</w:t>
      </w:r>
      <w:r>
        <w:rPr>
          <w:rFonts w:ascii="Times New Roman" w:hAnsi="Times New Roman" w:cs="Times New Roman" w:eastAsiaTheme="minorEastAsia"/>
          <w:color w:val="auto"/>
          <w:w w:val="99"/>
          <w:szCs w:val="20"/>
          <w:highlight w:val="none"/>
          <w:vertAlign w:val="superscript"/>
        </w:rPr>
        <w:t>-</w:t>
      </w:r>
      <w:r>
        <w:rPr>
          <w:rFonts w:ascii="Times New Roman" w:hAnsi="Times New Roman" w:cs="Times New Roman" w:eastAsiaTheme="minorEastAsia"/>
          <w:color w:val="auto"/>
          <w:w w:val="99"/>
          <w:szCs w:val="20"/>
          <w:highlight w:val="none"/>
        </w:rPr>
        <w:t>、SO</w:t>
      </w:r>
      <w:r>
        <w:rPr>
          <w:rFonts w:ascii="Times New Roman" w:hAnsi="Times New Roman" w:cs="Times New Roman" w:eastAsiaTheme="minorEastAsia"/>
          <w:color w:val="auto"/>
          <w:w w:val="99"/>
          <w:szCs w:val="20"/>
          <w:highlight w:val="none"/>
          <w:vertAlign w:val="subscript"/>
        </w:rPr>
        <w:t>4</w:t>
      </w:r>
      <w:r>
        <w:rPr>
          <w:rFonts w:ascii="Times New Roman" w:hAnsi="Times New Roman" w:cs="Times New Roman" w:eastAsiaTheme="minorEastAsia"/>
          <w:color w:val="auto"/>
          <w:w w:val="99"/>
          <w:szCs w:val="20"/>
          <w:highlight w:val="none"/>
          <w:vertAlign w:val="superscript"/>
        </w:rPr>
        <w:t>2-</w:t>
      </w:r>
      <w:r>
        <w:rPr>
          <w:rFonts w:ascii="Times New Roman" w:hAnsi="Times New Roman" w:cs="Times New Roman" w:eastAsiaTheme="minorEastAsia"/>
          <w:color w:val="auto"/>
          <w:w w:val="99"/>
          <w:szCs w:val="20"/>
          <w:highlight w:val="none"/>
        </w:rPr>
        <w:t>、HCO</w:t>
      </w:r>
      <w:r>
        <w:rPr>
          <w:rFonts w:ascii="Times New Roman" w:hAnsi="Times New Roman" w:cs="Times New Roman" w:eastAsiaTheme="minorEastAsia"/>
          <w:color w:val="auto"/>
          <w:w w:val="99"/>
          <w:szCs w:val="20"/>
          <w:highlight w:val="none"/>
          <w:vertAlign w:val="subscript"/>
        </w:rPr>
        <w:t>3</w:t>
      </w:r>
      <w:r>
        <w:rPr>
          <w:rFonts w:ascii="Times New Roman" w:hAnsi="Times New Roman" w:cs="Times New Roman" w:eastAsiaTheme="minorEastAsia"/>
          <w:color w:val="auto"/>
          <w:w w:val="99"/>
          <w:szCs w:val="20"/>
          <w:highlight w:val="none"/>
          <w:vertAlign w:val="superscript"/>
        </w:rPr>
        <w:t>-</w:t>
      </w:r>
      <w:r>
        <w:rPr>
          <w:rFonts w:ascii="Times New Roman" w:hAnsi="Times New Roman" w:cs="Times New Roman" w:eastAsiaTheme="minorEastAsia"/>
          <w:color w:val="auto"/>
          <w:w w:val="99"/>
          <w:szCs w:val="20"/>
          <w:highlight w:val="none"/>
        </w:rPr>
        <w:t>含量，将Meq（毫克当量）百分数大于25% 的阴、阳离子进行组合，每种类型以阿拉伯数字为代号，共49类。舒卡列夫分类表见</w:t>
      </w:r>
      <w:r>
        <w:rPr>
          <w:rFonts w:ascii="Times New Roman" w:hAnsi="Times New Roman" w:cs="Times New Roman" w:eastAsiaTheme="minorEastAsia"/>
          <w:color w:val="auto"/>
          <w:w w:val="99"/>
          <w:highlight w:val="none"/>
        </w:rPr>
        <w:t>表4.3-</w:t>
      </w:r>
      <w:r>
        <w:rPr>
          <w:rFonts w:ascii="Times New Roman" w:hAnsi="Times New Roman" w:cs="Times New Roman" w:eastAsiaTheme="minorEastAsia"/>
          <w:color w:val="auto"/>
          <w:w w:val="99"/>
          <w:szCs w:val="20"/>
          <w:highlight w:val="none"/>
        </w:rPr>
        <w:t xml:space="preserve">11。 </w:t>
      </w:r>
    </w:p>
    <w:p>
      <w:pPr>
        <w:spacing w:line="500" w:lineRule="exact"/>
        <w:ind w:firstLine="476" w:firstLineChars="200"/>
        <w:jc w:val="both"/>
        <w:rPr>
          <w:rFonts w:ascii="Times New Roman" w:hAnsi="Times New Roman" w:cs="Times New Roman" w:eastAsiaTheme="minorEastAsia"/>
          <w:b/>
          <w:bCs/>
          <w:color w:val="auto"/>
          <w:w w:val="99"/>
          <w:szCs w:val="20"/>
          <w:highlight w:val="none"/>
        </w:rPr>
      </w:pPr>
      <w:r>
        <w:rPr>
          <w:rFonts w:ascii="Times New Roman" w:hAnsi="Times New Roman" w:cs="Times New Roman" w:eastAsiaTheme="minorEastAsia"/>
          <w:b/>
          <w:bCs/>
          <w:color w:val="auto"/>
          <w:w w:val="99"/>
          <w:highlight w:val="none"/>
        </w:rPr>
        <w:t>表4.3-</w:t>
      </w:r>
      <w:r>
        <w:rPr>
          <w:rFonts w:ascii="Times New Roman" w:hAnsi="Times New Roman" w:cs="Times New Roman" w:eastAsiaTheme="minorEastAsia"/>
          <w:b/>
          <w:bCs/>
          <w:color w:val="auto"/>
          <w:w w:val="99"/>
          <w:szCs w:val="20"/>
          <w:highlight w:val="none"/>
        </w:rPr>
        <w:t>11                     舒卡列夫分类表</w:t>
      </w:r>
    </w:p>
    <w:tbl>
      <w:tblPr>
        <w:tblStyle w:val="8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29"/>
        <w:gridCol w:w="765"/>
        <w:gridCol w:w="1203"/>
        <w:gridCol w:w="1606"/>
        <w:gridCol w:w="1062"/>
        <w:gridCol w:w="812"/>
        <w:gridCol w:w="886"/>
        <w:gridCol w:w="6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25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含量＞25%Meq的离子</w:t>
            </w:r>
          </w:p>
        </w:tc>
        <w:tc>
          <w:tcPr>
            <w:tcW w:w="41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HCO</w:t>
            </w:r>
            <w:r>
              <w:rPr>
                <w:rFonts w:ascii="Times New Roman" w:hAnsi="Times New Roman" w:cs="Times New Roman" w:eastAsiaTheme="minorEastAsia"/>
                <w:color w:val="auto"/>
                <w:w w:val="99"/>
                <w:sz w:val="21"/>
                <w:szCs w:val="21"/>
                <w:highlight w:val="none"/>
                <w:vertAlign w:val="subscript"/>
              </w:rPr>
              <w:t>3</w:t>
            </w:r>
          </w:p>
        </w:tc>
        <w:tc>
          <w:tcPr>
            <w:tcW w:w="64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HCO</w:t>
            </w:r>
            <w:r>
              <w:rPr>
                <w:rFonts w:ascii="Times New Roman" w:hAnsi="Times New Roman" w:cs="Times New Roman" w:eastAsiaTheme="minorEastAsia"/>
                <w:color w:val="auto"/>
                <w:w w:val="99"/>
                <w:sz w:val="21"/>
                <w:szCs w:val="21"/>
                <w:highlight w:val="none"/>
                <w:vertAlign w:val="subscript"/>
              </w:rPr>
              <w:t>3</w:t>
            </w: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4</w:t>
            </w:r>
          </w:p>
        </w:tc>
        <w:tc>
          <w:tcPr>
            <w:tcW w:w="86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HCO</w:t>
            </w:r>
            <w:r>
              <w:rPr>
                <w:rFonts w:ascii="Times New Roman" w:hAnsi="Times New Roman" w:cs="Times New Roman" w:eastAsiaTheme="minorEastAsia"/>
                <w:color w:val="auto"/>
                <w:w w:val="99"/>
                <w:sz w:val="21"/>
                <w:szCs w:val="21"/>
                <w:highlight w:val="none"/>
                <w:vertAlign w:val="subscript"/>
              </w:rPr>
              <w:t>3</w:t>
            </w: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4</w:t>
            </w:r>
            <w:r>
              <w:rPr>
                <w:rFonts w:ascii="Times New Roman" w:hAnsi="Times New Roman" w:cs="Times New Roman" w:eastAsiaTheme="minorEastAsia"/>
                <w:color w:val="auto"/>
                <w:w w:val="99"/>
                <w:sz w:val="21"/>
                <w:szCs w:val="21"/>
                <w:highlight w:val="none"/>
              </w:rPr>
              <w:t>+Cl</w:t>
            </w:r>
          </w:p>
        </w:tc>
        <w:tc>
          <w:tcPr>
            <w:tcW w:w="57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HCO</w:t>
            </w:r>
            <w:r>
              <w:rPr>
                <w:rFonts w:ascii="Times New Roman" w:hAnsi="Times New Roman" w:cs="Times New Roman" w:eastAsiaTheme="minorEastAsia"/>
                <w:color w:val="auto"/>
                <w:w w:val="99"/>
                <w:sz w:val="21"/>
                <w:szCs w:val="21"/>
                <w:highlight w:val="none"/>
                <w:vertAlign w:val="subscript"/>
              </w:rPr>
              <w:t>3</w:t>
            </w:r>
            <w:r>
              <w:rPr>
                <w:rFonts w:ascii="Times New Roman" w:hAnsi="Times New Roman" w:cs="Times New Roman" w:eastAsiaTheme="minorEastAsia"/>
                <w:color w:val="auto"/>
                <w:w w:val="99"/>
                <w:sz w:val="21"/>
                <w:szCs w:val="21"/>
                <w:highlight w:val="none"/>
              </w:rPr>
              <w:t>+Cl</w:t>
            </w:r>
          </w:p>
        </w:tc>
        <w:tc>
          <w:tcPr>
            <w:tcW w:w="43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4</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4</w:t>
            </w:r>
            <w:r>
              <w:rPr>
                <w:rFonts w:ascii="Times New Roman" w:hAnsi="Times New Roman" w:cs="Times New Roman" w:eastAsiaTheme="minorEastAsia"/>
                <w:color w:val="auto"/>
                <w:w w:val="99"/>
                <w:sz w:val="21"/>
                <w:szCs w:val="21"/>
                <w:highlight w:val="none"/>
              </w:rPr>
              <w:t>+Cl</w:t>
            </w:r>
          </w:p>
        </w:tc>
        <w:tc>
          <w:tcPr>
            <w:tcW w:w="3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Ca</w:t>
            </w:r>
          </w:p>
        </w:tc>
        <w:tc>
          <w:tcPr>
            <w:tcW w:w="41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w:t>
            </w:r>
          </w:p>
        </w:tc>
        <w:tc>
          <w:tcPr>
            <w:tcW w:w="64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8</w:t>
            </w:r>
          </w:p>
        </w:tc>
        <w:tc>
          <w:tcPr>
            <w:tcW w:w="86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w:t>
            </w:r>
          </w:p>
        </w:tc>
        <w:tc>
          <w:tcPr>
            <w:tcW w:w="57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22</w:t>
            </w:r>
          </w:p>
        </w:tc>
        <w:tc>
          <w:tcPr>
            <w:tcW w:w="43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29</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36</w:t>
            </w:r>
          </w:p>
        </w:tc>
        <w:tc>
          <w:tcPr>
            <w:tcW w:w="3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Ca+Mg</w:t>
            </w:r>
          </w:p>
        </w:tc>
        <w:tc>
          <w:tcPr>
            <w:tcW w:w="41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w:t>
            </w:r>
          </w:p>
        </w:tc>
        <w:tc>
          <w:tcPr>
            <w:tcW w:w="64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9</w:t>
            </w:r>
          </w:p>
        </w:tc>
        <w:tc>
          <w:tcPr>
            <w:tcW w:w="86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16</w:t>
            </w:r>
          </w:p>
        </w:tc>
        <w:tc>
          <w:tcPr>
            <w:tcW w:w="57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23</w:t>
            </w:r>
          </w:p>
        </w:tc>
        <w:tc>
          <w:tcPr>
            <w:tcW w:w="43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30</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37</w:t>
            </w:r>
          </w:p>
        </w:tc>
        <w:tc>
          <w:tcPr>
            <w:tcW w:w="3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Mg</w:t>
            </w:r>
          </w:p>
        </w:tc>
        <w:tc>
          <w:tcPr>
            <w:tcW w:w="41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w:t>
            </w:r>
          </w:p>
        </w:tc>
        <w:tc>
          <w:tcPr>
            <w:tcW w:w="64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10</w:t>
            </w:r>
          </w:p>
        </w:tc>
        <w:tc>
          <w:tcPr>
            <w:tcW w:w="86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17</w:t>
            </w:r>
          </w:p>
        </w:tc>
        <w:tc>
          <w:tcPr>
            <w:tcW w:w="57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24</w:t>
            </w:r>
          </w:p>
        </w:tc>
        <w:tc>
          <w:tcPr>
            <w:tcW w:w="43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31</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38</w:t>
            </w:r>
          </w:p>
        </w:tc>
        <w:tc>
          <w:tcPr>
            <w:tcW w:w="3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Na+Ca</w:t>
            </w:r>
          </w:p>
        </w:tc>
        <w:tc>
          <w:tcPr>
            <w:tcW w:w="41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w:t>
            </w:r>
          </w:p>
        </w:tc>
        <w:tc>
          <w:tcPr>
            <w:tcW w:w="64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w:t>
            </w:r>
          </w:p>
        </w:tc>
        <w:tc>
          <w:tcPr>
            <w:tcW w:w="86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18</w:t>
            </w:r>
          </w:p>
        </w:tc>
        <w:tc>
          <w:tcPr>
            <w:tcW w:w="57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25</w:t>
            </w:r>
          </w:p>
        </w:tc>
        <w:tc>
          <w:tcPr>
            <w:tcW w:w="43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32</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39</w:t>
            </w:r>
          </w:p>
        </w:tc>
        <w:tc>
          <w:tcPr>
            <w:tcW w:w="3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Na+Ca+Mg</w:t>
            </w:r>
          </w:p>
        </w:tc>
        <w:tc>
          <w:tcPr>
            <w:tcW w:w="41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w:t>
            </w:r>
          </w:p>
        </w:tc>
        <w:tc>
          <w:tcPr>
            <w:tcW w:w="64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w:t>
            </w:r>
          </w:p>
        </w:tc>
        <w:tc>
          <w:tcPr>
            <w:tcW w:w="86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19</w:t>
            </w:r>
          </w:p>
        </w:tc>
        <w:tc>
          <w:tcPr>
            <w:tcW w:w="57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26</w:t>
            </w:r>
          </w:p>
        </w:tc>
        <w:tc>
          <w:tcPr>
            <w:tcW w:w="43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33</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40</w:t>
            </w:r>
          </w:p>
        </w:tc>
        <w:tc>
          <w:tcPr>
            <w:tcW w:w="3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Na+Mg</w:t>
            </w:r>
          </w:p>
        </w:tc>
        <w:tc>
          <w:tcPr>
            <w:tcW w:w="41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6</w:t>
            </w:r>
          </w:p>
        </w:tc>
        <w:tc>
          <w:tcPr>
            <w:tcW w:w="64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13</w:t>
            </w:r>
          </w:p>
        </w:tc>
        <w:tc>
          <w:tcPr>
            <w:tcW w:w="86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w:t>
            </w:r>
          </w:p>
        </w:tc>
        <w:tc>
          <w:tcPr>
            <w:tcW w:w="57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27</w:t>
            </w:r>
          </w:p>
        </w:tc>
        <w:tc>
          <w:tcPr>
            <w:tcW w:w="43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34</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41</w:t>
            </w:r>
          </w:p>
        </w:tc>
        <w:tc>
          <w:tcPr>
            <w:tcW w:w="3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Na</w:t>
            </w:r>
          </w:p>
        </w:tc>
        <w:tc>
          <w:tcPr>
            <w:tcW w:w="41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7</w:t>
            </w:r>
          </w:p>
        </w:tc>
        <w:tc>
          <w:tcPr>
            <w:tcW w:w="64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14</w:t>
            </w:r>
          </w:p>
        </w:tc>
        <w:tc>
          <w:tcPr>
            <w:tcW w:w="86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21</w:t>
            </w:r>
          </w:p>
        </w:tc>
        <w:tc>
          <w:tcPr>
            <w:tcW w:w="57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28</w:t>
            </w:r>
          </w:p>
        </w:tc>
        <w:tc>
          <w:tcPr>
            <w:tcW w:w="43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35</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42</w:t>
            </w:r>
          </w:p>
        </w:tc>
        <w:tc>
          <w:tcPr>
            <w:tcW w:w="3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49</w:t>
            </w:r>
          </w:p>
        </w:tc>
      </w:tr>
    </w:tbl>
    <w:p>
      <w:pPr>
        <w:spacing w:line="500" w:lineRule="exact"/>
        <w:ind w:firstLine="474" w:firstLineChars="200"/>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按矿化度又分为4组：A组矿化度&lt; 1.5g/L，B组1.5～10g/L，C组10～40g/L，D组&gt; 40g/L。命名时在数字与字母间加连接号，如1-A型：指的是M &lt; 1.5g/L，阴离子只有HCO</w:t>
      </w:r>
      <w:r>
        <w:rPr>
          <w:rFonts w:ascii="Times New Roman" w:hAnsi="Times New Roman" w:cs="Times New Roman" w:eastAsiaTheme="minorEastAsia"/>
          <w:color w:val="auto"/>
          <w:w w:val="99"/>
          <w:szCs w:val="20"/>
          <w:highlight w:val="none"/>
          <w:vertAlign w:val="subscript"/>
        </w:rPr>
        <w:t>3</w:t>
      </w:r>
      <w:r>
        <w:rPr>
          <w:rFonts w:ascii="Times New Roman" w:hAnsi="Times New Roman" w:cs="Times New Roman" w:eastAsiaTheme="minorEastAsia"/>
          <w:color w:val="auto"/>
          <w:w w:val="99"/>
          <w:szCs w:val="20"/>
          <w:highlight w:val="none"/>
        </w:rPr>
        <w:t xml:space="preserve"> &gt; 25％Meq，阳离子只有Ca大于25 %Meq。49-D型，表示矿化度大于40g/L的Cl-Na型水，该型水可能是于海水及海相沉积有关的地下水，或是大陆盐化潜水。</w:t>
      </w:r>
    </w:p>
    <w:p>
      <w:pPr>
        <w:widowControl w:val="0"/>
        <w:spacing w:line="500" w:lineRule="exact"/>
        <w:ind w:firstLine="474" w:firstLineChars="200"/>
        <w:jc w:val="both"/>
        <w:rPr>
          <w:rFonts w:ascii="Times New Roman" w:hAnsi="Times New Roman" w:cs="Times New Roman" w:eastAsiaTheme="minorEastAsia"/>
          <w:color w:val="auto"/>
          <w:w w:val="99"/>
          <w:kern w:val="2"/>
          <w:szCs w:val="32"/>
          <w:highlight w:val="none"/>
        </w:rPr>
      </w:pPr>
      <w:r>
        <w:rPr>
          <w:rFonts w:ascii="Times New Roman" w:hAnsi="Times New Roman" w:cs="Times New Roman" w:eastAsiaTheme="minorEastAsia"/>
          <w:color w:val="auto"/>
          <w:w w:val="99"/>
          <w:szCs w:val="32"/>
          <w:highlight w:val="none"/>
        </w:rPr>
        <w:t>根据本项目地下水监测结果，分别计算承压水、潜水各监测点位中SO</w:t>
      </w:r>
      <w:r>
        <w:rPr>
          <w:rFonts w:ascii="Times New Roman" w:hAnsi="Times New Roman" w:cs="Times New Roman" w:eastAsiaTheme="minorEastAsia"/>
          <w:color w:val="auto"/>
          <w:w w:val="99"/>
          <w:szCs w:val="32"/>
          <w:highlight w:val="none"/>
          <w:vertAlign w:val="subscript"/>
        </w:rPr>
        <w:t>4</w:t>
      </w:r>
      <w:r>
        <w:rPr>
          <w:rFonts w:ascii="Times New Roman" w:hAnsi="Times New Roman" w:cs="Times New Roman" w:eastAsiaTheme="minorEastAsia"/>
          <w:color w:val="auto"/>
          <w:w w:val="99"/>
          <w:szCs w:val="32"/>
          <w:highlight w:val="none"/>
          <w:vertAlign w:val="superscript"/>
        </w:rPr>
        <w:t>2－</w:t>
      </w:r>
      <w:r>
        <w:rPr>
          <w:rFonts w:ascii="Times New Roman" w:hAnsi="Times New Roman" w:cs="Times New Roman" w:eastAsiaTheme="minorEastAsia"/>
          <w:color w:val="auto"/>
          <w:w w:val="99"/>
          <w:szCs w:val="32"/>
          <w:highlight w:val="none"/>
        </w:rPr>
        <w:t>、Cl</w:t>
      </w:r>
      <w:r>
        <w:rPr>
          <w:rFonts w:ascii="Times New Roman" w:hAnsi="Times New Roman" w:cs="Times New Roman" w:eastAsiaTheme="minorEastAsia"/>
          <w:color w:val="auto"/>
          <w:w w:val="99"/>
          <w:szCs w:val="32"/>
          <w:highlight w:val="none"/>
          <w:vertAlign w:val="superscript"/>
        </w:rPr>
        <w:t>－</w:t>
      </w:r>
      <w:r>
        <w:rPr>
          <w:rFonts w:ascii="Times New Roman" w:hAnsi="Times New Roman" w:cs="Times New Roman" w:eastAsiaTheme="minorEastAsia"/>
          <w:color w:val="auto"/>
          <w:w w:val="99"/>
          <w:szCs w:val="32"/>
          <w:highlight w:val="none"/>
        </w:rPr>
        <w:t>、HCO</w:t>
      </w:r>
      <w:r>
        <w:rPr>
          <w:rFonts w:ascii="Times New Roman" w:hAnsi="Times New Roman" w:cs="Times New Roman" w:eastAsiaTheme="minorEastAsia"/>
          <w:color w:val="auto"/>
          <w:w w:val="99"/>
          <w:szCs w:val="32"/>
          <w:highlight w:val="none"/>
          <w:vertAlign w:val="subscript"/>
        </w:rPr>
        <w:t>3</w:t>
      </w:r>
      <w:r>
        <w:rPr>
          <w:rFonts w:ascii="Times New Roman" w:hAnsi="Times New Roman" w:cs="Times New Roman" w:eastAsiaTheme="minorEastAsia"/>
          <w:color w:val="auto"/>
          <w:w w:val="99"/>
          <w:szCs w:val="32"/>
          <w:highlight w:val="none"/>
          <w:vertAlign w:val="superscript"/>
        </w:rPr>
        <w:t>－</w:t>
      </w:r>
      <w:r>
        <w:rPr>
          <w:rFonts w:ascii="Times New Roman" w:hAnsi="Times New Roman" w:cs="Times New Roman" w:eastAsiaTheme="minorEastAsia"/>
          <w:color w:val="auto"/>
          <w:w w:val="99"/>
          <w:szCs w:val="32"/>
          <w:highlight w:val="none"/>
        </w:rPr>
        <w:t>、CO</w:t>
      </w:r>
      <w:r>
        <w:rPr>
          <w:rFonts w:ascii="Times New Roman" w:hAnsi="Times New Roman" w:cs="Times New Roman" w:eastAsiaTheme="minorEastAsia"/>
          <w:color w:val="auto"/>
          <w:w w:val="99"/>
          <w:szCs w:val="32"/>
          <w:highlight w:val="none"/>
          <w:vertAlign w:val="subscript"/>
        </w:rPr>
        <w:t>3</w:t>
      </w:r>
      <w:r>
        <w:rPr>
          <w:rFonts w:ascii="Times New Roman" w:hAnsi="Times New Roman" w:cs="Times New Roman" w:eastAsiaTheme="minorEastAsia"/>
          <w:color w:val="auto"/>
          <w:w w:val="99"/>
          <w:szCs w:val="32"/>
          <w:highlight w:val="none"/>
          <w:vertAlign w:val="superscript"/>
        </w:rPr>
        <w:t>2－</w:t>
      </w:r>
      <w:r>
        <w:rPr>
          <w:rFonts w:ascii="Times New Roman" w:hAnsi="Times New Roman" w:cs="Times New Roman" w:eastAsiaTheme="minorEastAsia"/>
          <w:color w:val="auto"/>
          <w:w w:val="99"/>
          <w:szCs w:val="32"/>
          <w:highlight w:val="none"/>
        </w:rPr>
        <w:t>、Ca</w:t>
      </w:r>
      <w:r>
        <w:rPr>
          <w:rFonts w:ascii="Times New Roman" w:hAnsi="Times New Roman" w:cs="Times New Roman" w:eastAsiaTheme="minorEastAsia"/>
          <w:color w:val="auto"/>
          <w:w w:val="99"/>
          <w:szCs w:val="32"/>
          <w:highlight w:val="none"/>
          <w:vertAlign w:val="superscript"/>
        </w:rPr>
        <w:t>2＋</w:t>
      </w:r>
      <w:r>
        <w:rPr>
          <w:rFonts w:ascii="Times New Roman" w:hAnsi="Times New Roman" w:cs="Times New Roman" w:eastAsiaTheme="minorEastAsia"/>
          <w:color w:val="auto"/>
          <w:w w:val="99"/>
          <w:szCs w:val="32"/>
          <w:highlight w:val="none"/>
        </w:rPr>
        <w:t>、Mg</w:t>
      </w:r>
      <w:r>
        <w:rPr>
          <w:rFonts w:ascii="Times New Roman" w:hAnsi="Times New Roman" w:cs="Times New Roman" w:eastAsiaTheme="minorEastAsia"/>
          <w:color w:val="auto"/>
          <w:w w:val="99"/>
          <w:szCs w:val="32"/>
          <w:highlight w:val="none"/>
          <w:vertAlign w:val="superscript"/>
        </w:rPr>
        <w:t>2＋</w:t>
      </w:r>
      <w:r>
        <w:rPr>
          <w:rFonts w:ascii="Times New Roman" w:hAnsi="Times New Roman" w:cs="Times New Roman" w:eastAsiaTheme="minorEastAsia"/>
          <w:color w:val="auto"/>
          <w:w w:val="99"/>
          <w:szCs w:val="32"/>
          <w:highlight w:val="none"/>
        </w:rPr>
        <w:t>、Na</w:t>
      </w:r>
      <w:r>
        <w:rPr>
          <w:rFonts w:ascii="Times New Roman" w:hAnsi="Times New Roman" w:cs="Times New Roman" w:eastAsiaTheme="minorEastAsia"/>
          <w:color w:val="auto"/>
          <w:w w:val="99"/>
          <w:szCs w:val="32"/>
          <w:highlight w:val="none"/>
          <w:vertAlign w:val="superscript"/>
        </w:rPr>
        <w:t>＋</w:t>
      </w:r>
      <w:r>
        <w:rPr>
          <w:rFonts w:ascii="Times New Roman" w:hAnsi="Times New Roman" w:cs="Times New Roman" w:eastAsiaTheme="minorEastAsia"/>
          <w:color w:val="auto"/>
          <w:w w:val="99"/>
          <w:szCs w:val="32"/>
          <w:highlight w:val="none"/>
        </w:rPr>
        <w:t>、 K</w:t>
      </w:r>
      <w:r>
        <w:rPr>
          <w:rFonts w:ascii="Times New Roman" w:hAnsi="Times New Roman" w:cs="Times New Roman" w:eastAsiaTheme="minorEastAsia"/>
          <w:color w:val="auto"/>
          <w:w w:val="99"/>
          <w:szCs w:val="32"/>
          <w:highlight w:val="none"/>
          <w:vertAlign w:val="superscript"/>
        </w:rPr>
        <w:t>＋</w:t>
      </w:r>
      <w:r>
        <w:rPr>
          <w:rFonts w:ascii="Times New Roman" w:hAnsi="Times New Roman" w:cs="Times New Roman" w:eastAsiaTheme="minorEastAsia"/>
          <w:color w:val="auto"/>
          <w:w w:val="99"/>
          <w:szCs w:val="32"/>
          <w:highlight w:val="none"/>
        </w:rPr>
        <w:t>浓度均值，进而计算各离子Meq（毫克当量）百分数及监测点位矿化度，从而对工程区域内承压水、潜水的水化学类型进行分类，</w:t>
      </w:r>
      <w:r>
        <w:rPr>
          <w:rFonts w:ascii="Times New Roman" w:hAnsi="Times New Roman" w:cs="Times New Roman" w:eastAsiaTheme="minorEastAsia"/>
          <w:color w:val="auto"/>
          <w:w w:val="99"/>
          <w:kern w:val="2"/>
          <w:szCs w:val="32"/>
          <w:highlight w:val="none"/>
        </w:rPr>
        <w:t>工程所在地潜水水质八大离子浓度统计结果见表</w:t>
      </w:r>
      <w:r>
        <w:rPr>
          <w:rFonts w:ascii="Times New Roman" w:hAnsi="Times New Roman" w:cs="Times New Roman" w:eastAsiaTheme="minorEastAsia"/>
          <w:color w:val="auto"/>
          <w:w w:val="99"/>
          <w:kern w:val="2"/>
          <w:szCs w:val="20"/>
          <w:highlight w:val="none"/>
        </w:rPr>
        <w:t>4.3-12</w:t>
      </w:r>
      <w:r>
        <w:rPr>
          <w:rFonts w:ascii="Times New Roman" w:hAnsi="Times New Roman" w:cs="Times New Roman" w:eastAsiaTheme="minorEastAsia"/>
          <w:color w:val="auto"/>
          <w:w w:val="99"/>
          <w:kern w:val="2"/>
          <w:szCs w:val="32"/>
          <w:highlight w:val="none"/>
        </w:rPr>
        <w:t>，工程所在地承压水水质八大离子浓度统计结果见表</w:t>
      </w:r>
      <w:r>
        <w:rPr>
          <w:rFonts w:ascii="Times New Roman" w:hAnsi="Times New Roman" w:cs="Times New Roman" w:eastAsiaTheme="minorEastAsia"/>
          <w:color w:val="auto"/>
          <w:w w:val="99"/>
          <w:kern w:val="2"/>
          <w:szCs w:val="20"/>
          <w:highlight w:val="none"/>
        </w:rPr>
        <w:t>4.3-13</w:t>
      </w:r>
      <w:r>
        <w:rPr>
          <w:rFonts w:ascii="Times New Roman" w:hAnsi="Times New Roman" w:cs="Times New Roman" w:eastAsiaTheme="minorEastAsia"/>
          <w:color w:val="auto"/>
          <w:w w:val="99"/>
          <w:kern w:val="2"/>
          <w:szCs w:val="32"/>
          <w:highlight w:val="none"/>
        </w:rPr>
        <w:t>。</w:t>
      </w:r>
    </w:p>
    <w:p>
      <w:pPr>
        <w:widowControl w:val="0"/>
        <w:spacing w:line="500" w:lineRule="exact"/>
        <w:ind w:firstLine="476" w:firstLineChars="200"/>
        <w:jc w:val="both"/>
        <w:rPr>
          <w:rFonts w:ascii="Times New Roman" w:hAnsi="Times New Roman" w:cs="Times New Roman" w:eastAsiaTheme="minorEastAsia"/>
          <w:b/>
          <w:bCs w:val="0"/>
          <w:color w:val="auto"/>
          <w:w w:val="99"/>
          <w:kern w:val="21"/>
          <w:szCs w:val="20"/>
          <w:highlight w:val="none"/>
        </w:rPr>
      </w:pPr>
      <w:r>
        <w:rPr>
          <w:rFonts w:ascii="Times New Roman" w:hAnsi="Times New Roman" w:cs="Times New Roman" w:eastAsiaTheme="minorEastAsia"/>
          <w:b/>
          <w:bCs w:val="0"/>
          <w:color w:val="auto"/>
          <w:w w:val="99"/>
          <w:kern w:val="21"/>
          <w:szCs w:val="20"/>
          <w:highlight w:val="none"/>
        </w:rPr>
        <w:t>表</w:t>
      </w:r>
      <w:r>
        <w:rPr>
          <w:rFonts w:ascii="Times New Roman" w:hAnsi="Times New Roman" w:cs="Times New Roman" w:eastAsiaTheme="minorEastAsia"/>
          <w:b/>
          <w:bCs w:val="0"/>
          <w:color w:val="auto"/>
          <w:w w:val="99"/>
          <w:kern w:val="2"/>
          <w:szCs w:val="20"/>
          <w:highlight w:val="none"/>
        </w:rPr>
        <w:t>4.3-12</w:t>
      </w:r>
      <w:r>
        <w:rPr>
          <w:rFonts w:ascii="Times New Roman" w:hAnsi="Times New Roman" w:cs="Times New Roman" w:eastAsiaTheme="minorEastAsia"/>
          <w:b/>
          <w:bCs w:val="0"/>
          <w:color w:val="auto"/>
          <w:w w:val="99"/>
          <w:kern w:val="21"/>
          <w:szCs w:val="20"/>
          <w:highlight w:val="none"/>
        </w:rPr>
        <w:t xml:space="preserve">          潜水水质八大离子水化学类型分析结果</w:t>
      </w:r>
    </w:p>
    <w:tbl>
      <w:tblPr>
        <w:tblStyle w:val="82"/>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1"/>
        <w:gridCol w:w="1236"/>
        <w:gridCol w:w="1480"/>
        <w:gridCol w:w="1483"/>
        <w:gridCol w:w="1632"/>
        <w:gridCol w:w="1045"/>
        <w:gridCol w:w="8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监测井点位</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离子名称</w:t>
            </w:r>
          </w:p>
        </w:tc>
        <w:tc>
          <w:tcPr>
            <w:tcW w:w="797"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毫克当量（mg/L）</w:t>
            </w:r>
          </w:p>
        </w:tc>
        <w:tc>
          <w:tcPr>
            <w:tcW w:w="799"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毫克当量百分比（%）</w:t>
            </w:r>
          </w:p>
        </w:tc>
        <w:tc>
          <w:tcPr>
            <w:tcW w:w="879"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离子毫克当量合计（mg/L）</w:t>
            </w:r>
          </w:p>
        </w:tc>
        <w:tc>
          <w:tcPr>
            <w:tcW w:w="563"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相对误差%</w:t>
            </w:r>
          </w:p>
        </w:tc>
        <w:tc>
          <w:tcPr>
            <w:tcW w:w="464"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矿化度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restar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后仓粮</w:t>
            </w:r>
            <w:r>
              <w:rPr>
                <w:rFonts w:hint="eastAsia" w:ascii="Times New Roman" w:hAnsi="Times New Roman" w:cs="Times New Roman" w:eastAsiaTheme="minorEastAsia"/>
                <w:color w:val="auto"/>
                <w:w w:val="99"/>
                <w:sz w:val="21"/>
                <w:szCs w:val="21"/>
                <w:highlight w:val="none"/>
                <w:lang w:val="en-US" w:eastAsia="zh-CN"/>
              </w:rPr>
              <w:t>(陈家、潜水)</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0.051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0.678 </w:t>
            </w:r>
          </w:p>
        </w:tc>
        <w:tc>
          <w:tcPr>
            <w:tcW w:w="1632" w:type="dxa"/>
            <w:vMerge w:val="restar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7.492 </w:t>
            </w:r>
          </w:p>
        </w:tc>
        <w:tc>
          <w:tcPr>
            <w:tcW w:w="1045" w:type="dxa"/>
            <w:vMerge w:val="restar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0.28 </w:t>
            </w:r>
          </w:p>
        </w:tc>
        <w:tc>
          <w:tcPr>
            <w:tcW w:w="862" w:type="dxa"/>
            <w:vMerge w:val="restar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0.55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3.104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41.437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3.045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40.645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1.292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17.241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-4.852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65.135 </w:t>
            </w:r>
          </w:p>
        </w:tc>
        <w:tc>
          <w:tcPr>
            <w:tcW w:w="1632" w:type="dxa"/>
            <w:vMerge w:val="restar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-7.450 </w:t>
            </w: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0.000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0.000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-1.583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21.247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-1.015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13.619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restar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仓粮村（孙家、潜水）</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0.078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1.145 </w:t>
            </w:r>
          </w:p>
        </w:tc>
        <w:tc>
          <w:tcPr>
            <w:tcW w:w="1632" w:type="dxa"/>
            <w:vMerge w:val="restar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6.831 </w:t>
            </w:r>
          </w:p>
        </w:tc>
        <w:tc>
          <w:tcPr>
            <w:tcW w:w="1045" w:type="dxa"/>
            <w:vMerge w:val="restar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0.32 </w:t>
            </w:r>
          </w:p>
        </w:tc>
        <w:tc>
          <w:tcPr>
            <w:tcW w:w="862" w:type="dxa"/>
            <w:vMerge w:val="restar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0.51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2.713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39.715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2.865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41.940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1.175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17.200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-4.508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65.578 </w:t>
            </w:r>
          </w:p>
        </w:tc>
        <w:tc>
          <w:tcPr>
            <w:tcW w:w="1632" w:type="dxa"/>
            <w:vMerge w:val="restar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-6.875 </w:t>
            </w:r>
          </w:p>
        </w:tc>
        <w:tc>
          <w:tcPr>
            <w:tcW w:w="1045" w:type="dxa"/>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862" w:type="dxa"/>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0.000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0.000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-1.437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20.905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-0.929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13.516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0"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后永利村(张家、潜水)</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0.058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0.867 </w:t>
            </w:r>
          </w:p>
        </w:tc>
        <w:tc>
          <w:tcPr>
            <w:tcW w:w="1632" w:type="dxa"/>
            <w:vMerge w:val="restar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6.716 </w:t>
            </w:r>
          </w:p>
        </w:tc>
        <w:tc>
          <w:tcPr>
            <w:tcW w:w="1045" w:type="dxa"/>
            <w:vMerge w:val="restar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0.69 </w:t>
            </w:r>
          </w:p>
        </w:tc>
        <w:tc>
          <w:tcPr>
            <w:tcW w:w="862" w:type="dxa"/>
            <w:vMerge w:val="restar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0.49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2.970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44.216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2.630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39.160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1.058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15.758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-4.443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67.073 </w:t>
            </w:r>
          </w:p>
        </w:tc>
        <w:tc>
          <w:tcPr>
            <w:tcW w:w="1632" w:type="dxa"/>
            <w:vMerge w:val="restar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-6.624 </w:t>
            </w:r>
          </w:p>
        </w:tc>
        <w:tc>
          <w:tcPr>
            <w:tcW w:w="1045" w:type="dxa"/>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862" w:type="dxa"/>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0.000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0.000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-1.414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21.352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-0.767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11.575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肖荣窝棚</w:t>
            </w:r>
            <w:r>
              <w:rPr>
                <w:rFonts w:hint="eastAsia" w:ascii="Times New Roman" w:hAnsi="Times New Roman" w:cs="Times New Roman" w:eastAsiaTheme="minorEastAsia"/>
                <w:color w:val="auto"/>
                <w:w w:val="99"/>
                <w:sz w:val="21"/>
                <w:szCs w:val="21"/>
                <w:highlight w:val="none"/>
                <w:lang w:eastAsia="zh-CN"/>
              </w:rPr>
              <w:t>（冯家、潜水）</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0.055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0.895 </w:t>
            </w:r>
          </w:p>
        </w:tc>
        <w:tc>
          <w:tcPr>
            <w:tcW w:w="1632" w:type="dxa"/>
            <w:vMerge w:val="restar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6.158 </w:t>
            </w:r>
          </w:p>
        </w:tc>
        <w:tc>
          <w:tcPr>
            <w:tcW w:w="1045" w:type="dxa"/>
            <w:vMerge w:val="restar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0.00 </w:t>
            </w:r>
          </w:p>
        </w:tc>
        <w:tc>
          <w:tcPr>
            <w:tcW w:w="862" w:type="dxa"/>
            <w:vMerge w:val="restar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0.45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2.670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43.351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2.525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41.003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0.908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14.750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-3.689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59.900 </w:t>
            </w:r>
          </w:p>
        </w:tc>
        <w:tc>
          <w:tcPr>
            <w:tcW w:w="1632" w:type="dxa"/>
            <w:vMerge w:val="restar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-6.158 </w:t>
            </w:r>
          </w:p>
        </w:tc>
        <w:tc>
          <w:tcPr>
            <w:tcW w:w="1045" w:type="dxa"/>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862" w:type="dxa"/>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0.000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0.000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-1.494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24.267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-0.975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15.834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果元村(王家、潜水)</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0.057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0.860 </w:t>
            </w:r>
          </w:p>
        </w:tc>
        <w:tc>
          <w:tcPr>
            <w:tcW w:w="1632" w:type="dxa"/>
            <w:vMerge w:val="restar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6.621 </w:t>
            </w:r>
          </w:p>
        </w:tc>
        <w:tc>
          <w:tcPr>
            <w:tcW w:w="1045" w:type="dxa"/>
            <w:vMerge w:val="restar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0.91 </w:t>
            </w:r>
          </w:p>
        </w:tc>
        <w:tc>
          <w:tcPr>
            <w:tcW w:w="862" w:type="dxa"/>
            <w:vMerge w:val="restar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0.48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2.930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44.262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2.625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39.648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1.008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15.230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-4.279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65.812 </w:t>
            </w:r>
          </w:p>
        </w:tc>
        <w:tc>
          <w:tcPr>
            <w:tcW w:w="1632" w:type="dxa"/>
            <w:vMerge w:val="restar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-6.501 </w:t>
            </w:r>
          </w:p>
        </w:tc>
        <w:tc>
          <w:tcPr>
            <w:tcW w:w="1045" w:type="dxa"/>
            <w:vMerge w:val="continue"/>
            <w:vAlign w:val="center"/>
          </w:tcPr>
          <w:p>
            <w:pPr>
              <w:jc w:val="center"/>
              <w:rPr>
                <w:rFonts w:ascii="Times New Roman" w:hAnsi="Times New Roman" w:cs="Times New Roman" w:eastAsiaTheme="minorEastAsia"/>
                <w:color w:val="auto"/>
                <w:w w:val="99"/>
                <w:sz w:val="21"/>
                <w:szCs w:val="21"/>
                <w:highlight w:val="none"/>
              </w:rPr>
            </w:pPr>
          </w:p>
        </w:tc>
        <w:tc>
          <w:tcPr>
            <w:tcW w:w="862" w:type="dxa"/>
            <w:vMerge w:val="continue"/>
            <w:vAlign w:val="center"/>
          </w:tcPr>
          <w:p>
            <w:pPr>
              <w:jc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0.000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0.000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-1.391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21.402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-0.831 </w:t>
            </w:r>
          </w:p>
        </w:tc>
        <w:tc>
          <w:tcPr>
            <w:tcW w:w="1483"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12.786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bl>
    <w:p>
      <w:pPr>
        <w:widowControl w:val="0"/>
        <w:spacing w:line="500" w:lineRule="exact"/>
        <w:ind w:firstLine="476" w:firstLineChars="200"/>
        <w:jc w:val="both"/>
        <w:rPr>
          <w:rFonts w:ascii="Times New Roman" w:hAnsi="Times New Roman" w:cs="Times New Roman" w:eastAsiaTheme="minorEastAsia"/>
          <w:b/>
          <w:bCs w:val="0"/>
          <w:color w:val="auto"/>
          <w:w w:val="99"/>
          <w:kern w:val="21"/>
          <w:szCs w:val="20"/>
          <w:highlight w:val="none"/>
        </w:rPr>
      </w:pPr>
      <w:r>
        <w:rPr>
          <w:rFonts w:ascii="Times New Roman" w:hAnsi="Times New Roman" w:cs="Times New Roman" w:eastAsiaTheme="minorEastAsia"/>
          <w:b/>
          <w:bCs w:val="0"/>
          <w:color w:val="auto"/>
          <w:w w:val="99"/>
          <w:kern w:val="21"/>
          <w:szCs w:val="20"/>
          <w:highlight w:val="none"/>
        </w:rPr>
        <w:t>表</w:t>
      </w:r>
      <w:r>
        <w:rPr>
          <w:rFonts w:ascii="Times New Roman" w:hAnsi="Times New Roman" w:cs="Times New Roman" w:eastAsiaTheme="minorEastAsia"/>
          <w:b/>
          <w:bCs w:val="0"/>
          <w:color w:val="auto"/>
          <w:w w:val="99"/>
          <w:kern w:val="2"/>
          <w:szCs w:val="20"/>
          <w:highlight w:val="none"/>
        </w:rPr>
        <w:t>4.3-13</w:t>
      </w:r>
      <w:r>
        <w:rPr>
          <w:rFonts w:ascii="Times New Roman" w:hAnsi="Times New Roman" w:cs="Times New Roman" w:eastAsiaTheme="minorEastAsia"/>
          <w:b/>
          <w:bCs w:val="0"/>
          <w:color w:val="auto"/>
          <w:w w:val="99"/>
          <w:kern w:val="21"/>
          <w:szCs w:val="20"/>
          <w:highlight w:val="none"/>
        </w:rPr>
        <w:t xml:space="preserve">          承压水水质八大离子浓度评价结果</w:t>
      </w:r>
    </w:p>
    <w:tbl>
      <w:tblPr>
        <w:tblStyle w:val="82"/>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1"/>
        <w:gridCol w:w="1237"/>
        <w:gridCol w:w="1480"/>
        <w:gridCol w:w="1484"/>
        <w:gridCol w:w="1632"/>
        <w:gridCol w:w="1045"/>
        <w:gridCol w:w="8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监测井点位</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离子名称</w:t>
            </w:r>
          </w:p>
        </w:tc>
        <w:tc>
          <w:tcPr>
            <w:tcW w:w="797"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毫克当量（mg/L）</w:t>
            </w:r>
          </w:p>
        </w:tc>
        <w:tc>
          <w:tcPr>
            <w:tcW w:w="799"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毫克当量百分比（%）</w:t>
            </w:r>
          </w:p>
        </w:tc>
        <w:tc>
          <w:tcPr>
            <w:tcW w:w="879"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离子毫克当量合计（mg/L）</w:t>
            </w:r>
          </w:p>
        </w:tc>
        <w:tc>
          <w:tcPr>
            <w:tcW w:w="563"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相对误差%</w:t>
            </w:r>
          </w:p>
        </w:tc>
        <w:tc>
          <w:tcPr>
            <w:tcW w:w="463"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矿化度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restar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厢房屯</w:t>
            </w:r>
            <w:r>
              <w:rPr>
                <w:rFonts w:hint="eastAsia" w:ascii="Times New Roman" w:hAnsi="Times New Roman" w:cs="Times New Roman" w:eastAsiaTheme="minorEastAsia"/>
                <w:color w:val="auto"/>
                <w:w w:val="99"/>
                <w:sz w:val="21"/>
                <w:szCs w:val="21"/>
                <w:highlight w:val="none"/>
                <w:lang w:val="en-US" w:eastAsia="zh-CN"/>
              </w:rPr>
              <w:t>(张家、承压水)</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0.035 </w:t>
            </w:r>
          </w:p>
        </w:tc>
        <w:tc>
          <w:tcPr>
            <w:tcW w:w="1484"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0.616 </w:t>
            </w:r>
          </w:p>
        </w:tc>
        <w:tc>
          <w:tcPr>
            <w:tcW w:w="1632" w:type="dxa"/>
            <w:vMerge w:val="restar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5.700 </w:t>
            </w:r>
          </w:p>
        </w:tc>
        <w:tc>
          <w:tcPr>
            <w:tcW w:w="1045" w:type="dxa"/>
            <w:vMerge w:val="restart"/>
            <w:vAlign w:val="center"/>
          </w:tcPr>
          <w:p>
            <w:pPr>
              <w:widowControl w:val="0"/>
              <w:spacing w:line="360" w:lineRule="exact"/>
              <w:jc w:val="center"/>
              <w:rPr>
                <w:rFonts w:hint="eastAsia"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 xml:space="preserve">0.36 </w:t>
            </w:r>
          </w:p>
        </w:tc>
        <w:tc>
          <w:tcPr>
            <w:tcW w:w="860" w:type="dxa"/>
            <w:vMerge w:val="restart"/>
            <w:vAlign w:val="center"/>
          </w:tcPr>
          <w:p>
            <w:pPr>
              <w:widowControl w:val="0"/>
              <w:spacing w:line="360" w:lineRule="exact"/>
              <w:jc w:val="center"/>
              <w:rPr>
                <w:rFonts w:hint="eastAsia"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 xml:space="preserve">0.43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2.417 </w:t>
            </w:r>
          </w:p>
        </w:tc>
        <w:tc>
          <w:tcPr>
            <w:tcW w:w="1484"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42.410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hint="eastAsia" w:ascii="Times New Roman" w:hAnsi="Times New Roman" w:cs="Times New Roman" w:eastAsiaTheme="minorEastAsia"/>
                <w:bCs/>
                <w:color w:val="auto"/>
                <w:w w:val="99"/>
                <w:kern w:val="2"/>
                <w:sz w:val="21"/>
                <w:szCs w:val="21"/>
                <w:highlight w:val="none"/>
                <w:lang w:val="en-US" w:eastAsia="zh-CN"/>
              </w:rPr>
            </w:pPr>
          </w:p>
        </w:tc>
        <w:tc>
          <w:tcPr>
            <w:tcW w:w="463" w:type="pct"/>
            <w:vMerge w:val="continue"/>
            <w:vAlign w:val="center"/>
          </w:tcPr>
          <w:p>
            <w:pPr>
              <w:widowControl w:val="0"/>
              <w:spacing w:line="360" w:lineRule="exact"/>
              <w:jc w:val="center"/>
              <w:rPr>
                <w:rFonts w:hint="eastAsia" w:ascii="Times New Roman" w:hAnsi="Times New Roman" w:cs="Times New Roman" w:eastAsiaTheme="minorEastAsia"/>
                <w:bCs/>
                <w:color w:val="auto"/>
                <w:w w:val="99"/>
                <w:kern w:val="2"/>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2.480 </w:t>
            </w:r>
          </w:p>
        </w:tc>
        <w:tc>
          <w:tcPr>
            <w:tcW w:w="1484"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43.509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hint="eastAsia" w:ascii="Times New Roman" w:hAnsi="Times New Roman" w:cs="Times New Roman" w:eastAsiaTheme="minorEastAsia"/>
                <w:bCs/>
                <w:color w:val="auto"/>
                <w:w w:val="99"/>
                <w:kern w:val="2"/>
                <w:sz w:val="21"/>
                <w:szCs w:val="21"/>
                <w:highlight w:val="none"/>
                <w:lang w:val="en-US" w:eastAsia="zh-CN"/>
              </w:rPr>
            </w:pPr>
          </w:p>
        </w:tc>
        <w:tc>
          <w:tcPr>
            <w:tcW w:w="463" w:type="pct"/>
            <w:vMerge w:val="continue"/>
            <w:vAlign w:val="center"/>
          </w:tcPr>
          <w:p>
            <w:pPr>
              <w:widowControl w:val="0"/>
              <w:spacing w:line="360" w:lineRule="exact"/>
              <w:jc w:val="center"/>
              <w:rPr>
                <w:rFonts w:hint="eastAsia" w:ascii="Times New Roman" w:hAnsi="Times New Roman" w:cs="Times New Roman" w:eastAsiaTheme="minorEastAsia"/>
                <w:bCs/>
                <w:color w:val="auto"/>
                <w:w w:val="99"/>
                <w:kern w:val="2"/>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0.768 </w:t>
            </w:r>
          </w:p>
        </w:tc>
        <w:tc>
          <w:tcPr>
            <w:tcW w:w="1484"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13.465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hint="eastAsia" w:ascii="Times New Roman" w:hAnsi="Times New Roman" w:cs="Times New Roman" w:eastAsiaTheme="minorEastAsia"/>
                <w:bCs/>
                <w:color w:val="auto"/>
                <w:w w:val="99"/>
                <w:kern w:val="2"/>
                <w:sz w:val="21"/>
                <w:szCs w:val="21"/>
                <w:highlight w:val="none"/>
                <w:lang w:val="en-US" w:eastAsia="zh-CN"/>
              </w:rPr>
            </w:pPr>
          </w:p>
        </w:tc>
        <w:tc>
          <w:tcPr>
            <w:tcW w:w="463" w:type="pct"/>
            <w:vMerge w:val="continue"/>
            <w:vAlign w:val="center"/>
          </w:tcPr>
          <w:p>
            <w:pPr>
              <w:widowControl w:val="0"/>
              <w:spacing w:line="360" w:lineRule="exact"/>
              <w:jc w:val="center"/>
              <w:rPr>
                <w:rFonts w:hint="eastAsia" w:ascii="Times New Roman" w:hAnsi="Times New Roman" w:cs="Times New Roman" w:eastAsiaTheme="minorEastAsia"/>
                <w:bCs/>
                <w:color w:val="auto"/>
                <w:w w:val="99"/>
                <w:kern w:val="2"/>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-4.033 </w:t>
            </w:r>
          </w:p>
        </w:tc>
        <w:tc>
          <w:tcPr>
            <w:tcW w:w="1484"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71.266 </w:t>
            </w:r>
          </w:p>
        </w:tc>
        <w:tc>
          <w:tcPr>
            <w:tcW w:w="1632" w:type="dxa"/>
            <w:vMerge w:val="restar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-5.659 </w:t>
            </w:r>
          </w:p>
        </w:tc>
        <w:tc>
          <w:tcPr>
            <w:tcW w:w="1045" w:type="dxa"/>
            <w:vMerge w:val="continue"/>
            <w:vAlign w:val="center"/>
          </w:tcPr>
          <w:p>
            <w:pPr>
              <w:widowControl w:val="0"/>
              <w:spacing w:line="360" w:lineRule="exact"/>
              <w:jc w:val="center"/>
              <w:rPr>
                <w:rFonts w:hint="eastAsia" w:ascii="Times New Roman" w:hAnsi="Times New Roman" w:cs="Times New Roman" w:eastAsiaTheme="minorEastAsia"/>
                <w:bCs/>
                <w:color w:val="auto"/>
                <w:w w:val="99"/>
                <w:kern w:val="2"/>
                <w:sz w:val="21"/>
                <w:szCs w:val="21"/>
                <w:highlight w:val="none"/>
                <w:lang w:val="en-US" w:eastAsia="zh-CN"/>
              </w:rPr>
            </w:pPr>
          </w:p>
        </w:tc>
        <w:tc>
          <w:tcPr>
            <w:tcW w:w="860" w:type="dxa"/>
            <w:vMerge w:val="continue"/>
            <w:vAlign w:val="center"/>
          </w:tcPr>
          <w:p>
            <w:pPr>
              <w:widowControl w:val="0"/>
              <w:spacing w:line="360" w:lineRule="exact"/>
              <w:jc w:val="center"/>
              <w:rPr>
                <w:rFonts w:hint="eastAsia" w:ascii="Times New Roman" w:hAnsi="Times New Roman" w:cs="Times New Roman" w:eastAsiaTheme="minorEastAsia"/>
                <w:bCs/>
                <w:color w:val="auto"/>
                <w:w w:val="99"/>
                <w:kern w:val="2"/>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0.000 </w:t>
            </w:r>
          </w:p>
        </w:tc>
        <w:tc>
          <w:tcPr>
            <w:tcW w:w="1484"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0.000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hint="eastAsia" w:ascii="Times New Roman" w:hAnsi="Times New Roman" w:cs="Times New Roman" w:eastAsiaTheme="minorEastAsia"/>
                <w:bCs/>
                <w:color w:val="auto"/>
                <w:w w:val="99"/>
                <w:kern w:val="2"/>
                <w:sz w:val="21"/>
                <w:szCs w:val="21"/>
                <w:highlight w:val="none"/>
                <w:lang w:val="en-US" w:eastAsia="zh-CN"/>
              </w:rPr>
            </w:pPr>
          </w:p>
        </w:tc>
        <w:tc>
          <w:tcPr>
            <w:tcW w:w="463" w:type="pct"/>
            <w:vMerge w:val="continue"/>
            <w:vAlign w:val="center"/>
          </w:tcPr>
          <w:p>
            <w:pPr>
              <w:widowControl w:val="0"/>
              <w:spacing w:line="360" w:lineRule="exact"/>
              <w:jc w:val="center"/>
              <w:rPr>
                <w:rFonts w:hint="eastAsia" w:ascii="Times New Roman" w:hAnsi="Times New Roman" w:cs="Times New Roman" w:eastAsiaTheme="minorEastAsia"/>
                <w:bCs/>
                <w:color w:val="auto"/>
                <w:w w:val="99"/>
                <w:kern w:val="2"/>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-1.111 </w:t>
            </w:r>
          </w:p>
        </w:tc>
        <w:tc>
          <w:tcPr>
            <w:tcW w:w="1484"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19.641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hint="eastAsia" w:ascii="Times New Roman" w:hAnsi="Times New Roman" w:cs="Times New Roman" w:eastAsiaTheme="minorEastAsia"/>
                <w:bCs/>
                <w:color w:val="auto"/>
                <w:w w:val="99"/>
                <w:kern w:val="2"/>
                <w:sz w:val="21"/>
                <w:szCs w:val="21"/>
                <w:highlight w:val="none"/>
                <w:lang w:val="en-US" w:eastAsia="zh-CN"/>
              </w:rPr>
            </w:pPr>
          </w:p>
        </w:tc>
        <w:tc>
          <w:tcPr>
            <w:tcW w:w="463" w:type="pct"/>
            <w:vMerge w:val="continue"/>
            <w:vAlign w:val="center"/>
          </w:tcPr>
          <w:p>
            <w:pPr>
              <w:widowControl w:val="0"/>
              <w:spacing w:line="360" w:lineRule="exact"/>
              <w:jc w:val="center"/>
              <w:rPr>
                <w:rFonts w:hint="eastAsia" w:ascii="Times New Roman" w:hAnsi="Times New Roman" w:cs="Times New Roman" w:eastAsiaTheme="minorEastAsia"/>
                <w:bCs/>
                <w:color w:val="auto"/>
                <w:w w:val="99"/>
                <w:kern w:val="2"/>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-0.515 </w:t>
            </w:r>
          </w:p>
        </w:tc>
        <w:tc>
          <w:tcPr>
            <w:tcW w:w="1484"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9.094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hint="eastAsia" w:ascii="Times New Roman" w:hAnsi="Times New Roman" w:cs="Times New Roman" w:eastAsiaTheme="minorEastAsia"/>
                <w:bCs/>
                <w:color w:val="auto"/>
                <w:w w:val="99"/>
                <w:kern w:val="2"/>
                <w:sz w:val="21"/>
                <w:szCs w:val="21"/>
                <w:highlight w:val="none"/>
                <w:lang w:val="en-US" w:eastAsia="zh-CN"/>
              </w:rPr>
            </w:pPr>
          </w:p>
        </w:tc>
        <w:tc>
          <w:tcPr>
            <w:tcW w:w="463" w:type="pct"/>
            <w:vMerge w:val="continue"/>
            <w:vAlign w:val="center"/>
          </w:tcPr>
          <w:p>
            <w:pPr>
              <w:widowControl w:val="0"/>
              <w:spacing w:line="360" w:lineRule="exact"/>
              <w:jc w:val="center"/>
              <w:rPr>
                <w:rFonts w:hint="eastAsia" w:ascii="Times New Roman" w:hAnsi="Times New Roman" w:cs="Times New Roman" w:eastAsiaTheme="minorEastAsia"/>
                <w:bCs/>
                <w:color w:val="auto"/>
                <w:w w:val="99"/>
                <w:kern w:val="2"/>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restar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三家子村</w:t>
            </w:r>
            <w:r>
              <w:rPr>
                <w:rFonts w:hint="eastAsia" w:ascii="Times New Roman" w:hAnsi="Times New Roman" w:cs="Times New Roman" w:eastAsiaTheme="minorEastAsia"/>
                <w:color w:val="auto"/>
                <w:w w:val="99"/>
                <w:sz w:val="21"/>
                <w:szCs w:val="21"/>
                <w:highlight w:val="none"/>
                <w:lang w:eastAsia="zh-CN"/>
              </w:rPr>
              <w:t>（冯家、承压水）</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0.038 </w:t>
            </w:r>
          </w:p>
        </w:tc>
        <w:tc>
          <w:tcPr>
            <w:tcW w:w="1484"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0.850 </w:t>
            </w:r>
          </w:p>
        </w:tc>
        <w:tc>
          <w:tcPr>
            <w:tcW w:w="1632" w:type="dxa"/>
            <w:vMerge w:val="restar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4.494 </w:t>
            </w:r>
          </w:p>
        </w:tc>
        <w:tc>
          <w:tcPr>
            <w:tcW w:w="1045" w:type="dxa"/>
            <w:vMerge w:val="restart"/>
            <w:vAlign w:val="center"/>
          </w:tcPr>
          <w:p>
            <w:pPr>
              <w:widowControl w:val="0"/>
              <w:spacing w:line="360" w:lineRule="exact"/>
              <w:jc w:val="center"/>
              <w:rPr>
                <w:rFonts w:hint="eastAsia"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 xml:space="preserve">0.13 </w:t>
            </w:r>
          </w:p>
        </w:tc>
        <w:tc>
          <w:tcPr>
            <w:tcW w:w="860" w:type="dxa"/>
            <w:vMerge w:val="restart"/>
            <w:vAlign w:val="center"/>
          </w:tcPr>
          <w:p>
            <w:pPr>
              <w:widowControl w:val="0"/>
              <w:spacing w:line="360" w:lineRule="exact"/>
              <w:jc w:val="center"/>
              <w:rPr>
                <w:rFonts w:hint="eastAsia"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 xml:space="preserve">0.32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1.583 </w:t>
            </w:r>
          </w:p>
        </w:tc>
        <w:tc>
          <w:tcPr>
            <w:tcW w:w="1484"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35.215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2.105 </w:t>
            </w:r>
          </w:p>
        </w:tc>
        <w:tc>
          <w:tcPr>
            <w:tcW w:w="1484"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46.839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0.768 </w:t>
            </w:r>
          </w:p>
        </w:tc>
        <w:tc>
          <w:tcPr>
            <w:tcW w:w="1484"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17.096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1480"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-2.607 </w:t>
            </w:r>
          </w:p>
        </w:tc>
        <w:tc>
          <w:tcPr>
            <w:tcW w:w="1484" w:type="dxa"/>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57.854 </w:t>
            </w:r>
          </w:p>
        </w:tc>
        <w:tc>
          <w:tcPr>
            <w:tcW w:w="1632" w:type="dxa"/>
            <w:vMerge w:val="restar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 xml:space="preserve">-4.505 </w:t>
            </w:r>
          </w:p>
        </w:tc>
        <w:tc>
          <w:tcPr>
            <w:tcW w:w="1045" w:type="dxa"/>
            <w:vMerge w:val="continue"/>
            <w:vAlign w:val="center"/>
          </w:tcPr>
          <w:p>
            <w:pPr>
              <w:jc w:val="center"/>
              <w:rPr>
                <w:rFonts w:ascii="Times New Roman" w:hAnsi="Times New Roman" w:cs="Times New Roman" w:eastAsiaTheme="minorEastAsia"/>
                <w:color w:val="auto"/>
                <w:w w:val="99"/>
                <w:sz w:val="21"/>
                <w:szCs w:val="21"/>
                <w:highlight w:val="none"/>
              </w:rPr>
            </w:pPr>
          </w:p>
        </w:tc>
        <w:tc>
          <w:tcPr>
            <w:tcW w:w="860" w:type="dxa"/>
            <w:vMerge w:val="continue"/>
            <w:vAlign w:val="center"/>
          </w:tcPr>
          <w:p>
            <w:pPr>
              <w:jc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1480" w:type="dxa"/>
            <w:vAlign w:val="center"/>
          </w:tcPr>
          <w:p>
            <w:pPr>
              <w:widowControl w:val="0"/>
              <w:spacing w:line="360" w:lineRule="exact"/>
              <w:jc w:val="center"/>
              <w:rPr>
                <w:rFonts w:hint="eastAsia"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 xml:space="preserve">0.000 </w:t>
            </w:r>
          </w:p>
        </w:tc>
        <w:tc>
          <w:tcPr>
            <w:tcW w:w="1484" w:type="dxa"/>
            <w:vAlign w:val="center"/>
          </w:tcPr>
          <w:p>
            <w:pPr>
              <w:widowControl w:val="0"/>
              <w:spacing w:line="360" w:lineRule="exact"/>
              <w:jc w:val="center"/>
              <w:rPr>
                <w:rFonts w:hint="eastAsia"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 xml:space="preserve">0.000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1480" w:type="dxa"/>
            <w:vAlign w:val="center"/>
          </w:tcPr>
          <w:p>
            <w:pPr>
              <w:widowControl w:val="0"/>
              <w:spacing w:line="360" w:lineRule="exact"/>
              <w:jc w:val="center"/>
              <w:rPr>
                <w:rFonts w:hint="eastAsia"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 xml:space="preserve">-1.234 </w:t>
            </w:r>
          </w:p>
        </w:tc>
        <w:tc>
          <w:tcPr>
            <w:tcW w:w="1484" w:type="dxa"/>
            <w:vAlign w:val="center"/>
          </w:tcPr>
          <w:p>
            <w:pPr>
              <w:widowControl w:val="0"/>
              <w:spacing w:line="360" w:lineRule="exact"/>
              <w:jc w:val="center"/>
              <w:rPr>
                <w:rFonts w:hint="eastAsia"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 xml:space="preserve">27.396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1480" w:type="dxa"/>
            <w:vAlign w:val="center"/>
          </w:tcPr>
          <w:p>
            <w:pPr>
              <w:widowControl w:val="0"/>
              <w:spacing w:line="360" w:lineRule="exact"/>
              <w:jc w:val="center"/>
              <w:rPr>
                <w:rFonts w:hint="eastAsia"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 xml:space="preserve">-0.665 </w:t>
            </w:r>
          </w:p>
        </w:tc>
        <w:tc>
          <w:tcPr>
            <w:tcW w:w="1484" w:type="dxa"/>
            <w:vAlign w:val="center"/>
          </w:tcPr>
          <w:p>
            <w:pPr>
              <w:widowControl w:val="0"/>
              <w:spacing w:line="360" w:lineRule="exact"/>
              <w:jc w:val="center"/>
              <w:rPr>
                <w:rFonts w:hint="eastAsia"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 xml:space="preserve">14.751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bl>
    <w:p>
      <w:pPr>
        <w:widowControl w:val="0"/>
        <w:spacing w:line="500" w:lineRule="exact"/>
        <w:ind w:firstLine="474" w:firstLineChars="200"/>
        <w:jc w:val="both"/>
        <w:rPr>
          <w:rFonts w:ascii="Times New Roman" w:hAnsi="Times New Roman" w:cs="Times New Roman" w:eastAsiaTheme="minorEastAsia"/>
          <w:color w:val="auto"/>
          <w:w w:val="99"/>
          <w:kern w:val="2"/>
          <w:szCs w:val="32"/>
          <w:highlight w:val="none"/>
        </w:rPr>
      </w:pPr>
      <w:r>
        <w:rPr>
          <w:rFonts w:ascii="Times New Roman" w:hAnsi="Times New Roman" w:cs="Times New Roman" w:eastAsiaTheme="minorEastAsia"/>
          <w:color w:val="auto"/>
          <w:w w:val="99"/>
          <w:kern w:val="2"/>
          <w:szCs w:val="32"/>
          <w:highlight w:val="none"/>
        </w:rPr>
        <w:t>通过对区域内地下水八大离子监测结果可知，本项目所在区域地下水化学类型以HCO</w:t>
      </w:r>
      <w:r>
        <w:rPr>
          <w:rFonts w:ascii="Times New Roman" w:hAnsi="Times New Roman" w:cs="Times New Roman" w:eastAsiaTheme="minorEastAsia"/>
          <w:color w:val="auto"/>
          <w:w w:val="99"/>
          <w:kern w:val="2"/>
          <w:szCs w:val="32"/>
          <w:highlight w:val="none"/>
          <w:vertAlign w:val="subscript"/>
        </w:rPr>
        <w:t>3</w:t>
      </w:r>
      <w:r>
        <w:rPr>
          <w:rFonts w:ascii="Times New Roman" w:hAnsi="Times New Roman" w:cs="Times New Roman" w:eastAsiaTheme="minorEastAsia"/>
          <w:color w:val="auto"/>
          <w:w w:val="99"/>
          <w:kern w:val="2"/>
          <w:szCs w:val="32"/>
          <w:highlight w:val="none"/>
        </w:rPr>
        <w:t>-</w:t>
      </w:r>
      <w:r>
        <w:rPr>
          <w:rFonts w:ascii="Times New Roman" w:hAnsi="Times New Roman" w:cs="Times New Roman" w:eastAsiaTheme="minorEastAsia"/>
          <w:color w:val="auto"/>
          <w:w w:val="99"/>
          <w:sz w:val="21"/>
          <w:szCs w:val="21"/>
          <w:highlight w:val="none"/>
        </w:rPr>
        <w:t xml:space="preserve"> </w:t>
      </w:r>
      <w:r>
        <w:rPr>
          <w:rFonts w:ascii="Times New Roman" w:hAnsi="Times New Roman" w:cs="Times New Roman" w:eastAsiaTheme="minorEastAsia"/>
          <w:color w:val="auto"/>
          <w:w w:val="99"/>
          <w:kern w:val="2"/>
          <w:szCs w:val="32"/>
          <w:highlight w:val="none"/>
        </w:rPr>
        <w:t>Na</w:t>
      </w:r>
      <w:r>
        <w:rPr>
          <w:rFonts w:ascii="Times New Roman" w:hAnsi="Times New Roman" w:cs="Times New Roman" w:eastAsiaTheme="minorEastAsia"/>
          <w:bCs/>
          <w:color w:val="auto"/>
          <w:w w:val="99"/>
          <w:kern w:val="2"/>
          <w:sz w:val="21"/>
          <w:szCs w:val="21"/>
          <w:highlight w:val="none"/>
          <w:vertAlign w:val="superscript"/>
        </w:rPr>
        <w:t>+</w:t>
      </w:r>
      <w:r>
        <w:rPr>
          <w:rFonts w:ascii="Times New Roman" w:hAnsi="Times New Roman" w:cs="Times New Roman" w:eastAsiaTheme="minorEastAsia"/>
          <w:color w:val="auto"/>
          <w:w w:val="99"/>
          <w:kern w:val="2"/>
          <w:szCs w:val="32"/>
          <w:highlight w:val="none"/>
        </w:rPr>
        <w:t>+Ca</w:t>
      </w:r>
      <w:r>
        <w:rPr>
          <w:rFonts w:ascii="Times New Roman" w:hAnsi="Times New Roman" w:cs="Times New Roman" w:eastAsiaTheme="minorEastAsia"/>
          <w:bCs/>
          <w:color w:val="auto"/>
          <w:w w:val="99"/>
          <w:kern w:val="2"/>
          <w:sz w:val="21"/>
          <w:szCs w:val="21"/>
          <w:highlight w:val="none"/>
          <w:vertAlign w:val="superscript"/>
        </w:rPr>
        <w:t>2+</w:t>
      </w:r>
      <w:r>
        <w:rPr>
          <w:rFonts w:ascii="Times New Roman" w:hAnsi="Times New Roman" w:cs="Times New Roman" w:eastAsiaTheme="minorEastAsia"/>
          <w:color w:val="auto"/>
          <w:w w:val="99"/>
          <w:kern w:val="2"/>
          <w:szCs w:val="32"/>
          <w:highlight w:val="none"/>
        </w:rPr>
        <w:t>，</w:t>
      </w:r>
      <w:r>
        <w:rPr>
          <w:rFonts w:hint="eastAsia" w:ascii="Times New Roman" w:hAnsi="Times New Roman" w:cs="Times New Roman" w:eastAsiaTheme="minorEastAsia"/>
          <w:color w:val="auto"/>
          <w:w w:val="99"/>
          <w:kern w:val="2"/>
          <w:szCs w:val="32"/>
          <w:highlight w:val="none"/>
        </w:rPr>
        <w:t>4</w:t>
      </w:r>
      <w:r>
        <w:rPr>
          <w:rFonts w:ascii="Times New Roman" w:hAnsi="Times New Roman" w:cs="Times New Roman" w:eastAsiaTheme="minorEastAsia"/>
          <w:color w:val="auto"/>
          <w:w w:val="99"/>
          <w:kern w:val="2"/>
          <w:szCs w:val="32"/>
          <w:highlight w:val="none"/>
        </w:rPr>
        <w:t>-A型淡水型为主</w:t>
      </w:r>
      <w:r>
        <w:rPr>
          <w:rFonts w:hint="eastAsia" w:ascii="Times New Roman" w:hAnsi="Times New Roman" w:cs="Times New Roman" w:eastAsiaTheme="minorEastAsia"/>
          <w:color w:val="auto"/>
          <w:w w:val="99"/>
          <w:kern w:val="2"/>
          <w:szCs w:val="32"/>
          <w:highlight w:val="none"/>
        </w:rPr>
        <w:t>，</w:t>
      </w:r>
      <w:r>
        <w:rPr>
          <w:rFonts w:ascii="Times New Roman" w:hAnsi="Times New Roman" w:cs="Times New Roman" w:eastAsiaTheme="minorEastAsia"/>
          <w:color w:val="auto"/>
          <w:w w:val="99"/>
          <w:kern w:val="2"/>
          <w:szCs w:val="32"/>
          <w:highlight w:val="none"/>
        </w:rPr>
        <w:t>地下水矿化度较低，水质情况较好。根据上表可知，项目区域水质总阳离子（钠、钾、钙、镁）与阴离子（硫酸盐、氯化物、碳酸盐、重碳酸盐）毫克当量浓度相对误差不大于5%，阴阳离子平衡。</w:t>
      </w:r>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4.3.2.4地下水环境质量现状评价结论</w:t>
      </w:r>
    </w:p>
    <w:p>
      <w:pPr>
        <w:pStyle w:val="113"/>
        <w:widowControl w:val="0"/>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szCs w:val="20"/>
          <w:highlight w:val="none"/>
        </w:rPr>
        <w:t>由以上地下水单因子标准指数分析可知，评价区域第四系孔隙潜水水质除锰外均满足《地下水质量标准》（GB/T148488-2017）中的</w:t>
      </w:r>
      <w:r>
        <w:rPr>
          <w:rFonts w:hint="eastAsia"/>
          <w:color w:val="auto"/>
          <w:w w:val="99"/>
          <w:szCs w:val="20"/>
          <w:highlight w:val="none"/>
        </w:rPr>
        <w:t>Ⅲ</w:t>
      </w:r>
      <w:r>
        <w:rPr>
          <w:rFonts w:ascii="Times New Roman" w:hAnsi="Times New Roman" w:cs="Times New Roman" w:eastAsiaTheme="minorEastAsia"/>
          <w:color w:val="auto"/>
          <w:w w:val="99"/>
          <w:szCs w:val="20"/>
          <w:highlight w:val="none"/>
        </w:rPr>
        <w:t>类标准要求</w:t>
      </w:r>
      <w:r>
        <w:rPr>
          <w:rFonts w:ascii="Times New Roman" w:hAnsi="Times New Roman" w:cs="Times New Roman" w:eastAsiaTheme="minorEastAsia"/>
          <w:color w:val="auto"/>
          <w:w w:val="99"/>
          <w:highlight w:val="none"/>
        </w:rPr>
        <w:t>。其中锰</w:t>
      </w:r>
      <w:r>
        <w:rPr>
          <w:rFonts w:ascii="Times New Roman" w:hAnsi="Times New Roman" w:cs="Times New Roman" w:eastAsiaTheme="minorEastAsia"/>
          <w:color w:val="auto"/>
          <w:w w:val="99"/>
          <w:szCs w:val="20"/>
          <w:highlight w:val="none"/>
        </w:rPr>
        <w:t>因子水质监测浓度占标率偏高，主要是由于</w:t>
      </w:r>
      <w:r>
        <w:rPr>
          <w:rFonts w:ascii="Times New Roman" w:hAnsi="Times New Roman" w:cs="Times New Roman" w:eastAsiaTheme="minorEastAsia"/>
          <w:color w:val="auto"/>
          <w:w w:val="99"/>
          <w:highlight w:val="none"/>
        </w:rPr>
        <w:t>评价区域地层中富含锰矿物，还原条件下转化的Mn</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在CO</w:t>
      </w:r>
      <w:r>
        <w:rPr>
          <w:rFonts w:ascii="Times New Roman" w:hAnsi="Times New Roman" w:cs="Times New Roman" w:eastAsiaTheme="minorEastAsia"/>
          <w:color w:val="auto"/>
          <w:w w:val="99"/>
          <w:highlight w:val="none"/>
          <w:vertAlign w:val="subscript"/>
        </w:rPr>
        <w:t>2</w:t>
      </w:r>
      <w:r>
        <w:rPr>
          <w:rFonts w:ascii="Times New Roman" w:hAnsi="Times New Roman" w:cs="Times New Roman" w:eastAsiaTheme="minorEastAsia"/>
          <w:color w:val="auto"/>
          <w:w w:val="99"/>
          <w:highlight w:val="none"/>
        </w:rPr>
        <w:t>作用下溶入地下水中，形成锰浓度偏高的水文地质化学环境。评价区域</w:t>
      </w:r>
      <w:r>
        <w:rPr>
          <w:rFonts w:ascii="Times New Roman" w:hAnsi="Times New Roman" w:cs="Times New Roman" w:eastAsiaTheme="minorEastAsia"/>
          <w:color w:val="auto"/>
          <w:w w:val="99"/>
          <w:szCs w:val="20"/>
          <w:highlight w:val="none"/>
        </w:rPr>
        <w:t>地下水化学类型主要为4-A型HCO</w:t>
      </w:r>
      <w:r>
        <w:rPr>
          <w:rFonts w:ascii="Times New Roman" w:hAnsi="Times New Roman" w:cs="Times New Roman" w:eastAsiaTheme="minorEastAsia"/>
          <w:color w:val="auto"/>
          <w:w w:val="99"/>
          <w:szCs w:val="20"/>
          <w:highlight w:val="none"/>
          <w:vertAlign w:val="subscript"/>
        </w:rPr>
        <w:t>3</w:t>
      </w:r>
      <w:r>
        <w:rPr>
          <w:rFonts w:ascii="Times New Roman" w:hAnsi="Times New Roman" w:cs="Times New Roman" w:eastAsiaTheme="minorEastAsia"/>
          <w:color w:val="auto"/>
          <w:w w:val="99"/>
          <w:szCs w:val="20"/>
          <w:highlight w:val="none"/>
        </w:rPr>
        <w:t>-</w:t>
      </w:r>
      <w:r>
        <w:rPr>
          <w:rFonts w:ascii="Times New Roman" w:hAnsi="Times New Roman" w:cs="Times New Roman" w:eastAsiaTheme="minorEastAsia"/>
          <w:color w:val="auto"/>
          <w:w w:val="99"/>
          <w:szCs w:val="21"/>
          <w:highlight w:val="none"/>
        </w:rPr>
        <w:t xml:space="preserve"> </w:t>
      </w:r>
      <w:r>
        <w:rPr>
          <w:rFonts w:ascii="Times New Roman" w:hAnsi="Times New Roman" w:cs="Times New Roman" w:eastAsiaTheme="minorEastAsia"/>
          <w:color w:val="auto"/>
          <w:w w:val="99"/>
          <w:szCs w:val="20"/>
          <w:highlight w:val="none"/>
        </w:rPr>
        <w:t>Na+Ca淡水。</w:t>
      </w:r>
    </w:p>
    <w:p>
      <w:pPr>
        <w:pStyle w:val="109"/>
        <w:widowControl w:val="0"/>
        <w:ind w:firstLine="0" w:firstLineChars="0"/>
        <w:jc w:val="both"/>
        <w:rPr>
          <w:rFonts w:ascii="Times New Roman" w:hAnsi="Times New Roman" w:eastAsia="黑体"/>
          <w:b/>
          <w:color w:val="auto"/>
          <w:w w:val="99"/>
          <w:highlight w:val="none"/>
        </w:rPr>
      </w:pPr>
      <w:bookmarkStart w:id="760" w:name="_Toc57203286"/>
      <w:bookmarkStart w:id="761" w:name="_Toc38545057"/>
      <w:bookmarkStart w:id="762" w:name="_Toc38296424"/>
      <w:bookmarkStart w:id="763" w:name="_Toc57976708"/>
      <w:bookmarkStart w:id="764" w:name="_Toc29642919"/>
      <w:bookmarkStart w:id="765" w:name="_Toc57707956"/>
      <w:bookmarkStart w:id="766" w:name="_Toc34124485"/>
      <w:bookmarkStart w:id="767" w:name="_Toc29643951"/>
      <w:bookmarkStart w:id="768" w:name="_Toc41655201"/>
      <w:bookmarkStart w:id="769" w:name="_Toc29644703"/>
      <w:bookmarkStart w:id="770" w:name="_Toc21648"/>
      <w:r>
        <w:rPr>
          <w:rFonts w:ascii="Times New Roman" w:hAnsi="Times New Roman" w:eastAsia="黑体"/>
          <w:b/>
          <w:color w:val="auto"/>
          <w:w w:val="99"/>
          <w:highlight w:val="none"/>
        </w:rPr>
        <w:t>4.3.2.5 包气带污染现状调查</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bookmarkStart w:id="771" w:name="_Toc11456"/>
      <w:r>
        <w:rPr>
          <w:rFonts w:ascii="Times New Roman" w:hAnsi="Times New Roman" w:cs="Times New Roman" w:eastAsiaTheme="minorEastAsia"/>
          <w:bCs/>
          <w:color w:val="auto"/>
          <w:w w:val="99"/>
          <w:kern w:val="21"/>
          <w:szCs w:val="20"/>
          <w:highlight w:val="none"/>
        </w:rPr>
        <w:t>项目区内包气带均为第四系松散堆积层，堆积厚度大，分布范围广。按地貌成因形态类型主要为冲积低平原沉积地层。根据项目区潜水地下水埋深特征，包气带厚度2.4～3.6m。</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（1）包气带现状分布特征</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第四系包气带地层特征：</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粉质粘土：黄褐色-褐黄色，可塑，土质不均匀，局部夹有粉土，手捻有砂粒感，含氧化铁斑点，中压缩性，干强度中等，韧性中等，稍有光滑，无摇振反应，地层厚度3.60-4.50m。</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粉细砂：黄色，稍密，饱和，颗粒均一，级配差，主要矿物成份由石英、长石组成，含少量暗色矿物。土层分布不连续，地层厚度2.10-2.40m。</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粘土：黄褐色-灰色，可塑，土质较均匀，粘性较强，含氧化铁斑点，中压缩性，干强度中等，韧性中等，该层未钻穿。</w:t>
      </w:r>
    </w:p>
    <w:bookmarkEnd w:id="771"/>
    <w:p>
      <w:pPr>
        <w:pStyle w:val="113"/>
        <w:widowControl w:val="0"/>
        <w:spacing w:line="500" w:lineRule="exact"/>
        <w:ind w:firstLine="473"/>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（2）</w:t>
      </w:r>
      <w:r>
        <w:rPr>
          <w:rFonts w:ascii="Times New Roman" w:hAnsi="Times New Roman" w:cs="Times New Roman" w:eastAsiaTheme="minorEastAsia"/>
          <w:bCs/>
          <w:color w:val="auto"/>
          <w:w w:val="99"/>
          <w:kern w:val="21"/>
          <w:szCs w:val="20"/>
          <w:highlight w:val="none"/>
        </w:rPr>
        <w:t>包气带污染现状监测</w:t>
      </w:r>
    </w:p>
    <w:p>
      <w:pPr>
        <w:widowControl w:val="0"/>
        <w:spacing w:line="500" w:lineRule="exact"/>
        <w:ind w:firstLine="474" w:firstLineChars="200"/>
        <w:jc w:val="both"/>
        <w:rPr>
          <w:rFonts w:ascii="Times New Roman" w:hAnsi="Times New Roman" w:cs="Times New Roman"/>
          <w:bCs/>
          <w:color w:val="auto"/>
          <w:w w:val="99"/>
          <w:kern w:val="21"/>
          <w:szCs w:val="20"/>
          <w:highlight w:val="none"/>
        </w:rPr>
      </w:pPr>
      <w:r>
        <w:rPr>
          <w:rFonts w:ascii="Times New Roman" w:hAnsi="Times New Roman" w:cs="Times New Roman"/>
          <w:bCs/>
          <w:color w:val="auto"/>
          <w:w w:val="99"/>
          <w:kern w:val="21"/>
          <w:szCs w:val="20"/>
          <w:highlight w:val="none"/>
          <w:lang w:eastAsia="ja-JP"/>
        </w:rPr>
        <w:t>根据《环境影响评价技术导则 地下水环境》（HJ610-2016），对于一、二级的改扩建项目，应在可能造成地下水污染的主要装置或设施附近开展包气带污染现状调查，对包气带进行分层取样</w:t>
      </w:r>
      <w:r>
        <w:rPr>
          <w:rFonts w:hint="eastAsia" w:ascii="Times New Roman" w:hAnsi="Times New Roman" w:cs="Times New Roman"/>
          <w:bCs/>
          <w:color w:val="auto"/>
          <w:w w:val="99"/>
          <w:kern w:val="21"/>
          <w:szCs w:val="20"/>
          <w:highlight w:val="none"/>
        </w:rPr>
        <w:t>，根据现场调查，本项目可能造成地下水污染的主要工程为区块内已建井场</w:t>
      </w:r>
      <w:r>
        <w:rPr>
          <w:rFonts w:ascii="Times New Roman" w:hAnsi="Times New Roman" w:cs="Times New Roman"/>
          <w:bCs/>
          <w:color w:val="auto"/>
          <w:w w:val="99"/>
          <w:kern w:val="21"/>
          <w:szCs w:val="20"/>
          <w:highlight w:val="none"/>
          <w:lang w:eastAsia="ja-JP"/>
        </w:rPr>
        <w:t>。</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hint="eastAsia"/>
          <w:bCs/>
          <w:color w:val="auto"/>
          <w:w w:val="99"/>
          <w:kern w:val="21"/>
          <w:szCs w:val="20"/>
          <w:highlight w:val="none"/>
          <w:lang w:eastAsia="ja-JP"/>
        </w:rPr>
        <w:t>①</w:t>
      </w:r>
      <w:r>
        <w:rPr>
          <w:rFonts w:ascii="Times New Roman" w:hAnsi="Times New Roman" w:cs="Times New Roman" w:eastAsiaTheme="minorEastAsia"/>
          <w:bCs/>
          <w:color w:val="auto"/>
          <w:w w:val="99"/>
          <w:kern w:val="21"/>
          <w:szCs w:val="20"/>
          <w:highlight w:val="none"/>
        </w:rPr>
        <w:t>监测点位</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本项目布设</w:t>
      </w:r>
      <w:r>
        <w:rPr>
          <w:rFonts w:hint="eastAsia" w:ascii="Times New Roman" w:hAnsi="Times New Roman" w:cs="Times New Roman" w:eastAsiaTheme="minorEastAsia"/>
          <w:bCs/>
          <w:color w:val="auto"/>
          <w:w w:val="99"/>
          <w:kern w:val="21"/>
          <w:szCs w:val="20"/>
          <w:highlight w:val="none"/>
          <w:lang w:val="en-US" w:eastAsia="zh-CN"/>
        </w:rPr>
        <w:t>4</w:t>
      </w:r>
      <w:r>
        <w:rPr>
          <w:rFonts w:ascii="Times New Roman" w:hAnsi="Times New Roman" w:cs="Times New Roman" w:eastAsiaTheme="minorEastAsia"/>
          <w:bCs/>
          <w:color w:val="auto"/>
          <w:w w:val="99"/>
          <w:kern w:val="21"/>
          <w:szCs w:val="20"/>
          <w:highlight w:val="none"/>
        </w:rPr>
        <w:t>个包气带监测点，每个点在0-20cm深度取1个样，在20-40cm深度取1个样。包气带现状调查见表</w:t>
      </w:r>
      <w:r>
        <w:rPr>
          <w:rFonts w:ascii="Times New Roman" w:hAnsi="Times New Roman" w:cs="Times New Roman" w:eastAsiaTheme="minorEastAsia"/>
          <w:color w:val="auto"/>
          <w:w w:val="99"/>
          <w:kern w:val="2"/>
          <w:szCs w:val="20"/>
          <w:highlight w:val="none"/>
        </w:rPr>
        <w:t>4.3-14</w:t>
      </w:r>
      <w:r>
        <w:rPr>
          <w:rFonts w:ascii="Times New Roman" w:hAnsi="Times New Roman" w:cs="Times New Roman" w:eastAsiaTheme="minorEastAsia"/>
          <w:bCs/>
          <w:color w:val="auto"/>
          <w:w w:val="99"/>
          <w:kern w:val="21"/>
          <w:szCs w:val="20"/>
          <w:highlight w:val="none"/>
        </w:rPr>
        <w:t>。</w:t>
      </w:r>
    </w:p>
    <w:p>
      <w:pPr>
        <w:widowControl w:val="0"/>
        <w:spacing w:line="500" w:lineRule="exact"/>
        <w:ind w:firstLine="476" w:firstLineChars="200"/>
        <w:jc w:val="both"/>
        <w:rPr>
          <w:rFonts w:ascii="Times New Roman" w:hAnsi="Times New Roman" w:cs="Times New Roman" w:eastAsiaTheme="minorEastAsia"/>
          <w:b/>
          <w:bCs w:val="0"/>
          <w:color w:val="auto"/>
          <w:w w:val="99"/>
          <w:kern w:val="21"/>
          <w:szCs w:val="20"/>
          <w:highlight w:val="none"/>
        </w:rPr>
      </w:pPr>
      <w:r>
        <w:rPr>
          <w:rFonts w:ascii="Times New Roman" w:hAnsi="Times New Roman" w:cs="Times New Roman" w:eastAsiaTheme="minorEastAsia"/>
          <w:b/>
          <w:bCs w:val="0"/>
          <w:color w:val="auto"/>
          <w:w w:val="99"/>
          <w:kern w:val="21"/>
          <w:szCs w:val="20"/>
          <w:highlight w:val="none"/>
        </w:rPr>
        <w:t>表</w:t>
      </w:r>
      <w:r>
        <w:rPr>
          <w:rFonts w:ascii="Times New Roman" w:hAnsi="Times New Roman" w:cs="Times New Roman" w:eastAsiaTheme="minorEastAsia"/>
          <w:b/>
          <w:bCs w:val="0"/>
          <w:color w:val="auto"/>
          <w:w w:val="99"/>
          <w:kern w:val="2"/>
          <w:szCs w:val="20"/>
          <w:highlight w:val="none"/>
        </w:rPr>
        <w:t>4.3-14</w:t>
      </w:r>
      <w:r>
        <w:rPr>
          <w:rFonts w:ascii="Times New Roman" w:hAnsi="Times New Roman" w:cs="Times New Roman" w:eastAsiaTheme="minorEastAsia"/>
          <w:b/>
          <w:bCs w:val="0"/>
          <w:color w:val="auto"/>
          <w:w w:val="99"/>
          <w:kern w:val="21"/>
          <w:szCs w:val="20"/>
          <w:highlight w:val="none"/>
        </w:rPr>
        <w:t xml:space="preserve">                  包气带监测点</w:t>
      </w:r>
    </w:p>
    <w:tbl>
      <w:tblPr>
        <w:tblStyle w:val="8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30" w:type="dxa"/>
          <w:bottom w:w="0" w:type="dxa"/>
          <w:right w:w="30" w:type="dxa"/>
        </w:tblCellMar>
      </w:tblPr>
      <w:tblGrid>
        <w:gridCol w:w="300"/>
        <w:gridCol w:w="1854"/>
        <w:gridCol w:w="1792"/>
        <w:gridCol w:w="1937"/>
        <w:gridCol w:w="32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atLeast"/>
          <w:jc w:val="center"/>
        </w:trPr>
        <w:tc>
          <w:tcPr>
            <w:tcW w:w="164" w:type="pct"/>
            <w:shd w:val="clear" w:color="auto" w:fill="auto"/>
            <w:vAlign w:val="center"/>
          </w:tcPr>
          <w:p>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序号</w:t>
            </w:r>
          </w:p>
        </w:tc>
        <w:tc>
          <w:tcPr>
            <w:tcW w:w="1015" w:type="pct"/>
            <w:shd w:val="clear" w:color="auto" w:fill="auto"/>
            <w:vAlign w:val="center"/>
          </w:tcPr>
          <w:p>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监测点</w:t>
            </w:r>
          </w:p>
        </w:tc>
        <w:tc>
          <w:tcPr>
            <w:tcW w:w="981" w:type="pct"/>
            <w:shd w:val="clear" w:color="auto" w:fill="auto"/>
            <w:vAlign w:val="center"/>
          </w:tcPr>
          <w:p>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采样深度</w:t>
            </w:r>
          </w:p>
        </w:tc>
        <w:tc>
          <w:tcPr>
            <w:tcW w:w="1060" w:type="pct"/>
            <w:shd w:val="clear" w:color="auto" w:fill="auto"/>
            <w:vAlign w:val="center"/>
          </w:tcPr>
          <w:p>
            <w:pPr>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与</w:t>
            </w:r>
            <w:r>
              <w:rPr>
                <w:rFonts w:ascii="Times New Roman" w:hAnsi="Times New Roman" w:cs="Times New Roman" w:eastAsiaTheme="minorEastAsia"/>
                <w:color w:val="auto"/>
                <w:w w:val="99"/>
                <w:sz w:val="21"/>
                <w:szCs w:val="21"/>
                <w:highlight w:val="none"/>
              </w:rPr>
              <w:t>拟建工程</w:t>
            </w:r>
            <w:r>
              <w:rPr>
                <w:rFonts w:hint="eastAsia" w:ascii="Times New Roman" w:hAnsi="Times New Roman" w:cs="Times New Roman" w:eastAsiaTheme="minorEastAsia"/>
                <w:color w:val="auto"/>
                <w:w w:val="99"/>
                <w:sz w:val="21"/>
                <w:szCs w:val="21"/>
                <w:highlight w:val="none"/>
              </w:rPr>
              <w:t>相对</w:t>
            </w:r>
            <w:r>
              <w:rPr>
                <w:rFonts w:ascii="Times New Roman" w:hAnsi="Times New Roman" w:cs="Times New Roman" w:eastAsiaTheme="minorEastAsia"/>
                <w:color w:val="auto"/>
                <w:w w:val="99"/>
                <w:sz w:val="21"/>
                <w:szCs w:val="21"/>
                <w:highlight w:val="none"/>
              </w:rPr>
              <w:t>位置</w:t>
            </w:r>
          </w:p>
        </w:tc>
        <w:tc>
          <w:tcPr>
            <w:tcW w:w="1777" w:type="pct"/>
            <w:shd w:val="clear" w:color="auto" w:fill="auto"/>
            <w:vAlign w:val="center"/>
          </w:tcPr>
          <w:p>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atLeast"/>
          <w:jc w:val="center"/>
        </w:trPr>
        <w:tc>
          <w:tcPr>
            <w:tcW w:w="164"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w:t>
            </w:r>
          </w:p>
        </w:tc>
        <w:tc>
          <w:tcPr>
            <w:tcW w:w="1015"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已建</w:t>
            </w:r>
            <w:r>
              <w:rPr>
                <w:rFonts w:hint="eastAsia" w:ascii="Times New Roman" w:hAnsi="Times New Roman" w:cs="Times New Roman" w:eastAsiaTheme="minorEastAsia"/>
                <w:color w:val="auto"/>
                <w:w w:val="99"/>
                <w:sz w:val="21"/>
                <w:szCs w:val="21"/>
                <w:highlight w:val="none"/>
                <w:lang w:val="en-US" w:eastAsia="zh-CN"/>
              </w:rPr>
              <w:t>源121-3井场</w:t>
            </w:r>
            <w:r>
              <w:rPr>
                <w:rFonts w:hint="eastAsia" w:ascii="Times New Roman" w:hAnsi="Times New Roman" w:cs="Times New Roman" w:eastAsiaTheme="minorEastAsia"/>
                <w:color w:val="auto"/>
                <w:w w:val="99"/>
                <w:sz w:val="21"/>
                <w:szCs w:val="21"/>
                <w:highlight w:val="none"/>
              </w:rPr>
              <w:t>井场</w:t>
            </w:r>
          </w:p>
        </w:tc>
        <w:tc>
          <w:tcPr>
            <w:tcW w:w="981"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0~20cm、20~40cm</w:t>
            </w:r>
          </w:p>
        </w:tc>
        <w:tc>
          <w:tcPr>
            <w:tcW w:w="1060"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拟钻源278-128井场</w:t>
            </w:r>
            <w:r>
              <w:rPr>
                <w:rFonts w:hint="eastAsia" w:ascii="Times New Roman" w:hAnsi="Times New Roman" w:cs="Times New Roman" w:eastAsiaTheme="minorEastAsia"/>
                <w:color w:val="auto"/>
                <w:w w:val="99"/>
                <w:sz w:val="21"/>
                <w:szCs w:val="21"/>
                <w:highlight w:val="none"/>
                <w:lang w:eastAsia="zh-CN"/>
              </w:rPr>
              <w:t>东北</w:t>
            </w:r>
            <w:r>
              <w:rPr>
                <w:rFonts w:hint="eastAsia" w:ascii="Times New Roman" w:hAnsi="Times New Roman" w:cs="Times New Roman" w:eastAsiaTheme="minorEastAsia"/>
                <w:color w:val="auto"/>
                <w:w w:val="99"/>
                <w:sz w:val="21"/>
                <w:szCs w:val="21"/>
                <w:highlight w:val="none"/>
              </w:rPr>
              <w:t>侧</w:t>
            </w:r>
            <w:r>
              <w:rPr>
                <w:rFonts w:hint="eastAsia" w:ascii="Times New Roman" w:hAnsi="Times New Roman" w:cs="Times New Roman" w:eastAsiaTheme="minorEastAsia"/>
                <w:color w:val="auto"/>
                <w:w w:val="99"/>
                <w:sz w:val="21"/>
                <w:szCs w:val="21"/>
                <w:highlight w:val="none"/>
                <w:lang w:val="en-US" w:eastAsia="zh-CN"/>
              </w:rPr>
              <w:t>77</w:t>
            </w:r>
            <w:r>
              <w:rPr>
                <w:rFonts w:hint="eastAsia" w:ascii="Times New Roman" w:hAnsi="Times New Roman" w:cs="Times New Roman" w:eastAsiaTheme="minorEastAsia"/>
                <w:color w:val="auto"/>
                <w:w w:val="99"/>
                <w:sz w:val="21"/>
                <w:szCs w:val="21"/>
                <w:highlight w:val="none"/>
              </w:rPr>
              <w:t>m</w:t>
            </w:r>
          </w:p>
        </w:tc>
        <w:tc>
          <w:tcPr>
            <w:tcW w:w="1777"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污染控制点</w:t>
            </w:r>
          </w:p>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（125.00055313,45.56015786）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atLeast"/>
          <w:jc w:val="center"/>
        </w:trPr>
        <w:tc>
          <w:tcPr>
            <w:tcW w:w="164"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w:t>
            </w:r>
          </w:p>
        </w:tc>
        <w:tc>
          <w:tcPr>
            <w:tcW w:w="1015"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源121-3井场</w:t>
            </w:r>
            <w:r>
              <w:rPr>
                <w:rFonts w:hint="eastAsia" w:ascii="Times New Roman" w:hAnsi="Times New Roman" w:cs="Times New Roman" w:eastAsiaTheme="minorEastAsia"/>
                <w:color w:val="auto"/>
                <w:w w:val="99"/>
                <w:sz w:val="21"/>
                <w:szCs w:val="21"/>
                <w:highlight w:val="none"/>
              </w:rPr>
              <w:t>东侧400m处耕地</w:t>
            </w:r>
          </w:p>
        </w:tc>
        <w:tc>
          <w:tcPr>
            <w:tcW w:w="981"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0~20cm、20~40cm</w:t>
            </w:r>
          </w:p>
        </w:tc>
        <w:tc>
          <w:tcPr>
            <w:tcW w:w="1060"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拟钻源282-126井场</w:t>
            </w:r>
            <w:r>
              <w:rPr>
                <w:rFonts w:hint="eastAsia" w:ascii="Times New Roman" w:hAnsi="Times New Roman" w:cs="Times New Roman" w:eastAsiaTheme="minorEastAsia"/>
                <w:color w:val="auto"/>
                <w:w w:val="99"/>
                <w:sz w:val="21"/>
                <w:szCs w:val="21"/>
                <w:highlight w:val="none"/>
                <w:lang w:eastAsia="zh-CN"/>
              </w:rPr>
              <w:t>西</w:t>
            </w:r>
            <w:r>
              <w:rPr>
                <w:rFonts w:hint="eastAsia" w:ascii="Times New Roman" w:hAnsi="Times New Roman" w:cs="Times New Roman" w:eastAsiaTheme="minorEastAsia"/>
                <w:color w:val="auto"/>
                <w:w w:val="99"/>
                <w:sz w:val="21"/>
                <w:szCs w:val="21"/>
                <w:highlight w:val="none"/>
              </w:rPr>
              <w:t>南侧</w:t>
            </w:r>
            <w:r>
              <w:rPr>
                <w:rFonts w:hint="eastAsia" w:ascii="Times New Roman" w:hAnsi="Times New Roman" w:cs="Times New Roman" w:eastAsiaTheme="minorEastAsia"/>
                <w:color w:val="auto"/>
                <w:w w:val="99"/>
                <w:sz w:val="21"/>
                <w:szCs w:val="21"/>
                <w:highlight w:val="none"/>
                <w:lang w:val="en-US" w:eastAsia="zh-CN"/>
              </w:rPr>
              <w:t>164</w:t>
            </w:r>
            <w:r>
              <w:rPr>
                <w:rFonts w:hint="eastAsia" w:ascii="Times New Roman" w:hAnsi="Times New Roman" w:cs="Times New Roman" w:eastAsiaTheme="minorEastAsia"/>
                <w:color w:val="auto"/>
                <w:w w:val="99"/>
                <w:sz w:val="21"/>
                <w:szCs w:val="21"/>
                <w:highlight w:val="none"/>
              </w:rPr>
              <w:t>m</w:t>
            </w:r>
          </w:p>
        </w:tc>
        <w:tc>
          <w:tcPr>
            <w:tcW w:w="1777"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清洁对照点（125.00587463,45.56006772）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atLeast"/>
          <w:jc w:val="center"/>
        </w:trPr>
        <w:tc>
          <w:tcPr>
            <w:tcW w:w="164"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w:t>
            </w:r>
          </w:p>
        </w:tc>
        <w:tc>
          <w:tcPr>
            <w:tcW w:w="1015"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已建</w:t>
            </w:r>
            <w:r>
              <w:rPr>
                <w:rFonts w:hint="eastAsia" w:ascii="Times New Roman" w:hAnsi="Times New Roman" w:cs="Times New Roman" w:eastAsiaTheme="minorEastAsia"/>
                <w:color w:val="auto"/>
                <w:w w:val="99"/>
                <w:sz w:val="21"/>
                <w:szCs w:val="21"/>
                <w:highlight w:val="none"/>
                <w:lang w:eastAsia="zh-CN"/>
              </w:rPr>
              <w:t>源</w:t>
            </w:r>
            <w:r>
              <w:rPr>
                <w:rFonts w:hint="eastAsia" w:ascii="Times New Roman" w:hAnsi="Times New Roman" w:cs="Times New Roman" w:eastAsiaTheme="minorEastAsia"/>
                <w:color w:val="auto"/>
                <w:w w:val="99"/>
                <w:sz w:val="21"/>
                <w:szCs w:val="21"/>
                <w:highlight w:val="none"/>
                <w:lang w:val="en-US" w:eastAsia="zh-CN"/>
              </w:rPr>
              <w:t>254-144</w:t>
            </w:r>
            <w:r>
              <w:rPr>
                <w:rFonts w:hint="eastAsia" w:ascii="Times New Roman" w:hAnsi="Times New Roman" w:cs="Times New Roman" w:eastAsiaTheme="minorEastAsia"/>
                <w:color w:val="auto"/>
                <w:w w:val="99"/>
                <w:sz w:val="21"/>
                <w:szCs w:val="21"/>
                <w:highlight w:val="none"/>
              </w:rPr>
              <w:t>井场井场</w:t>
            </w:r>
          </w:p>
        </w:tc>
        <w:tc>
          <w:tcPr>
            <w:tcW w:w="981"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0~20cm、20~40cm</w:t>
            </w:r>
          </w:p>
        </w:tc>
        <w:tc>
          <w:tcPr>
            <w:tcW w:w="1937" w:type="dxa"/>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拟钻源232-136井场西南侧</w:t>
            </w:r>
            <w:r>
              <w:rPr>
                <w:rFonts w:hint="eastAsia" w:ascii="Times New Roman" w:hAnsi="Times New Roman" w:cs="Times New Roman" w:eastAsiaTheme="minorEastAsia"/>
                <w:color w:val="auto"/>
                <w:w w:val="99"/>
                <w:sz w:val="21"/>
                <w:szCs w:val="21"/>
                <w:highlight w:val="none"/>
                <w:lang w:val="en-US" w:eastAsia="zh-CN"/>
              </w:rPr>
              <w:t>384</w:t>
            </w:r>
            <w:r>
              <w:rPr>
                <w:rFonts w:hint="eastAsia" w:ascii="Times New Roman" w:hAnsi="Times New Roman" w:cs="Times New Roman" w:eastAsiaTheme="minorEastAsia"/>
                <w:color w:val="auto"/>
                <w:w w:val="99"/>
                <w:sz w:val="21"/>
                <w:szCs w:val="21"/>
                <w:highlight w:val="none"/>
              </w:rPr>
              <w:t>m</w:t>
            </w:r>
          </w:p>
        </w:tc>
        <w:tc>
          <w:tcPr>
            <w:tcW w:w="3247" w:type="dxa"/>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污染控制点</w:t>
            </w:r>
          </w:p>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（125.00831544,45.56731625）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atLeast"/>
          <w:jc w:val="center"/>
        </w:trPr>
        <w:tc>
          <w:tcPr>
            <w:tcW w:w="164"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w:t>
            </w:r>
          </w:p>
        </w:tc>
        <w:tc>
          <w:tcPr>
            <w:tcW w:w="1015"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已建</w:t>
            </w:r>
            <w:r>
              <w:rPr>
                <w:rFonts w:hint="eastAsia" w:ascii="Times New Roman" w:hAnsi="Times New Roman" w:cs="Times New Roman" w:eastAsiaTheme="minorEastAsia"/>
                <w:color w:val="auto"/>
                <w:w w:val="99"/>
                <w:sz w:val="21"/>
                <w:szCs w:val="21"/>
                <w:highlight w:val="none"/>
                <w:lang w:eastAsia="zh-CN"/>
              </w:rPr>
              <w:t>源</w:t>
            </w:r>
            <w:r>
              <w:rPr>
                <w:rFonts w:hint="eastAsia" w:ascii="Times New Roman" w:hAnsi="Times New Roman" w:cs="Times New Roman" w:eastAsiaTheme="minorEastAsia"/>
                <w:color w:val="auto"/>
                <w:w w:val="99"/>
                <w:sz w:val="21"/>
                <w:szCs w:val="21"/>
                <w:highlight w:val="none"/>
                <w:lang w:val="en-US" w:eastAsia="zh-CN"/>
              </w:rPr>
              <w:t>254-144</w:t>
            </w:r>
            <w:r>
              <w:rPr>
                <w:rFonts w:hint="eastAsia" w:ascii="Times New Roman" w:hAnsi="Times New Roman" w:cs="Times New Roman" w:eastAsiaTheme="minorEastAsia"/>
                <w:color w:val="auto"/>
                <w:w w:val="99"/>
                <w:sz w:val="21"/>
                <w:szCs w:val="21"/>
                <w:highlight w:val="none"/>
              </w:rPr>
              <w:t>井场井场东侧400m处耕地</w:t>
            </w:r>
          </w:p>
        </w:tc>
        <w:tc>
          <w:tcPr>
            <w:tcW w:w="981"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0~20cm、20~40cm</w:t>
            </w:r>
          </w:p>
        </w:tc>
        <w:tc>
          <w:tcPr>
            <w:tcW w:w="1060"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拟钻源282-122井场西</w:t>
            </w:r>
            <w:r>
              <w:rPr>
                <w:rFonts w:hint="eastAsia" w:ascii="Times New Roman" w:hAnsi="Times New Roman" w:cs="Times New Roman" w:eastAsiaTheme="minorEastAsia"/>
                <w:color w:val="auto"/>
                <w:w w:val="99"/>
                <w:sz w:val="21"/>
                <w:szCs w:val="21"/>
                <w:highlight w:val="none"/>
                <w:lang w:eastAsia="zh-CN"/>
              </w:rPr>
              <w:t>北</w:t>
            </w:r>
            <w:r>
              <w:rPr>
                <w:rFonts w:hint="eastAsia" w:ascii="Times New Roman" w:hAnsi="Times New Roman" w:cs="Times New Roman" w:eastAsiaTheme="minorEastAsia"/>
                <w:color w:val="auto"/>
                <w:w w:val="99"/>
                <w:sz w:val="21"/>
                <w:szCs w:val="21"/>
                <w:highlight w:val="none"/>
              </w:rPr>
              <w:t>侧</w:t>
            </w:r>
            <w:r>
              <w:rPr>
                <w:rFonts w:hint="eastAsia" w:ascii="Times New Roman" w:hAnsi="Times New Roman" w:cs="Times New Roman" w:eastAsiaTheme="minorEastAsia"/>
                <w:color w:val="auto"/>
                <w:w w:val="99"/>
                <w:sz w:val="21"/>
                <w:szCs w:val="21"/>
                <w:highlight w:val="none"/>
                <w:lang w:val="en-US" w:eastAsia="zh-CN"/>
              </w:rPr>
              <w:t>90</w:t>
            </w:r>
            <w:r>
              <w:rPr>
                <w:rFonts w:hint="eastAsia" w:ascii="Times New Roman" w:hAnsi="Times New Roman" w:cs="Times New Roman" w:eastAsiaTheme="minorEastAsia"/>
                <w:color w:val="auto"/>
                <w:w w:val="99"/>
                <w:sz w:val="21"/>
                <w:szCs w:val="21"/>
                <w:highlight w:val="none"/>
              </w:rPr>
              <w:t>m</w:t>
            </w:r>
          </w:p>
        </w:tc>
        <w:tc>
          <w:tcPr>
            <w:tcW w:w="1777"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清洁对照点（125.01357794,45.56724865）</w:t>
            </w:r>
          </w:p>
        </w:tc>
      </w:tr>
    </w:tbl>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hint="eastAsia"/>
          <w:bCs/>
          <w:color w:val="auto"/>
          <w:w w:val="99"/>
          <w:kern w:val="21"/>
          <w:szCs w:val="20"/>
          <w:highlight w:val="none"/>
          <w:lang w:eastAsia="ja-JP"/>
        </w:rPr>
        <w:t>②</w:t>
      </w:r>
      <w:r>
        <w:rPr>
          <w:rFonts w:ascii="Times New Roman" w:hAnsi="Times New Roman" w:cs="Times New Roman" w:eastAsiaTheme="minorEastAsia"/>
          <w:bCs/>
          <w:color w:val="auto"/>
          <w:w w:val="99"/>
          <w:kern w:val="21"/>
          <w:szCs w:val="20"/>
          <w:highlight w:val="none"/>
        </w:rPr>
        <w:t>监测因子</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pH、汞、砷、铅、总铬、石油类、挥发酚，共7项指标。</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hint="eastAsia"/>
          <w:bCs/>
          <w:color w:val="auto"/>
          <w:w w:val="99"/>
          <w:kern w:val="21"/>
          <w:szCs w:val="20"/>
          <w:highlight w:val="none"/>
          <w:lang w:eastAsia="ja-JP"/>
        </w:rPr>
        <w:t>③</w:t>
      </w:r>
      <w:r>
        <w:rPr>
          <w:rFonts w:ascii="Times New Roman" w:hAnsi="Times New Roman" w:cs="Times New Roman" w:eastAsiaTheme="minorEastAsia"/>
          <w:bCs/>
          <w:color w:val="auto"/>
          <w:w w:val="99"/>
          <w:kern w:val="21"/>
          <w:szCs w:val="20"/>
          <w:highlight w:val="none"/>
        </w:rPr>
        <w:t>监测时间</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2021年</w:t>
      </w:r>
      <w:r>
        <w:rPr>
          <w:rFonts w:hint="eastAsia" w:ascii="Times New Roman" w:hAnsi="Times New Roman" w:cs="Times New Roman" w:eastAsiaTheme="minorEastAsia"/>
          <w:bCs/>
          <w:color w:val="auto"/>
          <w:w w:val="99"/>
          <w:kern w:val="21"/>
          <w:szCs w:val="20"/>
          <w:highlight w:val="none"/>
        </w:rPr>
        <w:t>9</w:t>
      </w:r>
      <w:r>
        <w:rPr>
          <w:rFonts w:ascii="Times New Roman" w:hAnsi="Times New Roman" w:cs="Times New Roman" w:eastAsiaTheme="minorEastAsia"/>
          <w:bCs/>
          <w:color w:val="auto"/>
          <w:w w:val="99"/>
          <w:kern w:val="21"/>
          <w:szCs w:val="20"/>
          <w:highlight w:val="none"/>
        </w:rPr>
        <w:t>月</w:t>
      </w:r>
      <w:r>
        <w:rPr>
          <w:rFonts w:hint="eastAsia" w:ascii="Times New Roman" w:hAnsi="Times New Roman" w:cs="Times New Roman" w:eastAsiaTheme="minorEastAsia"/>
          <w:bCs/>
          <w:color w:val="auto"/>
          <w:w w:val="99"/>
          <w:kern w:val="21"/>
          <w:szCs w:val="20"/>
          <w:highlight w:val="none"/>
        </w:rPr>
        <w:t>22</w:t>
      </w:r>
      <w:r>
        <w:rPr>
          <w:rFonts w:ascii="Times New Roman" w:hAnsi="Times New Roman" w:cs="Times New Roman" w:eastAsiaTheme="minorEastAsia"/>
          <w:bCs/>
          <w:color w:val="auto"/>
          <w:w w:val="99"/>
          <w:kern w:val="21"/>
          <w:szCs w:val="20"/>
          <w:highlight w:val="none"/>
        </w:rPr>
        <w:t>日。</w:t>
      </w:r>
    </w:p>
    <w:p>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bCs/>
          <w:color w:val="auto"/>
          <w:w w:val="99"/>
          <w:kern w:val="21"/>
          <w:szCs w:val="20"/>
          <w:highlight w:val="none"/>
        </w:rPr>
      </w:pPr>
      <w:r>
        <w:rPr>
          <w:rFonts w:hint="eastAsia"/>
          <w:bCs/>
          <w:color w:val="auto"/>
          <w:w w:val="99"/>
          <w:kern w:val="21"/>
          <w:szCs w:val="20"/>
          <w:highlight w:val="none"/>
          <w:lang w:eastAsia="ja-JP"/>
        </w:rPr>
        <w:t>④</w:t>
      </w:r>
      <w:r>
        <w:rPr>
          <w:rFonts w:hint="default" w:ascii="Times New Roman" w:hAnsi="Times New Roman" w:eastAsia="宋体" w:cs="Times New Roman"/>
          <w:bCs/>
          <w:color w:val="auto"/>
          <w:w w:val="99"/>
          <w:kern w:val="21"/>
          <w:szCs w:val="20"/>
          <w:highlight w:val="none"/>
        </w:rPr>
        <w:t>监测方法</w:t>
      </w:r>
    </w:p>
    <w:p>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bCs/>
          <w:color w:val="auto"/>
          <w:w w:val="99"/>
          <w:kern w:val="21"/>
          <w:szCs w:val="20"/>
          <w:highlight w:val="none"/>
        </w:rPr>
      </w:pPr>
      <w:r>
        <w:rPr>
          <w:rFonts w:hint="eastAsia" w:ascii="Times New Roman" w:hAnsi="Times New Roman" w:eastAsia="宋体" w:cs="Times New Roman"/>
          <w:bCs/>
          <w:color w:val="auto"/>
          <w:w w:val="99"/>
          <w:kern w:val="21"/>
          <w:szCs w:val="20"/>
          <w:highlight w:val="none"/>
          <w:lang w:eastAsia="zh-CN"/>
        </w:rPr>
        <w:t>包气带质量</w:t>
      </w:r>
      <w:r>
        <w:rPr>
          <w:rFonts w:hint="default" w:ascii="Times New Roman" w:hAnsi="Times New Roman" w:eastAsia="宋体" w:cs="Times New Roman"/>
          <w:bCs/>
          <w:color w:val="auto"/>
          <w:w w:val="99"/>
          <w:kern w:val="21"/>
          <w:szCs w:val="20"/>
          <w:highlight w:val="none"/>
        </w:rPr>
        <w:t>现状监测分析方法见表4.</w:t>
      </w:r>
      <w:r>
        <w:rPr>
          <w:rFonts w:hint="eastAsia" w:ascii="Times New Roman" w:hAnsi="Times New Roman" w:cs="Times New Roman"/>
          <w:bCs/>
          <w:color w:val="auto"/>
          <w:w w:val="99"/>
          <w:kern w:val="21"/>
          <w:szCs w:val="20"/>
          <w:highlight w:val="none"/>
          <w:lang w:val="en-US" w:eastAsia="zh-CN"/>
        </w:rPr>
        <w:t>3</w:t>
      </w:r>
      <w:r>
        <w:rPr>
          <w:rFonts w:hint="default" w:ascii="Times New Roman" w:hAnsi="Times New Roman" w:eastAsia="宋体" w:cs="Times New Roman"/>
          <w:bCs/>
          <w:color w:val="auto"/>
          <w:w w:val="99"/>
          <w:kern w:val="21"/>
          <w:szCs w:val="20"/>
          <w:highlight w:val="none"/>
        </w:rPr>
        <w:t>-</w:t>
      </w:r>
      <w:r>
        <w:rPr>
          <w:rFonts w:hint="eastAsia" w:ascii="Times New Roman" w:hAnsi="Times New Roman" w:eastAsia="宋体" w:cs="Times New Roman"/>
          <w:bCs/>
          <w:color w:val="auto"/>
          <w:w w:val="99"/>
          <w:kern w:val="21"/>
          <w:szCs w:val="20"/>
          <w:highlight w:val="none"/>
          <w:lang w:val="en-US" w:eastAsia="zh-CN"/>
        </w:rPr>
        <w:t>1</w:t>
      </w:r>
      <w:r>
        <w:rPr>
          <w:rFonts w:hint="eastAsia" w:ascii="Times New Roman" w:hAnsi="Times New Roman" w:cs="Times New Roman"/>
          <w:bCs/>
          <w:color w:val="auto"/>
          <w:w w:val="99"/>
          <w:kern w:val="21"/>
          <w:szCs w:val="20"/>
          <w:highlight w:val="none"/>
          <w:lang w:val="en-US" w:eastAsia="zh-CN"/>
        </w:rPr>
        <w:t>5</w:t>
      </w:r>
      <w:r>
        <w:rPr>
          <w:rFonts w:hint="default" w:ascii="Times New Roman" w:hAnsi="Times New Roman" w:eastAsia="宋体" w:cs="Times New Roman"/>
          <w:bCs/>
          <w:color w:val="auto"/>
          <w:w w:val="99"/>
          <w:kern w:val="21"/>
          <w:szCs w:val="20"/>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476" w:firstLineChars="200"/>
        <w:jc w:val="both"/>
        <w:textAlignment w:val="auto"/>
        <w:rPr>
          <w:rFonts w:hint="default" w:ascii="Times New Roman" w:hAnsi="Times New Roman" w:eastAsia="宋体" w:cs="Times New Roman"/>
          <w:b/>
          <w:bCs w:val="0"/>
          <w:color w:val="auto"/>
          <w:w w:val="99"/>
          <w:kern w:val="21"/>
          <w:szCs w:val="20"/>
          <w:highlight w:val="none"/>
        </w:rPr>
      </w:pPr>
      <w:r>
        <w:rPr>
          <w:rFonts w:hint="default" w:ascii="Times New Roman" w:hAnsi="Times New Roman" w:eastAsia="宋体" w:cs="Times New Roman"/>
          <w:b/>
          <w:bCs w:val="0"/>
          <w:color w:val="auto"/>
          <w:w w:val="99"/>
          <w:kern w:val="21"/>
          <w:szCs w:val="20"/>
          <w:highlight w:val="none"/>
        </w:rPr>
        <w:t>表4.</w:t>
      </w:r>
      <w:r>
        <w:rPr>
          <w:rFonts w:hint="eastAsia" w:ascii="Times New Roman" w:hAnsi="Times New Roman" w:cs="Times New Roman"/>
          <w:b/>
          <w:bCs w:val="0"/>
          <w:color w:val="auto"/>
          <w:w w:val="99"/>
          <w:kern w:val="21"/>
          <w:szCs w:val="20"/>
          <w:highlight w:val="none"/>
          <w:lang w:val="en-US" w:eastAsia="zh-CN"/>
        </w:rPr>
        <w:t>3</w:t>
      </w:r>
      <w:r>
        <w:rPr>
          <w:rFonts w:hint="default" w:ascii="Times New Roman" w:hAnsi="Times New Roman" w:eastAsia="宋体" w:cs="Times New Roman"/>
          <w:b/>
          <w:bCs w:val="0"/>
          <w:color w:val="auto"/>
          <w:w w:val="99"/>
          <w:kern w:val="21"/>
          <w:szCs w:val="20"/>
          <w:highlight w:val="none"/>
        </w:rPr>
        <w:t>-</w:t>
      </w:r>
      <w:r>
        <w:rPr>
          <w:rFonts w:hint="eastAsia" w:ascii="Times New Roman" w:hAnsi="Times New Roman" w:eastAsia="宋体" w:cs="Times New Roman"/>
          <w:b/>
          <w:bCs w:val="0"/>
          <w:color w:val="auto"/>
          <w:w w:val="99"/>
          <w:kern w:val="21"/>
          <w:szCs w:val="20"/>
          <w:highlight w:val="none"/>
          <w:lang w:val="en-US" w:eastAsia="zh-CN"/>
        </w:rPr>
        <w:t>1</w:t>
      </w:r>
      <w:r>
        <w:rPr>
          <w:rFonts w:hint="eastAsia" w:ascii="Times New Roman" w:hAnsi="Times New Roman" w:cs="Times New Roman"/>
          <w:b/>
          <w:bCs w:val="0"/>
          <w:color w:val="auto"/>
          <w:w w:val="99"/>
          <w:kern w:val="21"/>
          <w:szCs w:val="20"/>
          <w:highlight w:val="none"/>
          <w:lang w:val="en-US" w:eastAsia="zh-CN"/>
        </w:rPr>
        <w:t>5</w:t>
      </w:r>
      <w:r>
        <w:rPr>
          <w:rFonts w:hint="default" w:ascii="Times New Roman" w:hAnsi="Times New Roman" w:eastAsia="宋体" w:cs="Times New Roman"/>
          <w:b/>
          <w:bCs w:val="0"/>
          <w:color w:val="auto"/>
          <w:w w:val="99"/>
          <w:kern w:val="21"/>
          <w:szCs w:val="20"/>
          <w:highlight w:val="none"/>
        </w:rPr>
        <w:t xml:space="preserve">    </w:t>
      </w:r>
      <w:r>
        <w:rPr>
          <w:rFonts w:hint="eastAsia" w:ascii="Times New Roman" w:hAnsi="Times New Roman" w:eastAsia="宋体" w:cs="Times New Roman"/>
          <w:b/>
          <w:bCs w:val="0"/>
          <w:color w:val="auto"/>
          <w:w w:val="99"/>
          <w:kern w:val="21"/>
          <w:szCs w:val="20"/>
          <w:highlight w:val="none"/>
          <w:lang w:eastAsia="zh-CN"/>
        </w:rPr>
        <w:t>包气带</w:t>
      </w:r>
      <w:r>
        <w:rPr>
          <w:rFonts w:hint="default" w:ascii="Times New Roman" w:hAnsi="Times New Roman" w:eastAsia="宋体" w:cs="Times New Roman"/>
          <w:b/>
          <w:bCs w:val="0"/>
          <w:color w:val="auto"/>
          <w:w w:val="99"/>
          <w:kern w:val="21"/>
          <w:szCs w:val="20"/>
          <w:highlight w:val="none"/>
        </w:rPr>
        <w:t>现状监测分析方法及仪器</w:t>
      </w:r>
    </w:p>
    <w:tbl>
      <w:tblPr>
        <w:tblStyle w:val="82"/>
        <w:tblW w:w="9060" w:type="dxa"/>
        <w:tblInd w:w="0" w:type="dxa"/>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51"/>
        <w:gridCol w:w="1104"/>
        <w:gridCol w:w="2775"/>
        <w:gridCol w:w="1725"/>
        <w:gridCol w:w="1635"/>
        <w:gridCol w:w="1370"/>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序号</w:t>
            </w:r>
          </w:p>
        </w:tc>
        <w:tc>
          <w:tcPr>
            <w:tcW w:w="1104"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监测</w:t>
            </w:r>
          </w:p>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项目</w:t>
            </w:r>
          </w:p>
        </w:tc>
        <w:tc>
          <w:tcPr>
            <w:tcW w:w="2775"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分析方法名称</w:t>
            </w:r>
          </w:p>
        </w:tc>
        <w:tc>
          <w:tcPr>
            <w:tcW w:w="1725"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方法来源及标准号</w:t>
            </w:r>
          </w:p>
        </w:tc>
        <w:tc>
          <w:tcPr>
            <w:tcW w:w="1635"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分析仪器及型号</w:t>
            </w:r>
          </w:p>
        </w:tc>
        <w:tc>
          <w:tcPr>
            <w:tcW w:w="1370"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方法检出限</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p>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1</w:t>
            </w:r>
          </w:p>
        </w:tc>
        <w:tc>
          <w:tcPr>
            <w:tcW w:w="1104"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pH</w:t>
            </w:r>
          </w:p>
        </w:tc>
        <w:tc>
          <w:tcPr>
            <w:tcW w:w="2775"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 xml:space="preserve">水质 pH的测定 </w:t>
            </w:r>
          </w:p>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电极法</w:t>
            </w:r>
          </w:p>
        </w:tc>
        <w:tc>
          <w:tcPr>
            <w:tcW w:w="1725"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HJ 1147-2020</w:t>
            </w:r>
          </w:p>
        </w:tc>
        <w:tc>
          <w:tcPr>
            <w:tcW w:w="1635"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酸度计</w:t>
            </w:r>
          </w:p>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PHS-25</w:t>
            </w:r>
          </w:p>
        </w:tc>
        <w:tc>
          <w:tcPr>
            <w:tcW w:w="1370"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2</w:t>
            </w:r>
          </w:p>
        </w:tc>
        <w:tc>
          <w:tcPr>
            <w:tcW w:w="1104"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石油类</w:t>
            </w:r>
          </w:p>
        </w:tc>
        <w:tc>
          <w:tcPr>
            <w:tcW w:w="2775"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水质 石油类的测定 紫外分光光度法（试行）</w:t>
            </w:r>
          </w:p>
        </w:tc>
        <w:tc>
          <w:tcPr>
            <w:tcW w:w="1725"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 xml:space="preserve"> HJ 970-2018 </w:t>
            </w:r>
          </w:p>
        </w:tc>
        <w:tc>
          <w:tcPr>
            <w:tcW w:w="1635"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紫外可见分光光度计 UV752</w:t>
            </w:r>
          </w:p>
        </w:tc>
        <w:tc>
          <w:tcPr>
            <w:tcW w:w="1370"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0.01mg/L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3</w:t>
            </w:r>
          </w:p>
        </w:tc>
        <w:tc>
          <w:tcPr>
            <w:tcW w:w="1104"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砷</w:t>
            </w:r>
          </w:p>
        </w:tc>
        <w:tc>
          <w:tcPr>
            <w:tcW w:w="2775"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水质 汞、砷、硒、铋和锑的测定  原子荧光法</w:t>
            </w:r>
          </w:p>
        </w:tc>
        <w:tc>
          <w:tcPr>
            <w:tcW w:w="1725"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HJ 694-2014</w:t>
            </w:r>
          </w:p>
        </w:tc>
        <w:tc>
          <w:tcPr>
            <w:tcW w:w="1635"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原子荧光光度计AFS-8220</w:t>
            </w:r>
          </w:p>
        </w:tc>
        <w:tc>
          <w:tcPr>
            <w:tcW w:w="1370"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0.3µg/L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4</w:t>
            </w:r>
          </w:p>
        </w:tc>
        <w:tc>
          <w:tcPr>
            <w:tcW w:w="1104"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汞</w:t>
            </w:r>
          </w:p>
        </w:tc>
        <w:tc>
          <w:tcPr>
            <w:tcW w:w="2775"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水质 汞、砷、硒、铋和锑的测定 原子荧光法</w:t>
            </w:r>
          </w:p>
        </w:tc>
        <w:tc>
          <w:tcPr>
            <w:tcW w:w="1725"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HJ 694-2014</w:t>
            </w:r>
          </w:p>
        </w:tc>
        <w:tc>
          <w:tcPr>
            <w:tcW w:w="1635"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原子荧光光度计AFS-8220</w:t>
            </w:r>
          </w:p>
        </w:tc>
        <w:tc>
          <w:tcPr>
            <w:tcW w:w="1370"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0.04µg/L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5</w:t>
            </w:r>
          </w:p>
        </w:tc>
        <w:tc>
          <w:tcPr>
            <w:tcW w:w="1104"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zh-CN" w:eastAsia="zh-CN" w:bidi="ar-SA"/>
              </w:rPr>
              <w:t>总铬</w:t>
            </w:r>
          </w:p>
        </w:tc>
        <w:tc>
          <w:tcPr>
            <w:tcW w:w="2775"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zh-CN" w:eastAsia="zh-CN" w:bidi="ar-SA"/>
              </w:rPr>
            </w:pPr>
            <w:r>
              <w:rPr>
                <w:rFonts w:hint="default" w:ascii="Times New Roman" w:hAnsi="Times New Roman" w:eastAsia="宋体" w:cs="Times New Roman"/>
                <w:smallCaps w:val="0"/>
                <w:color w:val="auto"/>
                <w:w w:val="99"/>
                <w:kern w:val="0"/>
                <w:sz w:val="21"/>
                <w:szCs w:val="21"/>
                <w:highlight w:val="none"/>
                <w:lang w:val="zh-CN" w:eastAsia="zh-CN" w:bidi="ar-SA"/>
              </w:rPr>
              <w:t>水质 总铬的测定</w:t>
            </w:r>
          </w:p>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zh-CN" w:eastAsia="zh-CN" w:bidi="ar-SA"/>
              </w:rPr>
              <w:t>二苯碳酰二肼分光光度法</w:t>
            </w:r>
          </w:p>
        </w:tc>
        <w:tc>
          <w:tcPr>
            <w:tcW w:w="1725"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zh-CN" w:eastAsia="zh-CN" w:bidi="ar-SA"/>
              </w:rPr>
              <w:t xml:space="preserve"> GB/T 746</w:t>
            </w:r>
            <w:r>
              <w:rPr>
                <w:rFonts w:hint="default" w:ascii="Times New Roman" w:hAnsi="Times New Roman" w:eastAsia="宋体" w:cs="Times New Roman"/>
                <w:smallCaps w:val="0"/>
                <w:color w:val="auto"/>
                <w:w w:val="99"/>
                <w:kern w:val="0"/>
                <w:sz w:val="21"/>
                <w:szCs w:val="21"/>
                <w:highlight w:val="none"/>
                <w:lang w:val="en-US" w:eastAsia="zh-CN" w:bidi="ar-SA"/>
              </w:rPr>
              <w:t>6</w:t>
            </w:r>
            <w:r>
              <w:rPr>
                <w:rFonts w:hint="default" w:ascii="Times New Roman" w:hAnsi="Times New Roman" w:eastAsia="宋体" w:cs="Times New Roman"/>
                <w:smallCaps w:val="0"/>
                <w:color w:val="auto"/>
                <w:w w:val="99"/>
                <w:kern w:val="0"/>
                <w:sz w:val="21"/>
                <w:szCs w:val="21"/>
                <w:highlight w:val="none"/>
                <w:lang w:val="zh-CN" w:eastAsia="zh-CN" w:bidi="ar-SA"/>
              </w:rPr>
              <w:t>-1987</w:t>
            </w:r>
          </w:p>
        </w:tc>
        <w:tc>
          <w:tcPr>
            <w:tcW w:w="1635"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可见分光光度计   722</w:t>
            </w:r>
          </w:p>
        </w:tc>
        <w:tc>
          <w:tcPr>
            <w:tcW w:w="1370"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0.004mg/L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6</w:t>
            </w:r>
          </w:p>
        </w:tc>
        <w:tc>
          <w:tcPr>
            <w:tcW w:w="1104"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铅</w:t>
            </w:r>
          </w:p>
        </w:tc>
        <w:tc>
          <w:tcPr>
            <w:tcW w:w="2775"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生活饮用水标准检验方法金属指标(11.1无火焰原子吸收分光光度法)</w:t>
            </w:r>
          </w:p>
        </w:tc>
        <w:tc>
          <w:tcPr>
            <w:tcW w:w="1725"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GB/T5750.6-2006</w:t>
            </w:r>
          </w:p>
        </w:tc>
        <w:tc>
          <w:tcPr>
            <w:tcW w:w="1635"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原子吸收分光光度计 AA320N</w:t>
            </w:r>
          </w:p>
        </w:tc>
        <w:tc>
          <w:tcPr>
            <w:tcW w:w="1370"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2.5µg/L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7</w:t>
            </w:r>
          </w:p>
        </w:tc>
        <w:tc>
          <w:tcPr>
            <w:tcW w:w="1104"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挥发酚</w:t>
            </w:r>
          </w:p>
        </w:tc>
        <w:tc>
          <w:tcPr>
            <w:tcW w:w="2775"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水质 挥发酚的测定</w:t>
            </w:r>
          </w:p>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4-氨基安替比林分光光度法（方法1萃取分光光度法）</w:t>
            </w:r>
          </w:p>
        </w:tc>
        <w:tc>
          <w:tcPr>
            <w:tcW w:w="1725"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HJ 503-2009</w:t>
            </w:r>
          </w:p>
        </w:tc>
        <w:tc>
          <w:tcPr>
            <w:tcW w:w="1635"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可见分光光度计   722</w:t>
            </w:r>
          </w:p>
        </w:tc>
        <w:tc>
          <w:tcPr>
            <w:tcW w:w="1370" w:type="dxa"/>
            <w:tcBorders>
              <w:tl2br w:val="nil"/>
              <w:tr2bl w:val="nil"/>
            </w:tcBorders>
            <w:vAlign w:val="center"/>
          </w:tcPr>
          <w:p>
            <w:pPr>
              <w:pStyle w:val="68"/>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0.0003mg/L</w:t>
            </w:r>
          </w:p>
        </w:tc>
      </w:tr>
    </w:tbl>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hint="eastAsia" w:ascii="Times New Roman" w:hAnsi="Times New Roman" w:cs="Times New Roman" w:eastAsiaTheme="minorEastAsia"/>
          <w:bCs/>
          <w:color w:val="auto"/>
          <w:w w:val="99"/>
          <w:kern w:val="21"/>
          <w:szCs w:val="20"/>
          <w:highlight w:val="none"/>
          <w:lang w:eastAsia="zh-CN"/>
        </w:rPr>
        <w:t>⑤</w:t>
      </w:r>
      <w:r>
        <w:rPr>
          <w:rFonts w:ascii="Times New Roman" w:hAnsi="Times New Roman" w:cs="Times New Roman" w:eastAsiaTheme="minorEastAsia"/>
          <w:bCs/>
          <w:color w:val="auto"/>
          <w:w w:val="99"/>
          <w:kern w:val="21"/>
          <w:szCs w:val="20"/>
          <w:highlight w:val="none"/>
        </w:rPr>
        <w:t>监测结果</w:t>
      </w:r>
    </w:p>
    <w:p>
      <w:pPr>
        <w:widowControl w:val="0"/>
        <w:spacing w:line="500" w:lineRule="exact"/>
        <w:ind w:firstLine="476" w:firstLineChars="200"/>
        <w:jc w:val="both"/>
        <w:rPr>
          <w:rFonts w:ascii="Times New Roman" w:hAnsi="Times New Roman" w:cs="Times New Roman" w:eastAsiaTheme="minorEastAsia"/>
          <w:b/>
          <w:bCs w:val="0"/>
          <w:color w:val="auto"/>
          <w:w w:val="99"/>
          <w:kern w:val="21"/>
          <w:szCs w:val="20"/>
          <w:highlight w:val="none"/>
        </w:rPr>
      </w:pPr>
      <w:r>
        <w:rPr>
          <w:rFonts w:ascii="Times New Roman" w:hAnsi="Times New Roman" w:cs="Times New Roman" w:eastAsiaTheme="minorEastAsia"/>
          <w:b/>
          <w:bCs w:val="0"/>
          <w:color w:val="auto"/>
          <w:w w:val="99"/>
          <w:kern w:val="21"/>
          <w:szCs w:val="20"/>
          <w:highlight w:val="none"/>
        </w:rPr>
        <w:t>表</w:t>
      </w:r>
      <w:r>
        <w:rPr>
          <w:rFonts w:ascii="Times New Roman" w:hAnsi="Times New Roman" w:cs="Times New Roman" w:eastAsiaTheme="minorEastAsia"/>
          <w:b/>
          <w:bCs w:val="0"/>
          <w:color w:val="auto"/>
          <w:w w:val="99"/>
          <w:kern w:val="2"/>
          <w:szCs w:val="20"/>
          <w:highlight w:val="none"/>
        </w:rPr>
        <w:t>4.3-1</w:t>
      </w:r>
      <w:r>
        <w:rPr>
          <w:rFonts w:hint="eastAsia" w:ascii="Times New Roman" w:hAnsi="Times New Roman" w:cs="Times New Roman" w:eastAsiaTheme="minorEastAsia"/>
          <w:b/>
          <w:bCs w:val="0"/>
          <w:color w:val="auto"/>
          <w:w w:val="99"/>
          <w:kern w:val="2"/>
          <w:szCs w:val="20"/>
          <w:highlight w:val="none"/>
          <w:lang w:val="en-US" w:eastAsia="zh-CN"/>
        </w:rPr>
        <w:t>6</w:t>
      </w:r>
      <w:r>
        <w:rPr>
          <w:rFonts w:ascii="Times New Roman" w:hAnsi="Times New Roman" w:cs="Times New Roman" w:eastAsiaTheme="minorEastAsia"/>
          <w:b/>
          <w:bCs w:val="0"/>
          <w:color w:val="auto"/>
          <w:w w:val="99"/>
          <w:kern w:val="21"/>
          <w:szCs w:val="20"/>
          <w:highlight w:val="none"/>
        </w:rPr>
        <w:t xml:space="preserve">              包气带现状调查结果         单位：mg/L（pH无量纲）</w:t>
      </w:r>
    </w:p>
    <w:tbl>
      <w:tblPr>
        <w:tblStyle w:val="82"/>
        <w:tblW w:w="9104"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7"/>
        <w:gridCol w:w="1986"/>
        <w:gridCol w:w="1927"/>
        <w:gridCol w:w="2035"/>
        <w:gridCol w:w="1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监测时间</w:t>
            </w:r>
          </w:p>
        </w:tc>
        <w:tc>
          <w:tcPr>
            <w:tcW w:w="7617" w:type="dxa"/>
            <w:gridSpan w:val="4"/>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202</w:t>
            </w:r>
            <w:r>
              <w:rPr>
                <w:rFonts w:hint="eastAsia" w:ascii="Times New Roman" w:hAnsi="Times New Roman" w:cs="Times New Roman" w:eastAsiaTheme="minorEastAsia"/>
                <w:color w:val="auto"/>
                <w:w w:val="99"/>
                <w:sz w:val="21"/>
                <w:szCs w:val="21"/>
                <w:highlight w:val="none"/>
                <w:lang w:val="en-US" w:eastAsia="zh-CN"/>
              </w:rPr>
              <w:t>2.01.18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487" w:type="dxa"/>
            <w:vMerge w:val="restar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监测项目</w:t>
            </w:r>
          </w:p>
        </w:tc>
        <w:tc>
          <w:tcPr>
            <w:tcW w:w="3913" w:type="dxa"/>
            <w:gridSpan w:val="2"/>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源121-3井场</w:t>
            </w:r>
          </w:p>
        </w:tc>
        <w:tc>
          <w:tcPr>
            <w:tcW w:w="3704" w:type="dxa"/>
            <w:gridSpan w:val="2"/>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源121-3井场</w:t>
            </w:r>
            <w:r>
              <w:rPr>
                <w:rFonts w:hint="eastAsia" w:ascii="Times New Roman" w:hAnsi="Times New Roman" w:cs="Times New Roman" w:eastAsiaTheme="minorEastAsia"/>
                <w:color w:val="auto"/>
                <w:w w:val="99"/>
                <w:sz w:val="21"/>
                <w:szCs w:val="21"/>
                <w:highlight w:val="none"/>
              </w:rPr>
              <w:t>东侧400m处耕地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986"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rPr>
              <w:t>0～20cm</w:t>
            </w:r>
          </w:p>
        </w:tc>
        <w:tc>
          <w:tcPr>
            <w:tcW w:w="19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20～40cm</w:t>
            </w:r>
          </w:p>
        </w:tc>
        <w:tc>
          <w:tcPr>
            <w:tcW w:w="2035"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0～20cm</w:t>
            </w:r>
          </w:p>
        </w:tc>
        <w:tc>
          <w:tcPr>
            <w:tcW w:w="1669"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20～40cm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pH</w:t>
            </w:r>
          </w:p>
        </w:tc>
        <w:tc>
          <w:tcPr>
            <w:tcW w:w="1986"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w:t>
            </w:r>
            <w:r>
              <w:rPr>
                <w:rFonts w:hint="eastAsia" w:ascii="Times New Roman" w:hAnsi="Times New Roman" w:cs="Times New Roman" w:eastAsiaTheme="minorEastAsia"/>
                <w:color w:val="auto"/>
                <w:w w:val="99"/>
                <w:sz w:val="21"/>
                <w:szCs w:val="21"/>
                <w:highlight w:val="none"/>
                <w:lang w:val="en-US" w:eastAsia="zh-CN"/>
              </w:rPr>
              <w:t>2</w:t>
            </w:r>
          </w:p>
        </w:tc>
        <w:tc>
          <w:tcPr>
            <w:tcW w:w="19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8.1</w:t>
            </w:r>
          </w:p>
        </w:tc>
        <w:tc>
          <w:tcPr>
            <w:tcW w:w="2035"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7.8</w:t>
            </w:r>
          </w:p>
        </w:tc>
        <w:tc>
          <w:tcPr>
            <w:tcW w:w="1669"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铅</w:t>
            </w:r>
          </w:p>
        </w:tc>
        <w:tc>
          <w:tcPr>
            <w:tcW w:w="1986"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5.8</w:t>
            </w:r>
          </w:p>
        </w:tc>
        <w:tc>
          <w:tcPr>
            <w:tcW w:w="19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5.5</w:t>
            </w:r>
          </w:p>
        </w:tc>
        <w:tc>
          <w:tcPr>
            <w:tcW w:w="2035"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w:t>
            </w:r>
            <w:r>
              <w:rPr>
                <w:rFonts w:hint="eastAsia" w:ascii="Times New Roman" w:hAnsi="Times New Roman" w:cs="Times New Roman" w:eastAsiaTheme="minorEastAsia"/>
                <w:color w:val="auto"/>
                <w:w w:val="99"/>
                <w:sz w:val="21"/>
                <w:szCs w:val="21"/>
                <w:highlight w:val="none"/>
                <w:lang w:val="en-US" w:eastAsia="zh-CN"/>
              </w:rPr>
              <w:t>6</w:t>
            </w:r>
          </w:p>
        </w:tc>
        <w:tc>
          <w:tcPr>
            <w:tcW w:w="1669"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w:t>
            </w:r>
            <w:r>
              <w:rPr>
                <w:rFonts w:hint="eastAsia" w:ascii="Times New Roman" w:hAnsi="Times New Roman" w:cs="Times New Roman" w:eastAsiaTheme="minorEastAsia"/>
                <w:color w:val="auto"/>
                <w:w w:val="99"/>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总铬</w:t>
            </w:r>
          </w:p>
        </w:tc>
        <w:tc>
          <w:tcPr>
            <w:tcW w:w="1986"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19</w:t>
            </w:r>
          </w:p>
        </w:tc>
        <w:tc>
          <w:tcPr>
            <w:tcW w:w="19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w:t>
            </w:r>
            <w:r>
              <w:rPr>
                <w:rFonts w:hint="eastAsia" w:ascii="Times New Roman" w:hAnsi="Times New Roman" w:cs="Times New Roman" w:eastAsiaTheme="minorEastAsia"/>
                <w:color w:val="auto"/>
                <w:w w:val="99"/>
                <w:sz w:val="21"/>
                <w:szCs w:val="21"/>
                <w:highlight w:val="none"/>
                <w:lang w:val="en-US" w:eastAsia="zh-CN"/>
              </w:rPr>
              <w:t>2</w:t>
            </w:r>
          </w:p>
        </w:tc>
        <w:tc>
          <w:tcPr>
            <w:tcW w:w="2035"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w:t>
            </w:r>
            <w:r>
              <w:rPr>
                <w:rFonts w:hint="eastAsia" w:ascii="Times New Roman" w:hAnsi="Times New Roman" w:cs="Times New Roman" w:eastAsiaTheme="minorEastAsia"/>
                <w:color w:val="auto"/>
                <w:w w:val="99"/>
                <w:sz w:val="21"/>
                <w:szCs w:val="21"/>
                <w:highlight w:val="none"/>
                <w:lang w:val="en-US" w:eastAsia="zh-CN"/>
              </w:rPr>
              <w:t>7</w:t>
            </w:r>
          </w:p>
        </w:tc>
        <w:tc>
          <w:tcPr>
            <w:tcW w:w="1669"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w:t>
            </w:r>
            <w:r>
              <w:rPr>
                <w:rFonts w:hint="eastAsia" w:ascii="Times New Roman" w:hAnsi="Times New Roman" w:cs="Times New Roman" w:eastAsiaTheme="minorEastAsia"/>
                <w:color w:val="auto"/>
                <w:w w:val="99"/>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汞</w:t>
            </w:r>
          </w:p>
        </w:tc>
        <w:tc>
          <w:tcPr>
            <w:tcW w:w="1986"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0.04L</w:t>
            </w:r>
          </w:p>
        </w:tc>
        <w:tc>
          <w:tcPr>
            <w:tcW w:w="19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0.04L</w:t>
            </w:r>
          </w:p>
        </w:tc>
        <w:tc>
          <w:tcPr>
            <w:tcW w:w="2035"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0.04L</w:t>
            </w:r>
          </w:p>
        </w:tc>
        <w:tc>
          <w:tcPr>
            <w:tcW w:w="1669"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砷</w:t>
            </w:r>
          </w:p>
        </w:tc>
        <w:tc>
          <w:tcPr>
            <w:tcW w:w="1986"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0.3L</w:t>
            </w:r>
          </w:p>
        </w:tc>
        <w:tc>
          <w:tcPr>
            <w:tcW w:w="19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0.3L</w:t>
            </w:r>
          </w:p>
        </w:tc>
        <w:tc>
          <w:tcPr>
            <w:tcW w:w="2035"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0.3L</w:t>
            </w:r>
          </w:p>
        </w:tc>
        <w:tc>
          <w:tcPr>
            <w:tcW w:w="1669"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石油类</w:t>
            </w:r>
          </w:p>
        </w:tc>
        <w:tc>
          <w:tcPr>
            <w:tcW w:w="1986"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.18</w:t>
            </w:r>
          </w:p>
        </w:tc>
        <w:tc>
          <w:tcPr>
            <w:tcW w:w="19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13</w:t>
            </w:r>
          </w:p>
        </w:tc>
        <w:tc>
          <w:tcPr>
            <w:tcW w:w="2035"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15</w:t>
            </w:r>
          </w:p>
        </w:tc>
        <w:tc>
          <w:tcPr>
            <w:tcW w:w="1669"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挥发酚</w:t>
            </w:r>
          </w:p>
        </w:tc>
        <w:tc>
          <w:tcPr>
            <w:tcW w:w="1986" w:type="dxa"/>
            <w:vAlign w:val="bottom"/>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w:t>
            </w:r>
            <w:r>
              <w:rPr>
                <w:rFonts w:hint="eastAsia" w:ascii="Times New Roman" w:hAnsi="Times New Roman" w:cs="Times New Roman" w:eastAsiaTheme="minorEastAsia"/>
                <w:color w:val="auto"/>
                <w:w w:val="99"/>
                <w:sz w:val="21"/>
                <w:szCs w:val="21"/>
                <w:highlight w:val="none"/>
                <w:lang w:val="en-US" w:eastAsia="zh-CN"/>
              </w:rPr>
              <w:t>32</w:t>
            </w:r>
          </w:p>
        </w:tc>
        <w:tc>
          <w:tcPr>
            <w:tcW w:w="1927" w:type="dxa"/>
            <w:vAlign w:val="bottom"/>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w:t>
            </w:r>
            <w:r>
              <w:rPr>
                <w:rFonts w:hint="eastAsia" w:ascii="Times New Roman" w:hAnsi="Times New Roman" w:cs="Times New Roman" w:eastAsiaTheme="minorEastAsia"/>
                <w:color w:val="auto"/>
                <w:w w:val="99"/>
                <w:sz w:val="21"/>
                <w:szCs w:val="21"/>
                <w:highlight w:val="none"/>
                <w:lang w:val="en-US" w:eastAsia="zh-CN"/>
              </w:rPr>
              <w:t>26</w:t>
            </w:r>
          </w:p>
        </w:tc>
        <w:tc>
          <w:tcPr>
            <w:tcW w:w="2035" w:type="dxa"/>
            <w:vAlign w:val="bottom"/>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w:t>
            </w:r>
            <w:r>
              <w:rPr>
                <w:rFonts w:hint="eastAsia" w:ascii="Times New Roman" w:hAnsi="Times New Roman" w:cs="Times New Roman" w:eastAsiaTheme="minorEastAsia"/>
                <w:color w:val="auto"/>
                <w:w w:val="99"/>
                <w:sz w:val="21"/>
                <w:szCs w:val="21"/>
                <w:highlight w:val="none"/>
                <w:lang w:val="en-US" w:eastAsia="zh-CN"/>
              </w:rPr>
              <w:t>19</w:t>
            </w:r>
          </w:p>
        </w:tc>
        <w:tc>
          <w:tcPr>
            <w:tcW w:w="1669" w:type="dxa"/>
            <w:vAlign w:val="bottom"/>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w:t>
            </w:r>
            <w:r>
              <w:rPr>
                <w:rFonts w:hint="eastAsia" w:ascii="Times New Roman" w:hAnsi="Times New Roman" w:cs="Times New Roman" w:eastAsiaTheme="minorEastAsia"/>
                <w:color w:val="auto"/>
                <w:w w:val="99"/>
                <w:sz w:val="21"/>
                <w:szCs w:val="21"/>
                <w:highlight w:val="none"/>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Merge w:val="restar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监测项目</w:t>
            </w:r>
          </w:p>
        </w:tc>
        <w:tc>
          <w:tcPr>
            <w:tcW w:w="3913" w:type="dxa"/>
            <w:gridSpan w:val="2"/>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源</w:t>
            </w:r>
            <w:r>
              <w:rPr>
                <w:rFonts w:hint="eastAsia" w:ascii="Times New Roman" w:hAnsi="Times New Roman" w:cs="Times New Roman" w:eastAsiaTheme="minorEastAsia"/>
                <w:color w:val="auto"/>
                <w:w w:val="99"/>
                <w:sz w:val="21"/>
                <w:szCs w:val="21"/>
                <w:highlight w:val="none"/>
                <w:lang w:val="en-US" w:eastAsia="zh-CN"/>
              </w:rPr>
              <w:t>254-144</w:t>
            </w:r>
            <w:r>
              <w:rPr>
                <w:rFonts w:hint="eastAsia" w:ascii="Times New Roman" w:hAnsi="Times New Roman" w:cs="Times New Roman" w:eastAsiaTheme="minorEastAsia"/>
                <w:color w:val="auto"/>
                <w:w w:val="99"/>
                <w:sz w:val="21"/>
                <w:szCs w:val="21"/>
                <w:highlight w:val="none"/>
              </w:rPr>
              <w:t>井场</w:t>
            </w:r>
          </w:p>
        </w:tc>
        <w:tc>
          <w:tcPr>
            <w:tcW w:w="3704" w:type="dxa"/>
            <w:gridSpan w:val="2"/>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源</w:t>
            </w:r>
            <w:r>
              <w:rPr>
                <w:rFonts w:hint="eastAsia" w:ascii="Times New Roman" w:hAnsi="Times New Roman" w:cs="Times New Roman" w:eastAsiaTheme="minorEastAsia"/>
                <w:color w:val="auto"/>
                <w:w w:val="99"/>
                <w:sz w:val="21"/>
                <w:szCs w:val="21"/>
                <w:highlight w:val="none"/>
                <w:lang w:val="en-US" w:eastAsia="zh-CN"/>
              </w:rPr>
              <w:t>254-144</w:t>
            </w:r>
            <w:r>
              <w:rPr>
                <w:rFonts w:hint="eastAsia" w:ascii="Times New Roman" w:hAnsi="Times New Roman" w:cs="Times New Roman" w:eastAsiaTheme="minorEastAsia"/>
                <w:color w:val="auto"/>
                <w:w w:val="99"/>
                <w:sz w:val="21"/>
                <w:szCs w:val="21"/>
                <w:highlight w:val="none"/>
              </w:rPr>
              <w:t>井场东侧400m处耕地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986"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0～20cm</w:t>
            </w:r>
          </w:p>
        </w:tc>
        <w:tc>
          <w:tcPr>
            <w:tcW w:w="19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20～40cm</w:t>
            </w:r>
          </w:p>
        </w:tc>
        <w:tc>
          <w:tcPr>
            <w:tcW w:w="2035"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0～20cm</w:t>
            </w:r>
          </w:p>
        </w:tc>
        <w:tc>
          <w:tcPr>
            <w:tcW w:w="1669"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20～40cm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pH</w:t>
            </w:r>
          </w:p>
        </w:tc>
        <w:tc>
          <w:tcPr>
            <w:tcW w:w="1986"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8.3</w:t>
            </w:r>
          </w:p>
        </w:tc>
        <w:tc>
          <w:tcPr>
            <w:tcW w:w="19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w:t>
            </w:r>
            <w:r>
              <w:rPr>
                <w:rFonts w:hint="eastAsia" w:ascii="Times New Roman" w:hAnsi="Times New Roman" w:cs="Times New Roman" w:eastAsiaTheme="minorEastAsia"/>
                <w:color w:val="auto"/>
                <w:w w:val="99"/>
                <w:sz w:val="21"/>
                <w:szCs w:val="21"/>
                <w:highlight w:val="none"/>
                <w:lang w:val="en-US" w:eastAsia="zh-CN"/>
              </w:rPr>
              <w:t>2</w:t>
            </w:r>
          </w:p>
        </w:tc>
        <w:tc>
          <w:tcPr>
            <w:tcW w:w="2035"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7.9</w:t>
            </w:r>
          </w:p>
        </w:tc>
        <w:tc>
          <w:tcPr>
            <w:tcW w:w="1669"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铅</w:t>
            </w:r>
          </w:p>
        </w:tc>
        <w:tc>
          <w:tcPr>
            <w:tcW w:w="1986"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5.6</w:t>
            </w:r>
          </w:p>
        </w:tc>
        <w:tc>
          <w:tcPr>
            <w:tcW w:w="19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5.2</w:t>
            </w:r>
          </w:p>
        </w:tc>
        <w:tc>
          <w:tcPr>
            <w:tcW w:w="2035"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w:t>
            </w:r>
            <w:r>
              <w:rPr>
                <w:rFonts w:hint="eastAsia" w:ascii="Times New Roman" w:hAnsi="Times New Roman" w:cs="Times New Roman" w:eastAsiaTheme="minorEastAsia"/>
                <w:color w:val="auto"/>
                <w:w w:val="99"/>
                <w:sz w:val="21"/>
                <w:szCs w:val="21"/>
                <w:highlight w:val="none"/>
                <w:lang w:val="en-US" w:eastAsia="zh-CN"/>
              </w:rPr>
              <w:t>3</w:t>
            </w:r>
          </w:p>
        </w:tc>
        <w:tc>
          <w:tcPr>
            <w:tcW w:w="1669"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w:t>
            </w:r>
            <w:r>
              <w:rPr>
                <w:rFonts w:hint="eastAsia" w:ascii="Times New Roman" w:hAnsi="Times New Roman" w:cs="Times New Roman" w:eastAsiaTheme="minorEastAsia"/>
                <w:color w:val="auto"/>
                <w:w w:val="99"/>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总铬</w:t>
            </w:r>
          </w:p>
        </w:tc>
        <w:tc>
          <w:tcPr>
            <w:tcW w:w="1986"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17</w:t>
            </w:r>
          </w:p>
        </w:tc>
        <w:tc>
          <w:tcPr>
            <w:tcW w:w="19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w:t>
            </w:r>
            <w:r>
              <w:rPr>
                <w:rFonts w:hint="eastAsia" w:ascii="Times New Roman" w:hAnsi="Times New Roman" w:cs="Times New Roman" w:eastAsiaTheme="minorEastAsia"/>
                <w:color w:val="auto"/>
                <w:w w:val="99"/>
                <w:sz w:val="21"/>
                <w:szCs w:val="21"/>
                <w:highlight w:val="none"/>
                <w:lang w:val="en-US" w:eastAsia="zh-CN"/>
              </w:rPr>
              <w:t>5</w:t>
            </w:r>
          </w:p>
        </w:tc>
        <w:tc>
          <w:tcPr>
            <w:tcW w:w="2035"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w:t>
            </w:r>
            <w:r>
              <w:rPr>
                <w:rFonts w:hint="eastAsia" w:ascii="Times New Roman" w:hAnsi="Times New Roman" w:cs="Times New Roman" w:eastAsiaTheme="minorEastAsia"/>
                <w:color w:val="auto"/>
                <w:w w:val="99"/>
                <w:sz w:val="21"/>
                <w:szCs w:val="21"/>
                <w:highlight w:val="none"/>
                <w:lang w:val="en-US" w:eastAsia="zh-CN"/>
              </w:rPr>
              <w:t>6</w:t>
            </w:r>
          </w:p>
        </w:tc>
        <w:tc>
          <w:tcPr>
            <w:tcW w:w="1669"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w:t>
            </w:r>
            <w:r>
              <w:rPr>
                <w:rFonts w:hint="eastAsia" w:ascii="Times New Roman" w:hAnsi="Times New Roman" w:cs="Times New Roman" w:eastAsiaTheme="minorEastAsia"/>
                <w:color w:val="auto"/>
                <w:w w:val="99"/>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汞</w:t>
            </w:r>
          </w:p>
        </w:tc>
        <w:tc>
          <w:tcPr>
            <w:tcW w:w="1986"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0.04L</w:t>
            </w:r>
          </w:p>
        </w:tc>
        <w:tc>
          <w:tcPr>
            <w:tcW w:w="19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0.04L</w:t>
            </w:r>
          </w:p>
        </w:tc>
        <w:tc>
          <w:tcPr>
            <w:tcW w:w="2035"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0.04L</w:t>
            </w:r>
          </w:p>
        </w:tc>
        <w:tc>
          <w:tcPr>
            <w:tcW w:w="1669"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砷</w:t>
            </w:r>
          </w:p>
        </w:tc>
        <w:tc>
          <w:tcPr>
            <w:tcW w:w="1986"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0.3L</w:t>
            </w:r>
          </w:p>
        </w:tc>
        <w:tc>
          <w:tcPr>
            <w:tcW w:w="19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0.3L</w:t>
            </w:r>
          </w:p>
        </w:tc>
        <w:tc>
          <w:tcPr>
            <w:tcW w:w="2035"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0.3L</w:t>
            </w:r>
          </w:p>
        </w:tc>
        <w:tc>
          <w:tcPr>
            <w:tcW w:w="1669"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石油类</w:t>
            </w:r>
          </w:p>
        </w:tc>
        <w:tc>
          <w:tcPr>
            <w:tcW w:w="1986"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.17</w:t>
            </w:r>
          </w:p>
        </w:tc>
        <w:tc>
          <w:tcPr>
            <w:tcW w:w="1927"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13</w:t>
            </w:r>
          </w:p>
        </w:tc>
        <w:tc>
          <w:tcPr>
            <w:tcW w:w="2035"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16</w:t>
            </w:r>
          </w:p>
        </w:tc>
        <w:tc>
          <w:tcPr>
            <w:tcW w:w="1669"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挥发酚</w:t>
            </w:r>
          </w:p>
        </w:tc>
        <w:tc>
          <w:tcPr>
            <w:tcW w:w="1986" w:type="dxa"/>
            <w:vAlign w:val="bottom"/>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w:t>
            </w:r>
            <w:r>
              <w:rPr>
                <w:rFonts w:hint="eastAsia" w:ascii="Times New Roman" w:hAnsi="Times New Roman" w:cs="Times New Roman" w:eastAsiaTheme="minorEastAsia"/>
                <w:color w:val="auto"/>
                <w:w w:val="99"/>
                <w:sz w:val="21"/>
                <w:szCs w:val="21"/>
                <w:highlight w:val="none"/>
                <w:lang w:val="en-US" w:eastAsia="zh-CN"/>
              </w:rPr>
              <w:t>29</w:t>
            </w:r>
          </w:p>
        </w:tc>
        <w:tc>
          <w:tcPr>
            <w:tcW w:w="1927" w:type="dxa"/>
            <w:vAlign w:val="bottom"/>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w:t>
            </w:r>
            <w:r>
              <w:rPr>
                <w:rFonts w:hint="eastAsia" w:ascii="Times New Roman" w:hAnsi="Times New Roman" w:cs="Times New Roman" w:eastAsiaTheme="minorEastAsia"/>
                <w:color w:val="auto"/>
                <w:w w:val="99"/>
                <w:sz w:val="21"/>
                <w:szCs w:val="21"/>
                <w:highlight w:val="none"/>
                <w:lang w:val="en-US" w:eastAsia="zh-CN"/>
              </w:rPr>
              <w:t>25</w:t>
            </w:r>
          </w:p>
        </w:tc>
        <w:tc>
          <w:tcPr>
            <w:tcW w:w="2035" w:type="dxa"/>
            <w:vAlign w:val="bottom"/>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w:t>
            </w:r>
            <w:r>
              <w:rPr>
                <w:rFonts w:hint="eastAsia" w:ascii="Times New Roman" w:hAnsi="Times New Roman" w:cs="Times New Roman" w:eastAsiaTheme="minorEastAsia"/>
                <w:color w:val="auto"/>
                <w:w w:val="99"/>
                <w:sz w:val="21"/>
                <w:szCs w:val="21"/>
                <w:highlight w:val="none"/>
                <w:lang w:val="en-US" w:eastAsia="zh-CN"/>
              </w:rPr>
              <w:t>23</w:t>
            </w:r>
          </w:p>
        </w:tc>
        <w:tc>
          <w:tcPr>
            <w:tcW w:w="1669" w:type="dxa"/>
            <w:vAlign w:val="bottom"/>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w:t>
            </w:r>
            <w:r>
              <w:rPr>
                <w:rFonts w:hint="eastAsia" w:ascii="Times New Roman" w:hAnsi="Times New Roman" w:cs="Times New Roman" w:eastAsiaTheme="minorEastAsia"/>
                <w:color w:val="auto"/>
                <w:w w:val="99"/>
                <w:sz w:val="21"/>
                <w:szCs w:val="21"/>
                <w:highlight w:val="none"/>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9104" w:type="dxa"/>
            <w:gridSpan w:val="5"/>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注：实测值数值后面的“L”， 表示此检测项目实测值为“未检出”。</w:t>
            </w:r>
          </w:p>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    计量单位：pH无量纲，铅、汞和砷μg/L，总铬和石油类、挥发酚为mg/L。</w:t>
            </w:r>
          </w:p>
        </w:tc>
      </w:tr>
    </w:tbl>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从调查结果可知，评价区域内包气带中汞、砷均未检出，且污染控制点与清洁对照点油田特征污染物石油类、挥发酚所测数值相差不大，评价区域内包气带未被污染。</w:t>
      </w:r>
    </w:p>
    <w:p>
      <w:pPr>
        <w:pStyle w:val="7"/>
        <w:keepNext w:val="0"/>
        <w:keepLines w:val="0"/>
        <w:widowControl w:val="0"/>
        <w:jc w:val="both"/>
        <w:rPr>
          <w:b/>
          <w:color w:val="auto"/>
          <w:w w:val="99"/>
          <w:kern w:val="2"/>
          <w:sz w:val="24"/>
          <w:szCs w:val="24"/>
          <w:highlight w:val="none"/>
        </w:rPr>
      </w:pPr>
      <w:bookmarkStart w:id="772" w:name="_Toc74812372"/>
      <w:bookmarkStart w:id="773" w:name="_Toc69690861"/>
      <w:bookmarkStart w:id="774" w:name="_Toc67523643"/>
      <w:bookmarkStart w:id="775" w:name="_Toc61597272"/>
      <w:bookmarkStart w:id="776" w:name="_Toc80105201"/>
      <w:bookmarkStart w:id="777" w:name="_Toc71371995"/>
      <w:bookmarkStart w:id="778" w:name="_Toc77667345"/>
      <w:bookmarkStart w:id="779" w:name="_Toc74812133"/>
      <w:r>
        <w:rPr>
          <w:b/>
          <w:color w:val="auto"/>
          <w:w w:val="99"/>
          <w:kern w:val="2"/>
          <w:sz w:val="24"/>
          <w:szCs w:val="24"/>
          <w:highlight w:val="none"/>
        </w:rPr>
        <w:t>4.3.3地表水环境质量现状</w:t>
      </w:r>
      <w:bookmarkEnd w:id="760"/>
      <w:bookmarkEnd w:id="761"/>
      <w:bookmarkEnd w:id="762"/>
      <w:bookmarkEnd w:id="763"/>
      <w:bookmarkEnd w:id="764"/>
      <w:bookmarkEnd w:id="765"/>
      <w:bookmarkEnd w:id="766"/>
      <w:bookmarkEnd w:id="767"/>
      <w:bookmarkEnd w:id="768"/>
      <w:bookmarkEnd w:id="769"/>
      <w:bookmarkEnd w:id="770"/>
      <w:bookmarkEnd w:id="772"/>
      <w:bookmarkEnd w:id="773"/>
      <w:bookmarkEnd w:id="774"/>
      <w:bookmarkEnd w:id="775"/>
      <w:bookmarkEnd w:id="776"/>
      <w:bookmarkEnd w:id="777"/>
      <w:bookmarkEnd w:id="778"/>
      <w:bookmarkEnd w:id="779"/>
    </w:p>
    <w:p>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bCs/>
          <w:color w:val="auto"/>
          <w:w w:val="99"/>
          <w:kern w:val="21"/>
          <w:szCs w:val="20"/>
          <w:highlight w:val="none"/>
          <w:lang w:val="en-US" w:eastAsia="zh-CN"/>
        </w:rPr>
      </w:pPr>
      <w:bookmarkStart w:id="780" w:name="_Toc26653"/>
      <w:bookmarkStart w:id="781" w:name="_Toc38545058"/>
      <w:bookmarkStart w:id="782" w:name="_Toc29642920"/>
      <w:bookmarkStart w:id="783" w:name="_Toc29643952"/>
      <w:bookmarkStart w:id="784" w:name="_Toc34124486"/>
      <w:bookmarkStart w:id="785" w:name="_Toc57976709"/>
      <w:bookmarkStart w:id="786" w:name="_Toc67523644"/>
      <w:bookmarkStart w:id="787" w:name="_Toc71371996"/>
      <w:bookmarkStart w:id="788" w:name="_Toc29644704"/>
      <w:bookmarkStart w:id="789" w:name="_Toc38296425"/>
      <w:bookmarkStart w:id="790" w:name="_Toc74812373"/>
      <w:bookmarkStart w:id="791" w:name="_Toc74812134"/>
      <w:bookmarkStart w:id="792" w:name="_Toc69690862"/>
      <w:bookmarkStart w:id="793" w:name="_Toc57203287"/>
      <w:bookmarkStart w:id="794" w:name="_Toc61597273"/>
      <w:bookmarkStart w:id="795" w:name="_Toc57707957"/>
      <w:bookmarkStart w:id="796" w:name="_Toc77667346"/>
      <w:bookmarkStart w:id="797" w:name="_Toc41655202"/>
      <w:bookmarkStart w:id="798" w:name="_Toc80105202"/>
      <w:r>
        <w:rPr>
          <w:rFonts w:hint="default" w:ascii="Times New Roman" w:hAnsi="Times New Roman" w:eastAsia="宋体" w:cs="Times New Roman"/>
          <w:bCs/>
          <w:color w:val="auto"/>
          <w:w w:val="99"/>
          <w:kern w:val="21"/>
          <w:szCs w:val="20"/>
          <w:highlight w:val="none"/>
          <w:lang w:val="en-US" w:eastAsia="zh-CN"/>
        </w:rPr>
        <w:t>本项目不排放废水，属于水污染影响型三级B评价，可不开展区域污染源调查。项目周边无地表水体。</w:t>
      </w:r>
    </w:p>
    <w:p>
      <w:pPr>
        <w:pStyle w:val="7"/>
        <w:keepNext w:val="0"/>
        <w:keepLines w:val="0"/>
        <w:jc w:val="both"/>
        <w:rPr>
          <w:b/>
          <w:color w:val="auto"/>
          <w:w w:val="99"/>
          <w:kern w:val="2"/>
          <w:sz w:val="24"/>
          <w:szCs w:val="24"/>
          <w:highlight w:val="none"/>
        </w:rPr>
      </w:pPr>
      <w:r>
        <w:rPr>
          <w:b/>
          <w:color w:val="auto"/>
          <w:w w:val="99"/>
          <w:kern w:val="2"/>
          <w:sz w:val="24"/>
          <w:szCs w:val="24"/>
          <w:highlight w:val="none"/>
        </w:rPr>
        <w:t>4.3.4声环境质量现状监测与评价</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pPr>
        <w:pStyle w:val="109"/>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4.3.4.1声环境质量现状监测</w:t>
      </w:r>
    </w:p>
    <w:p>
      <w:pPr>
        <w:tabs>
          <w:tab w:val="left" w:pos="5262"/>
        </w:tabs>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（1）监测点布设</w:t>
      </w:r>
    </w:p>
    <w:p>
      <w:pPr>
        <w:tabs>
          <w:tab w:val="left" w:pos="5262"/>
        </w:tabs>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根据本项目钻井井场布置情况，在本项目所在区域共布设</w:t>
      </w:r>
      <w:r>
        <w:rPr>
          <w:rFonts w:hint="eastAsia" w:ascii="Times New Roman" w:hAnsi="Times New Roman" w:cs="Times New Roman" w:eastAsiaTheme="minorEastAsia"/>
          <w:color w:val="auto"/>
          <w:w w:val="99"/>
          <w:kern w:val="21"/>
          <w:highlight w:val="none"/>
          <w:lang w:val="en-US" w:eastAsia="zh-CN"/>
        </w:rPr>
        <w:t>4</w:t>
      </w:r>
      <w:r>
        <w:rPr>
          <w:rFonts w:ascii="Times New Roman" w:hAnsi="Times New Roman" w:cs="Times New Roman" w:eastAsiaTheme="minorEastAsia"/>
          <w:color w:val="auto"/>
          <w:w w:val="99"/>
          <w:kern w:val="21"/>
          <w:highlight w:val="none"/>
        </w:rPr>
        <w:t>个监测点，监测点布设见表</w:t>
      </w:r>
      <w:r>
        <w:rPr>
          <w:rFonts w:ascii="Times New Roman" w:hAnsi="Times New Roman" w:cs="Times New Roman" w:eastAsiaTheme="minorEastAsia"/>
          <w:color w:val="auto"/>
          <w:w w:val="99"/>
          <w:kern w:val="2"/>
          <w:szCs w:val="20"/>
          <w:highlight w:val="none"/>
        </w:rPr>
        <w:t>4.3-</w:t>
      </w:r>
      <w:r>
        <w:rPr>
          <w:rFonts w:hint="eastAsia" w:ascii="Times New Roman" w:hAnsi="Times New Roman" w:cs="Times New Roman" w:eastAsiaTheme="minorEastAsia"/>
          <w:color w:val="auto"/>
          <w:w w:val="99"/>
          <w:kern w:val="2"/>
          <w:szCs w:val="20"/>
          <w:highlight w:val="none"/>
          <w:lang w:val="en-US" w:eastAsia="zh-CN"/>
        </w:rPr>
        <w:t>17</w:t>
      </w:r>
      <w:r>
        <w:rPr>
          <w:rFonts w:ascii="Times New Roman" w:hAnsi="Times New Roman" w:cs="Times New Roman" w:eastAsiaTheme="minorEastAsia"/>
          <w:color w:val="auto"/>
          <w:w w:val="99"/>
          <w:kern w:val="21"/>
          <w:highlight w:val="none"/>
        </w:rPr>
        <w:t>，具体监测点位见</w:t>
      </w:r>
      <w:r>
        <w:rPr>
          <w:rFonts w:hint="eastAsia" w:ascii="Times New Roman" w:hAnsi="Times New Roman" w:cs="Times New Roman" w:eastAsiaTheme="minorEastAsia"/>
          <w:color w:val="auto"/>
          <w:w w:val="99"/>
          <w:kern w:val="21"/>
          <w:highlight w:val="none"/>
          <w:lang w:eastAsia="zh-CN"/>
        </w:rPr>
        <w:t>附图11</w:t>
      </w:r>
      <w:r>
        <w:rPr>
          <w:rFonts w:ascii="Times New Roman" w:hAnsi="Times New Roman" w:cs="Times New Roman" w:eastAsiaTheme="minorEastAsia"/>
          <w:color w:val="auto"/>
          <w:w w:val="99"/>
          <w:kern w:val="21"/>
          <w:highlight w:val="none"/>
        </w:rPr>
        <w:t>。</w:t>
      </w:r>
    </w:p>
    <w:p>
      <w:pPr>
        <w:tabs>
          <w:tab w:val="left" w:pos="5262"/>
        </w:tabs>
        <w:spacing w:line="500" w:lineRule="exact"/>
        <w:ind w:firstLine="476" w:firstLineChars="200"/>
        <w:jc w:val="both"/>
        <w:rPr>
          <w:rFonts w:ascii="Times New Roman" w:hAnsi="Times New Roman" w:cs="Times New Roman" w:eastAsiaTheme="minorEastAsia"/>
          <w:b/>
          <w:bCs w:val="0"/>
          <w:color w:val="auto"/>
          <w:w w:val="99"/>
          <w:kern w:val="21"/>
          <w:highlight w:val="none"/>
        </w:rPr>
      </w:pPr>
      <w:r>
        <w:rPr>
          <w:rFonts w:ascii="Times New Roman" w:hAnsi="Times New Roman" w:cs="Times New Roman" w:eastAsiaTheme="minorEastAsia"/>
          <w:b/>
          <w:bCs w:val="0"/>
          <w:color w:val="auto"/>
          <w:w w:val="99"/>
          <w:kern w:val="21"/>
          <w:highlight w:val="none"/>
        </w:rPr>
        <w:t>表</w:t>
      </w:r>
      <w:r>
        <w:rPr>
          <w:rFonts w:ascii="Times New Roman" w:hAnsi="Times New Roman" w:cs="Times New Roman" w:eastAsiaTheme="minorEastAsia"/>
          <w:b/>
          <w:bCs w:val="0"/>
          <w:color w:val="auto"/>
          <w:w w:val="99"/>
          <w:kern w:val="2"/>
          <w:szCs w:val="20"/>
          <w:highlight w:val="none"/>
        </w:rPr>
        <w:t>4.3-</w:t>
      </w:r>
      <w:r>
        <w:rPr>
          <w:rFonts w:hint="eastAsia" w:ascii="Times New Roman" w:hAnsi="Times New Roman" w:cs="Times New Roman" w:eastAsiaTheme="minorEastAsia"/>
          <w:b/>
          <w:bCs w:val="0"/>
          <w:color w:val="auto"/>
          <w:w w:val="99"/>
          <w:kern w:val="2"/>
          <w:szCs w:val="20"/>
          <w:highlight w:val="none"/>
          <w:lang w:val="en-US" w:eastAsia="zh-CN"/>
        </w:rPr>
        <w:t>17</w:t>
      </w:r>
      <w:r>
        <w:rPr>
          <w:rFonts w:ascii="Times New Roman" w:hAnsi="Times New Roman" w:cs="Times New Roman" w:eastAsiaTheme="minorEastAsia"/>
          <w:b/>
          <w:bCs w:val="0"/>
          <w:color w:val="auto"/>
          <w:w w:val="99"/>
          <w:kern w:val="21"/>
          <w:highlight w:val="none"/>
        </w:rPr>
        <w:t xml:space="preserve">                  声环境现状监测点位表</w:t>
      </w:r>
    </w:p>
    <w:tbl>
      <w:tblPr>
        <w:tblStyle w:val="82"/>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56"/>
        <w:gridCol w:w="1655"/>
        <w:gridCol w:w="2934"/>
        <w:gridCol w:w="331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56"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序号</w:t>
            </w:r>
          </w:p>
        </w:tc>
        <w:tc>
          <w:tcPr>
            <w:tcW w:w="165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监测点</w:t>
            </w:r>
          </w:p>
        </w:tc>
        <w:tc>
          <w:tcPr>
            <w:tcW w:w="2934"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监测坐标</w:t>
            </w:r>
          </w:p>
        </w:tc>
        <w:tc>
          <w:tcPr>
            <w:tcW w:w="331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项目位置关系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56"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N1</w:t>
            </w:r>
          </w:p>
        </w:tc>
        <w:tc>
          <w:tcPr>
            <w:tcW w:w="1655" w:type="dxa"/>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eastAsia="zh-CN"/>
              </w:rPr>
              <w:t>厢房屯</w:t>
            </w:r>
          </w:p>
        </w:tc>
        <w:tc>
          <w:tcPr>
            <w:tcW w:w="2934" w:type="dxa"/>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125.00428677,45.56709843</w:t>
            </w:r>
          </w:p>
        </w:tc>
        <w:tc>
          <w:tcPr>
            <w:tcW w:w="331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拟钻井源248-130南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234m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56"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N2</w:t>
            </w:r>
          </w:p>
        </w:tc>
        <w:tc>
          <w:tcPr>
            <w:tcW w:w="1655" w:type="dxa"/>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eastAsia="zh-CN"/>
              </w:rPr>
              <w:t>后永利村</w:t>
            </w:r>
          </w:p>
        </w:tc>
        <w:tc>
          <w:tcPr>
            <w:tcW w:w="2934" w:type="dxa"/>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124.99969482,45.55114286</w:t>
            </w:r>
          </w:p>
        </w:tc>
        <w:tc>
          <w:tcPr>
            <w:tcW w:w="331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拟钻井源312-116东南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val="en-US" w:eastAsia="zh-CN"/>
              </w:rPr>
              <w:t>516</w:t>
            </w:r>
            <w:r>
              <w:rPr>
                <w:rFonts w:ascii="Times New Roman" w:hAnsi="Times New Roman" w:cs="Times New Roman" w:eastAsiaTheme="minorEastAsia"/>
                <w:color w:val="auto"/>
                <w:w w:val="99"/>
                <w:kern w:val="2"/>
                <w:sz w:val="21"/>
                <w:szCs w:val="21"/>
                <w:highlight w:val="none"/>
              </w:rPr>
              <w:t>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56"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N3</w:t>
            </w:r>
          </w:p>
        </w:tc>
        <w:tc>
          <w:tcPr>
            <w:tcW w:w="1655" w:type="dxa"/>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eastAsia="zh-CN"/>
              </w:rPr>
              <w:t>三胜村</w:t>
            </w:r>
          </w:p>
        </w:tc>
        <w:tc>
          <w:tcPr>
            <w:tcW w:w="2934" w:type="dxa"/>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124.97506142,45.56394373</w:t>
            </w:r>
          </w:p>
        </w:tc>
        <w:tc>
          <w:tcPr>
            <w:tcW w:w="331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拟钻井源296-108</w:t>
            </w:r>
            <w:r>
              <w:rPr>
                <w:rFonts w:hint="eastAsia" w:ascii="Times New Roman" w:hAnsi="Times New Roman" w:cs="Times New Roman" w:eastAsiaTheme="minorEastAsia"/>
                <w:color w:val="auto"/>
                <w:w w:val="99"/>
                <w:kern w:val="2"/>
                <w:sz w:val="21"/>
                <w:szCs w:val="21"/>
                <w:highlight w:val="none"/>
                <w:lang w:eastAsia="zh-CN"/>
              </w:rPr>
              <w:t>西</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val="en-US" w:eastAsia="zh-CN"/>
              </w:rPr>
              <w:t>658</w:t>
            </w:r>
            <w:r>
              <w:rPr>
                <w:rFonts w:ascii="Times New Roman" w:hAnsi="Times New Roman" w:cs="Times New Roman" w:eastAsiaTheme="minorEastAsia"/>
                <w:color w:val="auto"/>
                <w:w w:val="99"/>
                <w:kern w:val="2"/>
                <w:sz w:val="21"/>
                <w:szCs w:val="21"/>
                <w:highlight w:val="none"/>
              </w:rPr>
              <w:t>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56"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N4</w:t>
            </w:r>
          </w:p>
        </w:tc>
        <w:tc>
          <w:tcPr>
            <w:tcW w:w="1655" w:type="dxa"/>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eastAsia="zh-CN"/>
              </w:rPr>
              <w:t>后仓粮</w:t>
            </w:r>
          </w:p>
        </w:tc>
        <w:tc>
          <w:tcPr>
            <w:tcW w:w="2934" w:type="dxa"/>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125.01523018,45.57848391</w:t>
            </w:r>
          </w:p>
        </w:tc>
        <w:tc>
          <w:tcPr>
            <w:tcW w:w="331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拟钻井源244-134</w:t>
            </w:r>
            <w:r>
              <w:rPr>
                <w:rFonts w:hint="eastAsia" w:ascii="Times New Roman" w:hAnsi="Times New Roman" w:cs="Times New Roman" w:eastAsiaTheme="minorEastAsia"/>
                <w:color w:val="auto"/>
                <w:w w:val="99"/>
                <w:kern w:val="2"/>
                <w:sz w:val="21"/>
                <w:szCs w:val="21"/>
                <w:highlight w:val="none"/>
                <w:lang w:eastAsia="zh-CN"/>
              </w:rPr>
              <w:t>东北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val="en-US" w:eastAsia="zh-CN"/>
              </w:rPr>
              <w:t>537</w:t>
            </w:r>
            <w:r>
              <w:rPr>
                <w:rFonts w:ascii="Times New Roman" w:hAnsi="Times New Roman" w:cs="Times New Roman" w:eastAsiaTheme="minorEastAsia"/>
                <w:color w:val="auto"/>
                <w:w w:val="99"/>
                <w:kern w:val="2"/>
                <w:sz w:val="21"/>
                <w:szCs w:val="21"/>
                <w:highlight w:val="none"/>
              </w:rPr>
              <w:t>m</w:t>
            </w:r>
          </w:p>
        </w:tc>
      </w:tr>
    </w:tbl>
    <w:p>
      <w:pPr>
        <w:tabs>
          <w:tab w:val="left" w:pos="5262"/>
        </w:tabs>
        <w:spacing w:line="500" w:lineRule="exact"/>
        <w:ind w:firstLine="474" w:firstLineChars="200"/>
        <w:jc w:val="both"/>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（2）监测时间及频次</w:t>
      </w:r>
    </w:p>
    <w:p>
      <w:pPr>
        <w:tabs>
          <w:tab w:val="left" w:pos="5262"/>
        </w:tabs>
        <w:spacing w:line="500" w:lineRule="exact"/>
        <w:ind w:firstLine="474" w:firstLineChars="200"/>
        <w:jc w:val="both"/>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监测时间：</w:t>
      </w:r>
      <w:r>
        <w:rPr>
          <w:rFonts w:ascii="Times New Roman" w:hAnsi="Times New Roman" w:cs="Times New Roman" w:eastAsiaTheme="minorEastAsia"/>
          <w:color w:val="auto"/>
          <w:w w:val="99"/>
          <w:szCs w:val="20"/>
          <w:highlight w:val="none"/>
        </w:rPr>
        <w:t>202</w:t>
      </w:r>
      <w:r>
        <w:rPr>
          <w:rFonts w:hint="eastAsia" w:ascii="Times New Roman" w:hAnsi="Times New Roman" w:cs="Times New Roman" w:eastAsiaTheme="minorEastAsia"/>
          <w:color w:val="auto"/>
          <w:w w:val="99"/>
          <w:szCs w:val="20"/>
          <w:highlight w:val="none"/>
          <w:lang w:val="en-US" w:eastAsia="zh-CN"/>
        </w:rPr>
        <w:t>2</w:t>
      </w:r>
      <w:r>
        <w:rPr>
          <w:rFonts w:ascii="Times New Roman" w:hAnsi="Times New Roman" w:cs="Times New Roman" w:eastAsiaTheme="minorEastAsia"/>
          <w:color w:val="auto"/>
          <w:w w:val="99"/>
          <w:szCs w:val="20"/>
          <w:highlight w:val="none"/>
        </w:rPr>
        <w:t>年</w:t>
      </w:r>
      <w:r>
        <w:rPr>
          <w:rFonts w:hint="eastAsia" w:ascii="Times New Roman" w:hAnsi="Times New Roman" w:cs="Times New Roman" w:eastAsiaTheme="minorEastAsia"/>
          <w:color w:val="auto"/>
          <w:w w:val="99"/>
          <w:szCs w:val="20"/>
          <w:highlight w:val="none"/>
          <w:lang w:val="en-US" w:eastAsia="zh-CN"/>
        </w:rPr>
        <w:t>1</w:t>
      </w:r>
      <w:r>
        <w:rPr>
          <w:rFonts w:ascii="Times New Roman" w:hAnsi="Times New Roman" w:cs="Times New Roman" w:eastAsiaTheme="minorEastAsia"/>
          <w:color w:val="auto"/>
          <w:w w:val="99"/>
          <w:szCs w:val="20"/>
          <w:highlight w:val="none"/>
        </w:rPr>
        <w:t>月</w:t>
      </w:r>
      <w:r>
        <w:rPr>
          <w:rFonts w:hint="eastAsia" w:ascii="Times New Roman" w:hAnsi="Times New Roman" w:cs="Times New Roman" w:eastAsiaTheme="minorEastAsia"/>
          <w:color w:val="auto"/>
          <w:w w:val="99"/>
          <w:szCs w:val="20"/>
          <w:highlight w:val="none"/>
          <w:lang w:val="en-US" w:eastAsia="zh-CN"/>
        </w:rPr>
        <w:t>18</w:t>
      </w:r>
      <w:r>
        <w:rPr>
          <w:rFonts w:ascii="Times New Roman" w:hAnsi="Times New Roman" w:cs="Times New Roman" w:eastAsiaTheme="minorEastAsia"/>
          <w:color w:val="auto"/>
          <w:w w:val="99"/>
          <w:szCs w:val="20"/>
          <w:highlight w:val="none"/>
        </w:rPr>
        <w:t>日~202</w:t>
      </w:r>
      <w:r>
        <w:rPr>
          <w:rFonts w:hint="eastAsia" w:ascii="Times New Roman" w:hAnsi="Times New Roman" w:cs="Times New Roman" w:eastAsiaTheme="minorEastAsia"/>
          <w:color w:val="auto"/>
          <w:w w:val="99"/>
          <w:szCs w:val="20"/>
          <w:highlight w:val="none"/>
          <w:lang w:val="en-US" w:eastAsia="zh-CN"/>
        </w:rPr>
        <w:t>2</w:t>
      </w:r>
      <w:r>
        <w:rPr>
          <w:rFonts w:ascii="Times New Roman" w:hAnsi="Times New Roman" w:cs="Times New Roman" w:eastAsiaTheme="minorEastAsia"/>
          <w:color w:val="auto"/>
          <w:w w:val="99"/>
          <w:szCs w:val="20"/>
          <w:highlight w:val="none"/>
        </w:rPr>
        <w:t>年</w:t>
      </w:r>
      <w:r>
        <w:rPr>
          <w:rFonts w:hint="eastAsia" w:ascii="Times New Roman" w:hAnsi="Times New Roman" w:cs="Times New Roman" w:eastAsiaTheme="minorEastAsia"/>
          <w:color w:val="auto"/>
          <w:w w:val="99"/>
          <w:szCs w:val="20"/>
          <w:highlight w:val="none"/>
          <w:lang w:val="en-US" w:eastAsia="zh-CN"/>
        </w:rPr>
        <w:t>1</w:t>
      </w:r>
      <w:r>
        <w:rPr>
          <w:rFonts w:ascii="Times New Roman" w:hAnsi="Times New Roman" w:cs="Times New Roman" w:eastAsiaTheme="minorEastAsia"/>
          <w:color w:val="auto"/>
          <w:w w:val="99"/>
          <w:szCs w:val="20"/>
          <w:highlight w:val="none"/>
        </w:rPr>
        <w:t>月</w:t>
      </w:r>
      <w:r>
        <w:rPr>
          <w:rFonts w:hint="eastAsia" w:ascii="Times New Roman" w:hAnsi="Times New Roman" w:cs="Times New Roman" w:eastAsiaTheme="minorEastAsia"/>
          <w:color w:val="auto"/>
          <w:w w:val="99"/>
          <w:szCs w:val="20"/>
          <w:highlight w:val="none"/>
          <w:lang w:val="en-US" w:eastAsia="zh-CN"/>
        </w:rPr>
        <w:t>19</w:t>
      </w:r>
      <w:r>
        <w:rPr>
          <w:rFonts w:ascii="Times New Roman" w:hAnsi="Times New Roman" w:cs="Times New Roman" w:eastAsiaTheme="minorEastAsia"/>
          <w:color w:val="auto"/>
          <w:w w:val="99"/>
          <w:szCs w:val="20"/>
          <w:highlight w:val="none"/>
        </w:rPr>
        <w:t>日</w:t>
      </w:r>
      <w:r>
        <w:rPr>
          <w:rFonts w:ascii="Times New Roman" w:hAnsi="Times New Roman" w:cs="Times New Roman" w:eastAsiaTheme="minorEastAsia"/>
          <w:bCs/>
          <w:color w:val="auto"/>
          <w:w w:val="99"/>
          <w:kern w:val="21"/>
          <w:highlight w:val="none"/>
        </w:rPr>
        <w:t>。</w:t>
      </w:r>
    </w:p>
    <w:p>
      <w:pPr>
        <w:tabs>
          <w:tab w:val="left" w:pos="5262"/>
        </w:tabs>
        <w:spacing w:line="500" w:lineRule="exact"/>
        <w:ind w:firstLine="474" w:firstLineChars="200"/>
        <w:jc w:val="both"/>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监测频次：连续监测2天，昼夜各1次。</w:t>
      </w:r>
    </w:p>
    <w:p>
      <w:pPr>
        <w:keepNext w:val="0"/>
        <w:keepLines w:val="0"/>
        <w:pageBreakBefore w:val="0"/>
        <w:widowControl/>
        <w:tabs>
          <w:tab w:val="left" w:pos="5262"/>
        </w:tabs>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bCs/>
          <w:color w:val="auto"/>
          <w:w w:val="99"/>
          <w:kern w:val="21"/>
          <w:highlight w:val="none"/>
        </w:rPr>
      </w:pPr>
      <w:r>
        <w:rPr>
          <w:rFonts w:ascii="Times New Roman" w:hAnsi="Times New Roman" w:cs="Times New Roman" w:eastAsiaTheme="minorEastAsia"/>
          <w:bCs/>
          <w:color w:val="auto"/>
          <w:w w:val="99"/>
          <w:kern w:val="21"/>
          <w:highlight w:val="none"/>
        </w:rPr>
        <w:t>（3）</w:t>
      </w:r>
      <w:r>
        <w:rPr>
          <w:rFonts w:hint="default" w:ascii="Times New Roman" w:hAnsi="Times New Roman" w:eastAsia="宋体" w:cs="Times New Roman"/>
          <w:bCs/>
          <w:color w:val="auto"/>
          <w:w w:val="99"/>
          <w:kern w:val="21"/>
          <w:highlight w:val="none"/>
        </w:rPr>
        <w:t>监测方法</w:t>
      </w:r>
    </w:p>
    <w:p>
      <w:pPr>
        <w:keepNext w:val="0"/>
        <w:keepLines w:val="0"/>
        <w:pageBreakBefore w:val="0"/>
        <w:widowControl/>
        <w:tabs>
          <w:tab w:val="left" w:pos="5262"/>
        </w:tabs>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bCs/>
          <w:color w:val="auto"/>
          <w:w w:val="99"/>
          <w:kern w:val="21"/>
          <w:highlight w:val="none"/>
        </w:rPr>
      </w:pPr>
      <w:r>
        <w:rPr>
          <w:rFonts w:hint="eastAsia" w:ascii="Times New Roman" w:hAnsi="Times New Roman" w:eastAsia="宋体" w:cs="Times New Roman"/>
          <w:bCs/>
          <w:color w:val="auto"/>
          <w:w w:val="99"/>
          <w:kern w:val="21"/>
          <w:highlight w:val="none"/>
          <w:lang w:eastAsia="zh-CN"/>
        </w:rPr>
        <w:t>声环境质量</w:t>
      </w:r>
      <w:r>
        <w:rPr>
          <w:rFonts w:hint="default" w:ascii="Times New Roman" w:hAnsi="Times New Roman" w:eastAsia="宋体" w:cs="Times New Roman"/>
          <w:bCs/>
          <w:color w:val="auto"/>
          <w:w w:val="99"/>
          <w:kern w:val="21"/>
          <w:highlight w:val="none"/>
        </w:rPr>
        <w:t>现状监测分析方法见表4.</w:t>
      </w:r>
      <w:r>
        <w:rPr>
          <w:rFonts w:hint="eastAsia" w:ascii="Times New Roman" w:hAnsi="Times New Roman" w:cs="Times New Roman"/>
          <w:bCs/>
          <w:color w:val="auto"/>
          <w:w w:val="99"/>
          <w:kern w:val="21"/>
          <w:highlight w:val="none"/>
          <w:lang w:val="en-US" w:eastAsia="zh-CN"/>
        </w:rPr>
        <w:t>3</w:t>
      </w:r>
      <w:r>
        <w:rPr>
          <w:rFonts w:hint="default" w:ascii="Times New Roman" w:hAnsi="Times New Roman" w:eastAsia="宋体" w:cs="Times New Roman"/>
          <w:bCs/>
          <w:color w:val="auto"/>
          <w:w w:val="99"/>
          <w:kern w:val="21"/>
          <w:highlight w:val="none"/>
        </w:rPr>
        <w:t>-</w:t>
      </w:r>
      <w:r>
        <w:rPr>
          <w:rFonts w:hint="eastAsia" w:ascii="Times New Roman" w:hAnsi="Times New Roman" w:cs="Times New Roman"/>
          <w:bCs/>
          <w:color w:val="auto"/>
          <w:w w:val="99"/>
          <w:kern w:val="21"/>
          <w:highlight w:val="none"/>
          <w:lang w:val="en-US" w:eastAsia="zh-CN"/>
        </w:rPr>
        <w:t>18</w:t>
      </w:r>
      <w:r>
        <w:rPr>
          <w:rFonts w:hint="default" w:ascii="Times New Roman" w:hAnsi="Times New Roman" w:eastAsia="宋体" w:cs="Times New Roman"/>
          <w:bCs/>
          <w:color w:val="auto"/>
          <w:w w:val="99"/>
          <w:kern w:val="21"/>
          <w:highlight w:val="none"/>
        </w:rPr>
        <w:t>。</w:t>
      </w:r>
    </w:p>
    <w:p>
      <w:pPr>
        <w:keepNext w:val="0"/>
        <w:keepLines w:val="0"/>
        <w:pageBreakBefore w:val="0"/>
        <w:widowControl/>
        <w:tabs>
          <w:tab w:val="left" w:pos="5262"/>
        </w:tabs>
        <w:kinsoku/>
        <w:wordWrap/>
        <w:overflowPunct/>
        <w:topLinePunct w:val="0"/>
        <w:autoSpaceDE/>
        <w:autoSpaceDN/>
        <w:bidi w:val="0"/>
        <w:adjustRightInd/>
        <w:snapToGrid/>
        <w:spacing w:line="440" w:lineRule="exact"/>
        <w:ind w:firstLine="476" w:firstLineChars="200"/>
        <w:jc w:val="both"/>
        <w:textAlignment w:val="auto"/>
        <w:rPr>
          <w:rFonts w:hint="default" w:ascii="Times New Roman" w:hAnsi="Times New Roman" w:eastAsia="宋体" w:cs="Times New Roman"/>
          <w:b/>
          <w:bCs w:val="0"/>
          <w:color w:val="auto"/>
          <w:w w:val="99"/>
          <w:kern w:val="21"/>
          <w:highlight w:val="none"/>
        </w:rPr>
      </w:pPr>
      <w:r>
        <w:rPr>
          <w:rFonts w:hint="default" w:ascii="Times New Roman" w:hAnsi="Times New Roman" w:eastAsia="宋体" w:cs="Times New Roman"/>
          <w:b/>
          <w:bCs w:val="0"/>
          <w:color w:val="auto"/>
          <w:w w:val="99"/>
          <w:kern w:val="21"/>
          <w:highlight w:val="none"/>
        </w:rPr>
        <w:t>表4.</w:t>
      </w:r>
      <w:r>
        <w:rPr>
          <w:rFonts w:hint="eastAsia" w:ascii="Times New Roman" w:hAnsi="Times New Roman" w:cs="Times New Roman"/>
          <w:b/>
          <w:bCs w:val="0"/>
          <w:color w:val="auto"/>
          <w:w w:val="99"/>
          <w:kern w:val="21"/>
          <w:highlight w:val="none"/>
          <w:lang w:val="en-US" w:eastAsia="zh-CN"/>
        </w:rPr>
        <w:t>3</w:t>
      </w:r>
      <w:r>
        <w:rPr>
          <w:rFonts w:hint="default" w:ascii="Times New Roman" w:hAnsi="Times New Roman" w:eastAsia="宋体" w:cs="Times New Roman"/>
          <w:b/>
          <w:bCs w:val="0"/>
          <w:color w:val="auto"/>
          <w:w w:val="99"/>
          <w:kern w:val="21"/>
          <w:highlight w:val="none"/>
        </w:rPr>
        <w:t>-</w:t>
      </w:r>
      <w:r>
        <w:rPr>
          <w:rFonts w:hint="eastAsia" w:ascii="Times New Roman" w:hAnsi="Times New Roman" w:cs="Times New Roman"/>
          <w:b/>
          <w:bCs w:val="0"/>
          <w:color w:val="auto"/>
          <w:w w:val="99"/>
          <w:kern w:val="21"/>
          <w:highlight w:val="none"/>
          <w:lang w:val="en-US" w:eastAsia="zh-CN"/>
        </w:rPr>
        <w:t>18</w:t>
      </w:r>
      <w:r>
        <w:rPr>
          <w:rFonts w:hint="default" w:ascii="Times New Roman" w:hAnsi="Times New Roman" w:eastAsia="宋体" w:cs="Times New Roman"/>
          <w:b/>
          <w:bCs w:val="0"/>
          <w:color w:val="auto"/>
          <w:w w:val="99"/>
          <w:kern w:val="21"/>
          <w:highlight w:val="none"/>
        </w:rPr>
        <w:t xml:space="preserve">    </w:t>
      </w:r>
      <w:r>
        <w:rPr>
          <w:rFonts w:hint="eastAsia" w:ascii="Times New Roman" w:hAnsi="Times New Roman" w:eastAsia="宋体" w:cs="Times New Roman"/>
          <w:b/>
          <w:bCs w:val="0"/>
          <w:color w:val="auto"/>
          <w:w w:val="99"/>
          <w:kern w:val="21"/>
          <w:highlight w:val="none"/>
          <w:lang w:eastAsia="zh-CN"/>
        </w:rPr>
        <w:t>声环境</w:t>
      </w:r>
      <w:r>
        <w:rPr>
          <w:rFonts w:hint="default" w:ascii="Times New Roman" w:hAnsi="Times New Roman" w:eastAsia="宋体" w:cs="Times New Roman"/>
          <w:b/>
          <w:bCs w:val="0"/>
          <w:color w:val="auto"/>
          <w:w w:val="99"/>
          <w:kern w:val="21"/>
          <w:highlight w:val="none"/>
        </w:rPr>
        <w:t>现状监测分析方法及仪器</w:t>
      </w:r>
    </w:p>
    <w:tbl>
      <w:tblPr>
        <w:tblStyle w:val="82"/>
        <w:tblW w:w="9060" w:type="dxa"/>
        <w:tblInd w:w="0" w:type="dxa"/>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51"/>
        <w:gridCol w:w="1104"/>
        <w:gridCol w:w="2775"/>
        <w:gridCol w:w="1725"/>
        <w:gridCol w:w="1635"/>
        <w:gridCol w:w="1370"/>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序号</w:t>
            </w:r>
          </w:p>
        </w:tc>
        <w:tc>
          <w:tcPr>
            <w:tcW w:w="1104" w:type="dxa"/>
            <w:tcBorders>
              <w:tl2br w:val="nil"/>
              <w:tr2bl w:val="nil"/>
            </w:tcBorders>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监测</w:t>
            </w:r>
          </w:p>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项目</w:t>
            </w:r>
          </w:p>
        </w:tc>
        <w:tc>
          <w:tcPr>
            <w:tcW w:w="2775" w:type="dxa"/>
            <w:tcBorders>
              <w:tl2br w:val="nil"/>
              <w:tr2bl w:val="nil"/>
            </w:tcBorders>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分析方法名称</w:t>
            </w:r>
          </w:p>
        </w:tc>
        <w:tc>
          <w:tcPr>
            <w:tcW w:w="1725" w:type="dxa"/>
            <w:tcBorders>
              <w:tl2br w:val="nil"/>
              <w:tr2bl w:val="nil"/>
            </w:tcBorders>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方法来源及标准号</w:t>
            </w:r>
          </w:p>
        </w:tc>
        <w:tc>
          <w:tcPr>
            <w:tcW w:w="1635" w:type="dxa"/>
            <w:tcBorders>
              <w:tl2br w:val="nil"/>
              <w:tr2bl w:val="nil"/>
            </w:tcBorders>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分析仪器及型号</w:t>
            </w:r>
          </w:p>
        </w:tc>
        <w:tc>
          <w:tcPr>
            <w:tcW w:w="1370" w:type="dxa"/>
            <w:tcBorders>
              <w:tl2br w:val="nil"/>
              <w:tr2bl w:val="nil"/>
            </w:tcBorders>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方法检出限</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p>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lang w:val="en-US" w:eastAsia="zh-CN"/>
              </w:rPr>
            </w:pPr>
            <w:r>
              <w:rPr>
                <w:rFonts w:hint="default" w:ascii="Times New Roman" w:hAnsi="Times New Roman" w:cs="Times New Roman" w:eastAsiaTheme="minorEastAsia"/>
                <w:color w:val="auto"/>
                <w:w w:val="99"/>
                <w:kern w:val="2"/>
                <w:sz w:val="21"/>
                <w:szCs w:val="21"/>
                <w:highlight w:val="none"/>
                <w:lang w:val="en-US" w:eastAsia="zh-CN"/>
              </w:rPr>
              <w:t>1</w:t>
            </w:r>
          </w:p>
        </w:tc>
        <w:tc>
          <w:tcPr>
            <w:tcW w:w="1104" w:type="dxa"/>
            <w:tcBorders>
              <w:tl2br w:val="nil"/>
              <w:tr2bl w:val="nil"/>
            </w:tcBorders>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环境噪声</w:t>
            </w:r>
          </w:p>
        </w:tc>
        <w:tc>
          <w:tcPr>
            <w:tcW w:w="2775" w:type="dxa"/>
            <w:tcBorders>
              <w:tl2br w:val="nil"/>
              <w:tr2bl w:val="nil"/>
            </w:tcBorders>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声环境质量标准（附录C噪声敏感建筑物监测方法）</w:t>
            </w:r>
          </w:p>
        </w:tc>
        <w:tc>
          <w:tcPr>
            <w:tcW w:w="1725" w:type="dxa"/>
            <w:tcBorders>
              <w:tl2br w:val="nil"/>
              <w:tr2bl w:val="nil"/>
            </w:tcBorders>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GB 3096-2008</w:t>
            </w:r>
          </w:p>
        </w:tc>
        <w:tc>
          <w:tcPr>
            <w:tcW w:w="1635" w:type="dxa"/>
            <w:tcBorders>
              <w:tl2br w:val="nil"/>
              <w:tr2bl w:val="nil"/>
            </w:tcBorders>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积分式声级计</w:t>
            </w:r>
          </w:p>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（噪声仪）AWA5636</w:t>
            </w:r>
          </w:p>
        </w:tc>
        <w:tc>
          <w:tcPr>
            <w:tcW w:w="1370" w:type="dxa"/>
            <w:tcBorders>
              <w:tl2br w:val="nil"/>
              <w:tr2bl w:val="nil"/>
            </w:tcBorders>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w:t>
            </w:r>
          </w:p>
        </w:tc>
      </w:tr>
    </w:tbl>
    <w:p>
      <w:pPr>
        <w:tabs>
          <w:tab w:val="left" w:pos="5262"/>
        </w:tabs>
        <w:spacing w:line="500" w:lineRule="exact"/>
        <w:ind w:firstLine="474" w:firstLineChars="200"/>
        <w:jc w:val="both"/>
        <w:rPr>
          <w:rFonts w:ascii="Times New Roman" w:hAnsi="Times New Roman" w:cs="Times New Roman" w:eastAsiaTheme="minorEastAsia"/>
          <w:bCs/>
          <w:color w:val="auto"/>
          <w:w w:val="99"/>
          <w:kern w:val="21"/>
          <w:highlight w:val="none"/>
        </w:rPr>
      </w:pPr>
      <w:r>
        <w:rPr>
          <w:rFonts w:hint="eastAsia" w:ascii="Times New Roman" w:hAnsi="Times New Roman" w:cs="Times New Roman" w:eastAsiaTheme="minorEastAsia"/>
          <w:bCs/>
          <w:color w:val="auto"/>
          <w:w w:val="99"/>
          <w:kern w:val="21"/>
          <w:highlight w:val="none"/>
          <w:lang w:eastAsia="zh-CN"/>
        </w:rPr>
        <w:t>（</w:t>
      </w:r>
      <w:r>
        <w:rPr>
          <w:rFonts w:hint="eastAsia" w:ascii="Times New Roman" w:hAnsi="Times New Roman" w:cs="Times New Roman" w:eastAsiaTheme="minorEastAsia"/>
          <w:bCs/>
          <w:color w:val="auto"/>
          <w:w w:val="99"/>
          <w:kern w:val="21"/>
          <w:highlight w:val="none"/>
          <w:lang w:val="en-US" w:eastAsia="zh-CN"/>
        </w:rPr>
        <w:t>4</w:t>
      </w:r>
      <w:r>
        <w:rPr>
          <w:rFonts w:hint="eastAsia" w:ascii="Times New Roman" w:hAnsi="Times New Roman" w:cs="Times New Roman" w:eastAsiaTheme="minorEastAsia"/>
          <w:bCs/>
          <w:color w:val="auto"/>
          <w:w w:val="99"/>
          <w:kern w:val="21"/>
          <w:highlight w:val="none"/>
          <w:lang w:eastAsia="zh-CN"/>
        </w:rPr>
        <w:t>）</w:t>
      </w:r>
      <w:r>
        <w:rPr>
          <w:rFonts w:ascii="Times New Roman" w:hAnsi="Times New Roman" w:cs="Times New Roman" w:eastAsiaTheme="minorEastAsia"/>
          <w:bCs/>
          <w:color w:val="auto"/>
          <w:w w:val="99"/>
          <w:kern w:val="21"/>
          <w:highlight w:val="none"/>
        </w:rPr>
        <w:t>监测结果</w:t>
      </w:r>
    </w:p>
    <w:p>
      <w:pPr>
        <w:tabs>
          <w:tab w:val="left" w:pos="5262"/>
        </w:tabs>
        <w:spacing w:line="500" w:lineRule="exact"/>
        <w:ind w:firstLine="474" w:firstLineChars="200"/>
        <w:jc w:val="both"/>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声环境现状监测结果见表</w:t>
      </w:r>
      <w:r>
        <w:rPr>
          <w:rFonts w:ascii="Times New Roman" w:hAnsi="Times New Roman" w:cs="Times New Roman" w:eastAsiaTheme="minorEastAsia"/>
          <w:color w:val="auto"/>
          <w:w w:val="99"/>
          <w:kern w:val="2"/>
          <w:szCs w:val="20"/>
          <w:highlight w:val="none"/>
        </w:rPr>
        <w:t>4.3-</w:t>
      </w:r>
      <w:r>
        <w:rPr>
          <w:rFonts w:hint="eastAsia" w:ascii="Times New Roman" w:hAnsi="Times New Roman" w:cs="Times New Roman" w:eastAsiaTheme="minorEastAsia"/>
          <w:color w:val="auto"/>
          <w:w w:val="99"/>
          <w:kern w:val="2"/>
          <w:szCs w:val="20"/>
          <w:highlight w:val="none"/>
          <w:lang w:val="en-US" w:eastAsia="zh-CN"/>
        </w:rPr>
        <w:t>19</w:t>
      </w:r>
      <w:r>
        <w:rPr>
          <w:rFonts w:ascii="Times New Roman" w:hAnsi="Times New Roman" w:cs="Times New Roman" w:eastAsiaTheme="minorEastAsia"/>
          <w:bCs/>
          <w:color w:val="auto"/>
          <w:w w:val="99"/>
          <w:kern w:val="21"/>
          <w:highlight w:val="none"/>
        </w:rPr>
        <w:t>；</w:t>
      </w:r>
    </w:p>
    <w:p>
      <w:pPr>
        <w:tabs>
          <w:tab w:val="left" w:pos="5262"/>
        </w:tabs>
        <w:spacing w:line="500" w:lineRule="exact"/>
        <w:ind w:firstLine="476" w:firstLineChars="200"/>
        <w:jc w:val="both"/>
        <w:rPr>
          <w:rFonts w:ascii="Times New Roman" w:hAnsi="Times New Roman" w:cs="Times New Roman" w:eastAsiaTheme="minorEastAsia"/>
          <w:b/>
          <w:bCs w:val="0"/>
          <w:color w:val="auto"/>
          <w:w w:val="99"/>
          <w:kern w:val="21"/>
          <w:highlight w:val="none"/>
        </w:rPr>
      </w:pPr>
      <w:r>
        <w:rPr>
          <w:rFonts w:ascii="Times New Roman" w:hAnsi="Times New Roman" w:cs="Times New Roman" w:eastAsiaTheme="minorEastAsia"/>
          <w:b/>
          <w:bCs w:val="0"/>
          <w:color w:val="auto"/>
          <w:w w:val="99"/>
          <w:kern w:val="21"/>
          <w:highlight w:val="none"/>
        </w:rPr>
        <w:t>表</w:t>
      </w:r>
      <w:r>
        <w:rPr>
          <w:rFonts w:ascii="Times New Roman" w:hAnsi="Times New Roman" w:cs="Times New Roman" w:eastAsiaTheme="minorEastAsia"/>
          <w:b/>
          <w:bCs w:val="0"/>
          <w:color w:val="auto"/>
          <w:w w:val="99"/>
          <w:kern w:val="2"/>
          <w:szCs w:val="20"/>
          <w:highlight w:val="none"/>
        </w:rPr>
        <w:t>4.3-</w:t>
      </w:r>
      <w:r>
        <w:rPr>
          <w:rFonts w:hint="eastAsia" w:ascii="Times New Roman" w:hAnsi="Times New Roman" w:cs="Times New Roman" w:eastAsiaTheme="minorEastAsia"/>
          <w:b/>
          <w:bCs w:val="0"/>
          <w:color w:val="auto"/>
          <w:w w:val="99"/>
          <w:kern w:val="2"/>
          <w:szCs w:val="20"/>
          <w:highlight w:val="none"/>
          <w:lang w:val="en-US" w:eastAsia="zh-CN"/>
        </w:rPr>
        <w:t>19</w:t>
      </w:r>
      <w:r>
        <w:rPr>
          <w:rFonts w:ascii="Times New Roman" w:hAnsi="Times New Roman" w:cs="Times New Roman" w:eastAsiaTheme="minorEastAsia"/>
          <w:b/>
          <w:bCs w:val="0"/>
          <w:color w:val="auto"/>
          <w:w w:val="99"/>
          <w:kern w:val="21"/>
          <w:highlight w:val="none"/>
        </w:rPr>
        <w:t xml:space="preserve">                声环境现状监测结果表               单位：dB（A）</w:t>
      </w:r>
    </w:p>
    <w:tbl>
      <w:tblPr>
        <w:tblStyle w:val="82"/>
        <w:tblW w:w="9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1772"/>
        <w:gridCol w:w="1763"/>
        <w:gridCol w:w="1782"/>
        <w:gridCol w:w="1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2321" w:type="dxa"/>
            <w:vMerge w:val="restart"/>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szCs w:val="21"/>
                <w:highlight w:val="none"/>
              </w:rPr>
            </w:pPr>
            <w:r>
              <w:rPr>
                <w:rFonts w:hint="eastAsia" w:ascii="Times New Roman" w:hAnsi="Times New Roman" w:cs="Times New Roman" w:eastAsiaTheme="minorEastAsia"/>
                <w:b w:val="0"/>
                <w:color w:val="auto"/>
                <w:w w:val="99"/>
                <w:szCs w:val="21"/>
                <w:highlight w:val="none"/>
              </w:rPr>
              <w:t>监测点位</w:t>
            </w:r>
          </w:p>
        </w:tc>
        <w:tc>
          <w:tcPr>
            <w:tcW w:w="3535" w:type="dxa"/>
            <w:gridSpan w:val="2"/>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szCs w:val="21"/>
                <w:highlight w:val="none"/>
              </w:rPr>
            </w:pPr>
            <w:r>
              <w:rPr>
                <w:rFonts w:hint="eastAsia" w:ascii="Times New Roman" w:hAnsi="Times New Roman" w:cs="Times New Roman" w:eastAsiaTheme="minorEastAsia"/>
                <w:b w:val="0"/>
                <w:color w:val="auto"/>
                <w:w w:val="99"/>
                <w:szCs w:val="21"/>
                <w:highlight w:val="none"/>
              </w:rPr>
              <w:t>202</w:t>
            </w:r>
            <w:r>
              <w:rPr>
                <w:rFonts w:hint="eastAsia" w:ascii="Times New Roman" w:hAnsi="Times New Roman" w:cs="Times New Roman" w:eastAsiaTheme="minorEastAsia"/>
                <w:b w:val="0"/>
                <w:color w:val="auto"/>
                <w:w w:val="99"/>
                <w:szCs w:val="21"/>
                <w:highlight w:val="none"/>
                <w:lang w:val="en-US" w:eastAsia="zh-CN"/>
              </w:rPr>
              <w:t>2.01.18</w:t>
            </w:r>
          </w:p>
        </w:tc>
        <w:tc>
          <w:tcPr>
            <w:tcW w:w="3545" w:type="dxa"/>
            <w:gridSpan w:val="2"/>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szCs w:val="21"/>
                <w:highlight w:val="none"/>
              </w:rPr>
            </w:pPr>
            <w:r>
              <w:rPr>
                <w:rFonts w:hint="eastAsia" w:ascii="Times New Roman" w:hAnsi="Times New Roman" w:cs="Times New Roman" w:eastAsiaTheme="minorEastAsia"/>
                <w:b w:val="0"/>
                <w:color w:val="auto"/>
                <w:w w:val="99"/>
                <w:szCs w:val="21"/>
                <w:highlight w:val="none"/>
              </w:rPr>
              <w:t>202</w:t>
            </w:r>
            <w:r>
              <w:rPr>
                <w:rFonts w:hint="eastAsia" w:ascii="Times New Roman" w:hAnsi="Times New Roman" w:cs="Times New Roman" w:eastAsiaTheme="minorEastAsia"/>
                <w:b w:val="0"/>
                <w:color w:val="auto"/>
                <w:w w:val="99"/>
                <w:szCs w:val="21"/>
                <w:highlight w:val="none"/>
                <w:lang w:val="en-US" w:eastAsia="zh-CN"/>
              </w:rPr>
              <w:t>2.01.19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321" w:type="dxa"/>
            <w:vMerge w:val="continue"/>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szCs w:val="21"/>
                <w:highlight w:val="none"/>
              </w:rPr>
            </w:pPr>
          </w:p>
        </w:tc>
        <w:tc>
          <w:tcPr>
            <w:tcW w:w="1772" w:type="dxa"/>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szCs w:val="21"/>
                <w:highlight w:val="none"/>
              </w:rPr>
            </w:pPr>
            <w:r>
              <w:rPr>
                <w:rFonts w:hint="eastAsia" w:ascii="Times New Roman" w:hAnsi="Times New Roman" w:cs="Times New Roman" w:eastAsiaTheme="minorEastAsia"/>
                <w:b w:val="0"/>
                <w:color w:val="auto"/>
                <w:w w:val="99"/>
                <w:szCs w:val="21"/>
                <w:highlight w:val="none"/>
              </w:rPr>
              <w:t>昼间</w:t>
            </w:r>
          </w:p>
          <w:p>
            <w:pPr>
              <w:pStyle w:val="140"/>
              <w:adjustRightInd w:val="0"/>
              <w:snapToGrid w:val="0"/>
              <w:spacing w:line="280" w:lineRule="exact"/>
              <w:jc w:val="center"/>
              <w:rPr>
                <w:rFonts w:hint="eastAsia" w:ascii="Times New Roman" w:hAnsi="Times New Roman" w:cs="Times New Roman" w:eastAsiaTheme="minorEastAsia"/>
                <w:b w:val="0"/>
                <w:color w:val="auto"/>
                <w:w w:val="99"/>
                <w:szCs w:val="21"/>
                <w:highlight w:val="none"/>
              </w:rPr>
            </w:pPr>
            <w:r>
              <w:rPr>
                <w:rFonts w:hint="eastAsia" w:ascii="Times New Roman" w:hAnsi="Times New Roman" w:cs="Times New Roman" w:eastAsiaTheme="minorEastAsia"/>
                <w:b w:val="0"/>
                <w:color w:val="auto"/>
                <w:w w:val="99"/>
                <w:szCs w:val="21"/>
                <w:highlight w:val="none"/>
              </w:rPr>
              <w:t>(</w:t>
            </w:r>
            <w:r>
              <w:rPr>
                <w:rFonts w:hint="eastAsia" w:ascii="Times New Roman" w:hAnsi="Times New Roman" w:cs="Times New Roman" w:eastAsiaTheme="minorEastAsia"/>
                <w:b w:val="0"/>
                <w:color w:val="auto"/>
                <w:w w:val="99"/>
                <w:szCs w:val="21"/>
                <w:highlight w:val="none"/>
                <w:lang w:val="en-US" w:eastAsia="zh-CN"/>
              </w:rPr>
              <w:t>12</w:t>
            </w:r>
            <w:r>
              <w:rPr>
                <w:rFonts w:hint="eastAsia" w:ascii="Times New Roman" w:hAnsi="Times New Roman" w:cs="Times New Roman" w:eastAsiaTheme="minorEastAsia"/>
                <w:b w:val="0"/>
                <w:color w:val="auto"/>
                <w:w w:val="99"/>
                <w:szCs w:val="21"/>
                <w:highlight w:val="none"/>
              </w:rPr>
              <w:t>:00～</w:t>
            </w:r>
            <w:r>
              <w:rPr>
                <w:rFonts w:hint="eastAsia" w:ascii="Times New Roman" w:hAnsi="Times New Roman" w:cs="Times New Roman" w:eastAsiaTheme="minorEastAsia"/>
                <w:b w:val="0"/>
                <w:color w:val="auto"/>
                <w:w w:val="99"/>
                <w:szCs w:val="21"/>
                <w:highlight w:val="none"/>
                <w:lang w:val="en-US" w:eastAsia="zh-CN"/>
              </w:rPr>
              <w:t>12</w:t>
            </w:r>
            <w:r>
              <w:rPr>
                <w:rFonts w:hint="eastAsia" w:ascii="Times New Roman" w:hAnsi="Times New Roman" w:cs="Times New Roman" w:eastAsiaTheme="minorEastAsia"/>
                <w:b w:val="0"/>
                <w:color w:val="auto"/>
                <w:w w:val="99"/>
                <w:szCs w:val="21"/>
                <w:highlight w:val="none"/>
              </w:rPr>
              <w:t>:20)</w:t>
            </w:r>
          </w:p>
        </w:tc>
        <w:tc>
          <w:tcPr>
            <w:tcW w:w="1763" w:type="dxa"/>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szCs w:val="21"/>
                <w:highlight w:val="none"/>
              </w:rPr>
            </w:pPr>
            <w:r>
              <w:rPr>
                <w:rFonts w:hint="eastAsia" w:ascii="Times New Roman" w:hAnsi="Times New Roman" w:cs="Times New Roman" w:eastAsiaTheme="minorEastAsia"/>
                <w:b w:val="0"/>
                <w:color w:val="auto"/>
                <w:w w:val="99"/>
                <w:szCs w:val="21"/>
                <w:highlight w:val="none"/>
              </w:rPr>
              <w:t>夜间</w:t>
            </w:r>
          </w:p>
          <w:p>
            <w:pPr>
              <w:pStyle w:val="140"/>
              <w:adjustRightInd w:val="0"/>
              <w:snapToGrid w:val="0"/>
              <w:spacing w:line="280" w:lineRule="exact"/>
              <w:jc w:val="center"/>
              <w:rPr>
                <w:rFonts w:hint="eastAsia" w:ascii="Times New Roman" w:hAnsi="Times New Roman" w:cs="Times New Roman" w:eastAsiaTheme="minorEastAsia"/>
                <w:b w:val="0"/>
                <w:color w:val="auto"/>
                <w:w w:val="99"/>
                <w:szCs w:val="21"/>
                <w:highlight w:val="none"/>
              </w:rPr>
            </w:pPr>
            <w:r>
              <w:rPr>
                <w:rFonts w:hint="eastAsia" w:ascii="Times New Roman" w:hAnsi="Times New Roman" w:cs="Times New Roman" w:eastAsiaTheme="minorEastAsia"/>
                <w:b w:val="0"/>
                <w:color w:val="auto"/>
                <w:w w:val="99"/>
                <w:szCs w:val="21"/>
                <w:highlight w:val="none"/>
              </w:rPr>
              <w:t>(</w:t>
            </w:r>
            <w:r>
              <w:rPr>
                <w:rFonts w:hint="eastAsia" w:ascii="Times New Roman" w:hAnsi="Times New Roman" w:cs="Times New Roman" w:eastAsiaTheme="minorEastAsia"/>
                <w:b w:val="0"/>
                <w:color w:val="auto"/>
                <w:w w:val="99"/>
                <w:szCs w:val="21"/>
                <w:highlight w:val="none"/>
                <w:lang w:val="en-US" w:eastAsia="zh-CN"/>
              </w:rPr>
              <w:t>02</w:t>
            </w:r>
            <w:r>
              <w:rPr>
                <w:rFonts w:hint="eastAsia" w:ascii="Times New Roman" w:hAnsi="Times New Roman" w:cs="Times New Roman" w:eastAsiaTheme="minorEastAsia"/>
                <w:b w:val="0"/>
                <w:color w:val="auto"/>
                <w:w w:val="99"/>
                <w:szCs w:val="21"/>
                <w:highlight w:val="none"/>
              </w:rPr>
              <w:t>:00～</w:t>
            </w:r>
            <w:r>
              <w:rPr>
                <w:rFonts w:hint="eastAsia" w:ascii="Times New Roman" w:hAnsi="Times New Roman" w:cs="Times New Roman" w:eastAsiaTheme="minorEastAsia"/>
                <w:b w:val="0"/>
                <w:color w:val="auto"/>
                <w:w w:val="99"/>
                <w:szCs w:val="21"/>
                <w:highlight w:val="none"/>
                <w:lang w:val="en-US" w:eastAsia="zh-CN"/>
              </w:rPr>
              <w:t>02</w:t>
            </w:r>
            <w:r>
              <w:rPr>
                <w:rFonts w:hint="eastAsia" w:ascii="Times New Roman" w:hAnsi="Times New Roman" w:cs="Times New Roman" w:eastAsiaTheme="minorEastAsia"/>
                <w:b w:val="0"/>
                <w:color w:val="auto"/>
                <w:w w:val="99"/>
                <w:szCs w:val="21"/>
                <w:highlight w:val="none"/>
              </w:rPr>
              <w:t>:20)</w:t>
            </w:r>
          </w:p>
        </w:tc>
        <w:tc>
          <w:tcPr>
            <w:tcW w:w="1782" w:type="dxa"/>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szCs w:val="21"/>
                <w:highlight w:val="none"/>
              </w:rPr>
            </w:pPr>
            <w:r>
              <w:rPr>
                <w:rFonts w:hint="eastAsia" w:ascii="Times New Roman" w:hAnsi="Times New Roman" w:cs="Times New Roman" w:eastAsiaTheme="minorEastAsia"/>
                <w:b w:val="0"/>
                <w:color w:val="auto"/>
                <w:w w:val="99"/>
                <w:szCs w:val="21"/>
                <w:highlight w:val="none"/>
              </w:rPr>
              <w:t>昼间</w:t>
            </w:r>
          </w:p>
          <w:p>
            <w:pPr>
              <w:pStyle w:val="140"/>
              <w:adjustRightInd w:val="0"/>
              <w:snapToGrid w:val="0"/>
              <w:spacing w:line="280" w:lineRule="exact"/>
              <w:jc w:val="center"/>
              <w:rPr>
                <w:rFonts w:hint="eastAsia" w:ascii="Times New Roman" w:hAnsi="Times New Roman" w:cs="Times New Roman" w:eastAsiaTheme="minorEastAsia"/>
                <w:b w:val="0"/>
                <w:color w:val="auto"/>
                <w:w w:val="99"/>
                <w:szCs w:val="21"/>
                <w:highlight w:val="none"/>
              </w:rPr>
            </w:pPr>
            <w:r>
              <w:rPr>
                <w:rFonts w:hint="eastAsia" w:ascii="Times New Roman" w:hAnsi="Times New Roman" w:cs="Times New Roman" w:eastAsiaTheme="minorEastAsia"/>
                <w:b w:val="0"/>
                <w:color w:val="auto"/>
                <w:w w:val="99"/>
                <w:szCs w:val="21"/>
                <w:highlight w:val="none"/>
              </w:rPr>
              <w:t>(</w:t>
            </w:r>
            <w:r>
              <w:rPr>
                <w:rFonts w:hint="eastAsia" w:ascii="Times New Roman" w:hAnsi="Times New Roman" w:cs="Times New Roman" w:eastAsiaTheme="minorEastAsia"/>
                <w:b w:val="0"/>
                <w:color w:val="auto"/>
                <w:w w:val="99"/>
                <w:szCs w:val="21"/>
                <w:highlight w:val="none"/>
                <w:lang w:val="en-US" w:eastAsia="zh-CN"/>
              </w:rPr>
              <w:t>12</w:t>
            </w:r>
            <w:r>
              <w:rPr>
                <w:rFonts w:hint="eastAsia" w:ascii="Times New Roman" w:hAnsi="Times New Roman" w:cs="Times New Roman" w:eastAsiaTheme="minorEastAsia"/>
                <w:b w:val="0"/>
                <w:color w:val="auto"/>
                <w:w w:val="99"/>
                <w:szCs w:val="21"/>
                <w:highlight w:val="none"/>
              </w:rPr>
              <w:t>:00～</w:t>
            </w:r>
            <w:r>
              <w:rPr>
                <w:rFonts w:hint="eastAsia" w:ascii="Times New Roman" w:hAnsi="Times New Roman" w:cs="Times New Roman" w:eastAsiaTheme="minorEastAsia"/>
                <w:b w:val="0"/>
                <w:color w:val="auto"/>
                <w:w w:val="99"/>
                <w:szCs w:val="21"/>
                <w:highlight w:val="none"/>
                <w:lang w:val="en-US" w:eastAsia="zh-CN"/>
              </w:rPr>
              <w:t>12</w:t>
            </w:r>
            <w:r>
              <w:rPr>
                <w:rFonts w:hint="eastAsia" w:ascii="Times New Roman" w:hAnsi="Times New Roman" w:cs="Times New Roman" w:eastAsiaTheme="minorEastAsia"/>
                <w:b w:val="0"/>
                <w:color w:val="auto"/>
                <w:w w:val="99"/>
                <w:szCs w:val="21"/>
                <w:highlight w:val="none"/>
              </w:rPr>
              <w:t>:20)</w:t>
            </w:r>
          </w:p>
        </w:tc>
        <w:tc>
          <w:tcPr>
            <w:tcW w:w="1763" w:type="dxa"/>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szCs w:val="21"/>
                <w:highlight w:val="none"/>
              </w:rPr>
            </w:pPr>
            <w:r>
              <w:rPr>
                <w:rFonts w:hint="eastAsia" w:ascii="Times New Roman" w:hAnsi="Times New Roman" w:cs="Times New Roman" w:eastAsiaTheme="minorEastAsia"/>
                <w:b w:val="0"/>
                <w:color w:val="auto"/>
                <w:w w:val="99"/>
                <w:szCs w:val="21"/>
                <w:highlight w:val="none"/>
              </w:rPr>
              <w:t>夜间</w:t>
            </w:r>
          </w:p>
          <w:p>
            <w:pPr>
              <w:pStyle w:val="140"/>
              <w:adjustRightInd w:val="0"/>
              <w:snapToGrid w:val="0"/>
              <w:spacing w:line="280" w:lineRule="exact"/>
              <w:jc w:val="center"/>
              <w:rPr>
                <w:rFonts w:hint="eastAsia" w:ascii="Times New Roman" w:hAnsi="Times New Roman" w:cs="Times New Roman" w:eastAsiaTheme="minorEastAsia"/>
                <w:b w:val="0"/>
                <w:color w:val="auto"/>
                <w:w w:val="99"/>
                <w:szCs w:val="21"/>
                <w:highlight w:val="none"/>
              </w:rPr>
            </w:pPr>
            <w:r>
              <w:rPr>
                <w:rFonts w:hint="eastAsia" w:ascii="Times New Roman" w:hAnsi="Times New Roman" w:cs="Times New Roman" w:eastAsiaTheme="minorEastAsia"/>
                <w:b w:val="0"/>
                <w:color w:val="auto"/>
                <w:w w:val="99"/>
                <w:szCs w:val="21"/>
                <w:highlight w:val="none"/>
              </w:rPr>
              <w:t>(</w:t>
            </w:r>
            <w:r>
              <w:rPr>
                <w:rFonts w:hint="eastAsia" w:ascii="Times New Roman" w:hAnsi="Times New Roman" w:cs="Times New Roman" w:eastAsiaTheme="minorEastAsia"/>
                <w:b w:val="0"/>
                <w:color w:val="auto"/>
                <w:w w:val="99"/>
                <w:szCs w:val="21"/>
                <w:highlight w:val="none"/>
                <w:lang w:val="en-US" w:eastAsia="zh-CN"/>
              </w:rPr>
              <w:t>02</w:t>
            </w:r>
            <w:r>
              <w:rPr>
                <w:rFonts w:hint="eastAsia" w:ascii="Times New Roman" w:hAnsi="Times New Roman" w:cs="Times New Roman" w:eastAsiaTheme="minorEastAsia"/>
                <w:b w:val="0"/>
                <w:color w:val="auto"/>
                <w:w w:val="99"/>
                <w:szCs w:val="21"/>
                <w:highlight w:val="none"/>
              </w:rPr>
              <w:t>:00～</w:t>
            </w:r>
            <w:r>
              <w:rPr>
                <w:rFonts w:hint="eastAsia" w:ascii="Times New Roman" w:hAnsi="Times New Roman" w:cs="Times New Roman" w:eastAsiaTheme="minorEastAsia"/>
                <w:b w:val="0"/>
                <w:color w:val="auto"/>
                <w:w w:val="99"/>
                <w:szCs w:val="21"/>
                <w:highlight w:val="none"/>
                <w:lang w:val="en-US" w:eastAsia="zh-CN"/>
              </w:rPr>
              <w:t>02</w:t>
            </w:r>
            <w:r>
              <w:rPr>
                <w:rFonts w:hint="eastAsia" w:ascii="Times New Roman" w:hAnsi="Times New Roman" w:cs="Times New Roman" w:eastAsiaTheme="minorEastAsia"/>
                <w:b w:val="0"/>
                <w:color w:val="auto"/>
                <w:w w:val="99"/>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2321" w:type="dxa"/>
            <w:vMerge w:val="restart"/>
            <w:vAlign w:val="center"/>
          </w:tcPr>
          <w:p>
            <w:pPr>
              <w:widowControl w:val="0"/>
              <w:spacing w:line="32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厢房屯</w:t>
            </w:r>
          </w:p>
        </w:tc>
        <w:tc>
          <w:tcPr>
            <w:tcW w:w="1772" w:type="dxa"/>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47.5</w:t>
            </w:r>
          </w:p>
        </w:tc>
        <w:tc>
          <w:tcPr>
            <w:tcW w:w="1763" w:type="dxa"/>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43.2</w:t>
            </w:r>
          </w:p>
        </w:tc>
        <w:tc>
          <w:tcPr>
            <w:tcW w:w="1782" w:type="dxa"/>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47.7</w:t>
            </w:r>
          </w:p>
        </w:tc>
        <w:tc>
          <w:tcPr>
            <w:tcW w:w="1763" w:type="dxa"/>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321" w:type="dxa"/>
            <w:vMerge w:val="restart"/>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监测点位</w:t>
            </w:r>
          </w:p>
        </w:tc>
        <w:tc>
          <w:tcPr>
            <w:tcW w:w="3535" w:type="dxa"/>
            <w:gridSpan w:val="2"/>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2022.01.18</w:t>
            </w:r>
          </w:p>
        </w:tc>
        <w:tc>
          <w:tcPr>
            <w:tcW w:w="3545" w:type="dxa"/>
            <w:gridSpan w:val="2"/>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2022.01.19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321" w:type="dxa"/>
            <w:vMerge w:val="continue"/>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p>
        </w:tc>
        <w:tc>
          <w:tcPr>
            <w:tcW w:w="1772" w:type="dxa"/>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昼间</w:t>
            </w:r>
          </w:p>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(12:30～12:50)</w:t>
            </w:r>
          </w:p>
        </w:tc>
        <w:tc>
          <w:tcPr>
            <w:tcW w:w="1763" w:type="dxa"/>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夜间</w:t>
            </w:r>
          </w:p>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(02:30～02:50)</w:t>
            </w:r>
          </w:p>
        </w:tc>
        <w:tc>
          <w:tcPr>
            <w:tcW w:w="1782" w:type="dxa"/>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昼间</w:t>
            </w:r>
          </w:p>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(12:30～12:50)</w:t>
            </w:r>
          </w:p>
        </w:tc>
        <w:tc>
          <w:tcPr>
            <w:tcW w:w="1763" w:type="dxa"/>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夜间</w:t>
            </w:r>
          </w:p>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(02:30～02:50)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2321" w:type="dxa"/>
            <w:vMerge w:val="restart"/>
            <w:vAlign w:val="center"/>
          </w:tcPr>
          <w:p>
            <w:pPr>
              <w:widowControl w:val="0"/>
              <w:spacing w:line="32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后永利村</w:t>
            </w:r>
          </w:p>
        </w:tc>
        <w:tc>
          <w:tcPr>
            <w:tcW w:w="1772" w:type="dxa"/>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49.4</w:t>
            </w:r>
          </w:p>
        </w:tc>
        <w:tc>
          <w:tcPr>
            <w:tcW w:w="1763" w:type="dxa"/>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43.3</w:t>
            </w:r>
          </w:p>
        </w:tc>
        <w:tc>
          <w:tcPr>
            <w:tcW w:w="1782" w:type="dxa"/>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49.5</w:t>
            </w:r>
          </w:p>
        </w:tc>
        <w:tc>
          <w:tcPr>
            <w:tcW w:w="1763" w:type="dxa"/>
            <w:vAlign w:val="center"/>
          </w:tcPr>
          <w:p>
            <w:pPr>
              <w:pStyle w:val="140"/>
              <w:tabs>
                <w:tab w:val="left" w:pos="420"/>
              </w:tabs>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2321" w:type="dxa"/>
            <w:vMerge w:val="restart"/>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监测点位</w:t>
            </w:r>
          </w:p>
        </w:tc>
        <w:tc>
          <w:tcPr>
            <w:tcW w:w="3535" w:type="dxa"/>
            <w:gridSpan w:val="2"/>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2022.01.18</w:t>
            </w:r>
          </w:p>
        </w:tc>
        <w:tc>
          <w:tcPr>
            <w:tcW w:w="3545" w:type="dxa"/>
            <w:gridSpan w:val="2"/>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2022.01.19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2321" w:type="dxa"/>
            <w:vMerge w:val="continue"/>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p>
        </w:tc>
        <w:tc>
          <w:tcPr>
            <w:tcW w:w="1772" w:type="dxa"/>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昼间</w:t>
            </w:r>
          </w:p>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(13:00～13:20)</w:t>
            </w:r>
          </w:p>
        </w:tc>
        <w:tc>
          <w:tcPr>
            <w:tcW w:w="1763" w:type="dxa"/>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夜间</w:t>
            </w:r>
          </w:p>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(03:00～03:20)</w:t>
            </w:r>
          </w:p>
        </w:tc>
        <w:tc>
          <w:tcPr>
            <w:tcW w:w="1782" w:type="dxa"/>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昼间</w:t>
            </w:r>
          </w:p>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(13:00～13:20)</w:t>
            </w:r>
          </w:p>
        </w:tc>
        <w:tc>
          <w:tcPr>
            <w:tcW w:w="1763" w:type="dxa"/>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夜间</w:t>
            </w:r>
          </w:p>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(03:00～03:20)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2321" w:type="dxa"/>
            <w:vMerge w:val="restart"/>
            <w:vAlign w:val="center"/>
          </w:tcPr>
          <w:p>
            <w:pPr>
              <w:widowControl w:val="0"/>
              <w:spacing w:line="32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三胜村</w:t>
            </w:r>
          </w:p>
        </w:tc>
        <w:tc>
          <w:tcPr>
            <w:tcW w:w="1772" w:type="dxa"/>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50.5</w:t>
            </w:r>
          </w:p>
        </w:tc>
        <w:tc>
          <w:tcPr>
            <w:tcW w:w="1763" w:type="dxa"/>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42.7</w:t>
            </w:r>
          </w:p>
        </w:tc>
        <w:tc>
          <w:tcPr>
            <w:tcW w:w="1782" w:type="dxa"/>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50.8</w:t>
            </w:r>
          </w:p>
        </w:tc>
        <w:tc>
          <w:tcPr>
            <w:tcW w:w="1763" w:type="dxa"/>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2321" w:type="dxa"/>
            <w:vMerge w:val="restart"/>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监测点位</w:t>
            </w:r>
          </w:p>
        </w:tc>
        <w:tc>
          <w:tcPr>
            <w:tcW w:w="3535" w:type="dxa"/>
            <w:gridSpan w:val="2"/>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2022.01.18</w:t>
            </w:r>
          </w:p>
        </w:tc>
        <w:tc>
          <w:tcPr>
            <w:tcW w:w="3545" w:type="dxa"/>
            <w:gridSpan w:val="2"/>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2022.01.19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2321" w:type="dxa"/>
            <w:vMerge w:val="continue"/>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p>
        </w:tc>
        <w:tc>
          <w:tcPr>
            <w:tcW w:w="1772" w:type="dxa"/>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昼间</w:t>
            </w:r>
          </w:p>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(13:30～13:50)</w:t>
            </w:r>
          </w:p>
        </w:tc>
        <w:tc>
          <w:tcPr>
            <w:tcW w:w="1763" w:type="dxa"/>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夜间</w:t>
            </w:r>
          </w:p>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(03:30～03:50)</w:t>
            </w:r>
          </w:p>
        </w:tc>
        <w:tc>
          <w:tcPr>
            <w:tcW w:w="1782" w:type="dxa"/>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昼间</w:t>
            </w:r>
          </w:p>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(13:30～13:50)</w:t>
            </w:r>
          </w:p>
        </w:tc>
        <w:tc>
          <w:tcPr>
            <w:tcW w:w="1763" w:type="dxa"/>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夜间</w:t>
            </w:r>
          </w:p>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(03:30～03:50)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2321" w:type="dxa"/>
            <w:vAlign w:val="center"/>
          </w:tcPr>
          <w:p>
            <w:pPr>
              <w:widowControl w:val="0"/>
              <w:spacing w:line="32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后仓粮</w:t>
            </w:r>
          </w:p>
        </w:tc>
        <w:tc>
          <w:tcPr>
            <w:tcW w:w="1772" w:type="dxa"/>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48.7</w:t>
            </w:r>
          </w:p>
        </w:tc>
        <w:tc>
          <w:tcPr>
            <w:tcW w:w="1763" w:type="dxa"/>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44.1</w:t>
            </w:r>
          </w:p>
        </w:tc>
        <w:tc>
          <w:tcPr>
            <w:tcW w:w="1782" w:type="dxa"/>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48.5</w:t>
            </w:r>
          </w:p>
        </w:tc>
        <w:tc>
          <w:tcPr>
            <w:tcW w:w="1763" w:type="dxa"/>
            <w:vAlign w:val="center"/>
          </w:tcPr>
          <w:p>
            <w:pPr>
              <w:pStyle w:val="140"/>
              <w:adjustRightInd w:val="0"/>
              <w:snapToGrid w:val="0"/>
              <w:spacing w:line="280" w:lineRule="exact"/>
              <w:jc w:val="center"/>
              <w:rPr>
                <w:rFonts w:hint="eastAsia" w:ascii="Times New Roman" w:hAnsi="Times New Roman" w:cs="Times New Roman" w:eastAsiaTheme="minorEastAsia"/>
                <w:b w:val="0"/>
                <w:color w:val="auto"/>
                <w:w w:val="99"/>
                <w:kern w:val="2"/>
                <w:sz w:val="21"/>
                <w:szCs w:val="21"/>
                <w:highlight w:val="none"/>
                <w:lang w:val="en-US" w:eastAsia="zh-CN" w:bidi="ar-SA"/>
              </w:rPr>
            </w:pPr>
            <w:r>
              <w:rPr>
                <w:rFonts w:hint="eastAsia" w:ascii="Times New Roman" w:hAnsi="Times New Roman" w:cs="Times New Roman" w:eastAsiaTheme="minorEastAsia"/>
                <w:b w:val="0"/>
                <w:color w:val="auto"/>
                <w:w w:val="99"/>
                <w:kern w:val="2"/>
                <w:sz w:val="21"/>
                <w:szCs w:val="21"/>
                <w:highlight w:val="none"/>
                <w:lang w:val="en-US" w:eastAsia="zh-CN" w:bidi="ar-SA"/>
              </w:rPr>
              <w:t>44.2</w:t>
            </w:r>
          </w:p>
        </w:tc>
      </w:tr>
    </w:tbl>
    <w:p>
      <w:pPr>
        <w:pStyle w:val="109"/>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4.3.4.2声环境质量现状评价</w:t>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（1）评价标准</w:t>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根据建设项目区域声环境功能区划，建设项目井场外1m外声环境执行《声环境质量标准》（GB3096-2008）2类标准</w:t>
      </w:r>
      <w:r>
        <w:rPr>
          <w:rFonts w:hint="eastAsia" w:ascii="Times New Roman" w:hAnsi="Times New Roman" w:cs="Times New Roman" w:eastAsiaTheme="minorEastAsia"/>
          <w:color w:val="auto"/>
          <w:w w:val="99"/>
          <w:highlight w:val="none"/>
        </w:rPr>
        <w:t>，</w:t>
      </w:r>
      <w:r>
        <w:rPr>
          <w:rFonts w:ascii="Times New Roman" w:hAnsi="Times New Roman" w:cs="Times New Roman" w:eastAsiaTheme="minorEastAsia"/>
          <w:color w:val="auto"/>
          <w:w w:val="99"/>
          <w:kern w:val="2"/>
          <w:highlight w:val="none"/>
        </w:rPr>
        <w:t>开发区域周边村屯执行《声环境质量标准》（GB3096-2008）中的1类区标准</w:t>
      </w:r>
      <w:r>
        <w:rPr>
          <w:rFonts w:ascii="Times New Roman" w:hAnsi="Times New Roman" w:cs="Times New Roman" w:eastAsiaTheme="minorEastAsia"/>
          <w:color w:val="auto"/>
          <w:w w:val="99"/>
          <w:highlight w:val="none"/>
        </w:rPr>
        <w:t>。</w:t>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（2）评价方法</w:t>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声环境质量现状评价采用对标法进行评价。</w:t>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（3）评价结论</w:t>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由建设项目区域声环境质量现状监测结果与执行评价标准限值对比分析可知，建设项目区域声环境质量满足《声环境质量标准》（GB3096-2008）2类标准</w:t>
      </w:r>
      <w:r>
        <w:rPr>
          <w:rFonts w:hint="eastAsia" w:ascii="Times New Roman" w:hAnsi="Times New Roman" w:cs="Times New Roman" w:eastAsiaTheme="minorEastAsia"/>
          <w:color w:val="auto"/>
          <w:w w:val="99"/>
          <w:highlight w:val="none"/>
        </w:rPr>
        <w:t>，</w:t>
      </w:r>
      <w:r>
        <w:rPr>
          <w:rFonts w:ascii="Times New Roman" w:hAnsi="Times New Roman" w:cs="Times New Roman" w:eastAsiaTheme="minorEastAsia"/>
          <w:color w:val="auto"/>
          <w:w w:val="99"/>
          <w:kern w:val="2"/>
          <w:highlight w:val="none"/>
        </w:rPr>
        <w:t>周边村屯</w:t>
      </w:r>
      <w:r>
        <w:rPr>
          <w:rFonts w:hint="eastAsia" w:ascii="Times New Roman" w:hAnsi="Times New Roman" w:cs="Times New Roman" w:eastAsiaTheme="minorEastAsia"/>
          <w:color w:val="auto"/>
          <w:w w:val="99"/>
          <w:kern w:val="2"/>
          <w:highlight w:val="none"/>
        </w:rPr>
        <w:t>声环境满足</w:t>
      </w:r>
      <w:r>
        <w:rPr>
          <w:rFonts w:ascii="Times New Roman" w:hAnsi="Times New Roman" w:cs="Times New Roman" w:eastAsiaTheme="minorEastAsia"/>
          <w:color w:val="auto"/>
          <w:w w:val="99"/>
          <w:kern w:val="2"/>
          <w:highlight w:val="none"/>
        </w:rPr>
        <w:t>《声环境质量标准》（GB3096-2008）中的1类区标准</w:t>
      </w:r>
      <w:r>
        <w:rPr>
          <w:rFonts w:ascii="Times New Roman" w:hAnsi="Times New Roman" w:cs="Times New Roman" w:eastAsiaTheme="minorEastAsia"/>
          <w:color w:val="auto"/>
          <w:w w:val="99"/>
          <w:highlight w:val="none"/>
        </w:rPr>
        <w:t>。</w:t>
      </w:r>
    </w:p>
    <w:p>
      <w:pPr>
        <w:pStyle w:val="7"/>
        <w:keepNext w:val="0"/>
        <w:keepLines w:val="0"/>
        <w:jc w:val="both"/>
        <w:rPr>
          <w:b/>
          <w:color w:val="auto"/>
          <w:w w:val="99"/>
          <w:kern w:val="2"/>
          <w:sz w:val="24"/>
          <w:szCs w:val="24"/>
          <w:highlight w:val="none"/>
        </w:rPr>
      </w:pPr>
      <w:bookmarkStart w:id="799" w:name="_Toc57976710"/>
      <w:bookmarkStart w:id="800" w:name="_Toc57203288"/>
      <w:bookmarkStart w:id="801" w:name="_Toc71371997"/>
      <w:bookmarkStart w:id="802" w:name="_Toc38296426"/>
      <w:bookmarkStart w:id="803" w:name="_Toc74812374"/>
      <w:bookmarkStart w:id="804" w:name="_Toc41655203"/>
      <w:bookmarkStart w:id="805" w:name="_Toc57707958"/>
      <w:bookmarkStart w:id="806" w:name="_Toc61597274"/>
      <w:bookmarkStart w:id="807" w:name="_Toc34124487"/>
      <w:bookmarkStart w:id="808" w:name="_Toc69690863"/>
      <w:bookmarkStart w:id="809" w:name="_Toc80105203"/>
      <w:bookmarkStart w:id="810" w:name="_Toc29643953"/>
      <w:bookmarkStart w:id="811" w:name="_Toc29644705"/>
      <w:bookmarkStart w:id="812" w:name="_Toc74812135"/>
      <w:bookmarkStart w:id="813" w:name="_Toc29642921"/>
      <w:bookmarkStart w:id="814" w:name="_Toc1114"/>
      <w:bookmarkStart w:id="815" w:name="_Toc67523645"/>
      <w:bookmarkStart w:id="816" w:name="_Toc77667347"/>
      <w:bookmarkStart w:id="817" w:name="_Toc38545059"/>
      <w:r>
        <w:rPr>
          <w:b/>
          <w:color w:val="auto"/>
          <w:w w:val="99"/>
          <w:kern w:val="2"/>
          <w:sz w:val="24"/>
          <w:szCs w:val="24"/>
          <w:highlight w:val="none"/>
        </w:rPr>
        <w:t>4.3.5土壤质量现状监测与评价</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4.3.5.1土壤理化特性调查</w:t>
      </w:r>
    </w:p>
    <w:p>
      <w:pPr>
        <w:spacing w:line="500" w:lineRule="exact"/>
        <w:ind w:firstLine="480"/>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在充分收集资料的基础上，根据土壤环境影响类型、建设项目特征与评价需要，有针对性地选择土壤理化特性调查内容，主要包括土体构型、土壤结构、土壤质地、阳离子交换量、氧化还原电位、饱和导水率、土壤容重、孔隙度、植被、地下水位埋深、地下水溶解性总固体等，具体土壤理化特性调查见表4.3-</w:t>
      </w:r>
      <w:r>
        <w:rPr>
          <w:rFonts w:hint="eastAsia" w:ascii="Times New Roman" w:hAnsi="Times New Roman" w:cs="Times New Roman" w:eastAsiaTheme="minorEastAsia"/>
          <w:color w:val="auto"/>
          <w:w w:val="99"/>
          <w:szCs w:val="20"/>
          <w:highlight w:val="none"/>
          <w:lang w:val="en-US" w:eastAsia="zh-CN"/>
        </w:rPr>
        <w:t>20</w:t>
      </w:r>
      <w:r>
        <w:rPr>
          <w:rFonts w:ascii="Times New Roman" w:hAnsi="Times New Roman" w:cs="Times New Roman" w:eastAsiaTheme="minorEastAsia"/>
          <w:color w:val="auto"/>
          <w:w w:val="99"/>
          <w:szCs w:val="20"/>
          <w:highlight w:val="none"/>
        </w:rPr>
        <w:t>，区域内土壤构型（土壤剖面）见表4.3-</w:t>
      </w:r>
      <w:r>
        <w:rPr>
          <w:rFonts w:hint="eastAsia" w:ascii="Times New Roman" w:hAnsi="Times New Roman" w:cs="Times New Roman" w:eastAsiaTheme="minorEastAsia"/>
          <w:color w:val="auto"/>
          <w:w w:val="99"/>
          <w:szCs w:val="20"/>
          <w:highlight w:val="none"/>
          <w:lang w:val="en-US" w:eastAsia="zh-CN"/>
        </w:rPr>
        <w:t>21</w:t>
      </w:r>
      <w:r>
        <w:rPr>
          <w:rFonts w:ascii="Times New Roman" w:hAnsi="Times New Roman" w:cs="Times New Roman" w:eastAsiaTheme="minorEastAsia"/>
          <w:color w:val="auto"/>
          <w:w w:val="99"/>
          <w:szCs w:val="20"/>
          <w:highlight w:val="none"/>
        </w:rPr>
        <w:t>。</w:t>
      </w:r>
    </w:p>
    <w:p>
      <w:pPr>
        <w:spacing w:line="500" w:lineRule="exact"/>
        <w:ind w:firstLine="476" w:firstLineChars="200"/>
        <w:jc w:val="both"/>
        <w:rPr>
          <w:rFonts w:ascii="Times New Roman" w:hAnsi="Times New Roman" w:cs="Times New Roman" w:eastAsiaTheme="minorEastAsia"/>
          <w:b/>
          <w:bCs/>
          <w:color w:val="auto"/>
          <w:w w:val="99"/>
          <w:szCs w:val="20"/>
          <w:highlight w:val="none"/>
        </w:rPr>
      </w:pPr>
      <w:r>
        <w:rPr>
          <w:rFonts w:ascii="Times New Roman" w:hAnsi="Times New Roman" w:cs="Times New Roman" w:eastAsiaTheme="minorEastAsia"/>
          <w:b/>
          <w:bCs/>
          <w:color w:val="auto"/>
          <w:w w:val="99"/>
          <w:szCs w:val="20"/>
          <w:highlight w:val="none"/>
        </w:rPr>
        <w:t>表4.3-</w:t>
      </w:r>
      <w:r>
        <w:rPr>
          <w:rFonts w:hint="eastAsia" w:ascii="Times New Roman" w:hAnsi="Times New Roman" w:cs="Times New Roman" w:eastAsiaTheme="minorEastAsia"/>
          <w:b/>
          <w:bCs/>
          <w:color w:val="auto"/>
          <w:w w:val="99"/>
          <w:szCs w:val="20"/>
          <w:highlight w:val="none"/>
          <w:lang w:val="en-US" w:eastAsia="zh-CN"/>
        </w:rPr>
        <w:t>20</w:t>
      </w:r>
      <w:r>
        <w:rPr>
          <w:rFonts w:ascii="Times New Roman" w:hAnsi="Times New Roman" w:cs="Times New Roman" w:eastAsiaTheme="minorEastAsia"/>
          <w:b/>
          <w:bCs/>
          <w:color w:val="auto"/>
          <w:w w:val="99"/>
          <w:szCs w:val="20"/>
          <w:highlight w:val="none"/>
        </w:rPr>
        <w:t xml:space="preserve">    </w:t>
      </w:r>
      <w:r>
        <w:rPr>
          <w:rFonts w:ascii="Times New Roman" w:hAnsi="Times New Roman" w:cs="Times New Roman" w:eastAsiaTheme="minorEastAsia"/>
          <w:b/>
          <w:bCs/>
          <w:color w:val="auto"/>
          <w:w w:val="99"/>
          <w:kern w:val="21"/>
          <w:highlight w:val="none"/>
        </w:rPr>
        <w:t xml:space="preserve">               </w:t>
      </w:r>
      <w:r>
        <w:rPr>
          <w:rFonts w:ascii="Times New Roman" w:hAnsi="Times New Roman" w:cs="Times New Roman" w:eastAsiaTheme="minorEastAsia"/>
          <w:b/>
          <w:bCs/>
          <w:color w:val="auto"/>
          <w:w w:val="99"/>
          <w:szCs w:val="20"/>
          <w:highlight w:val="none"/>
        </w:rPr>
        <w:t>土壤理化特性调查</w:t>
      </w:r>
    </w:p>
    <w:tbl>
      <w:tblPr>
        <w:tblStyle w:val="82"/>
        <w:tblW w:w="8919" w:type="dxa"/>
        <w:tblInd w:w="108"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67"/>
        <w:gridCol w:w="2256"/>
        <w:gridCol w:w="1864"/>
        <w:gridCol w:w="1864"/>
        <w:gridCol w:w="186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7" w:hRule="atLeast"/>
        </w:trPr>
        <w:tc>
          <w:tcPr>
            <w:tcW w:w="3323" w:type="dxa"/>
            <w:gridSpan w:val="2"/>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时间</w:t>
            </w:r>
          </w:p>
        </w:tc>
        <w:tc>
          <w:tcPr>
            <w:tcW w:w="5596" w:type="dxa"/>
            <w:gridSpan w:val="3"/>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202</w:t>
            </w:r>
            <w:r>
              <w:rPr>
                <w:rFonts w:hint="eastAsia" w:ascii="Times New Roman" w:hAnsi="Times New Roman" w:cs="Times New Roman" w:eastAsiaTheme="minorEastAsia"/>
                <w:color w:val="auto"/>
                <w:w w:val="99"/>
                <w:kern w:val="2"/>
                <w:sz w:val="21"/>
                <w:szCs w:val="21"/>
                <w:highlight w:val="none"/>
                <w:lang w:val="en-US" w:eastAsia="zh-CN"/>
              </w:rPr>
              <w:t>2.01.18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3323" w:type="dxa"/>
            <w:gridSpan w:val="2"/>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点号</w:t>
            </w:r>
          </w:p>
        </w:tc>
        <w:tc>
          <w:tcPr>
            <w:tcW w:w="5596" w:type="dxa"/>
            <w:gridSpan w:val="3"/>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拟钻源232-136井场永久占地内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8" w:hRule="atLeast"/>
        </w:trPr>
        <w:tc>
          <w:tcPr>
            <w:tcW w:w="3323" w:type="dxa"/>
            <w:gridSpan w:val="2"/>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经纬度</w:t>
            </w:r>
          </w:p>
        </w:tc>
        <w:tc>
          <w:tcPr>
            <w:tcW w:w="5596" w:type="dxa"/>
            <w:gridSpan w:val="3"/>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125.01059532,45.57037312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3323" w:type="dxa"/>
            <w:gridSpan w:val="2"/>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层次</w:t>
            </w:r>
          </w:p>
        </w:tc>
        <w:tc>
          <w:tcPr>
            <w:tcW w:w="1864"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0-50cm</w:t>
            </w:r>
          </w:p>
        </w:tc>
        <w:tc>
          <w:tcPr>
            <w:tcW w:w="1864"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50-150cm</w:t>
            </w:r>
          </w:p>
        </w:tc>
        <w:tc>
          <w:tcPr>
            <w:tcW w:w="1868"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150-300cm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restart"/>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p>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现场记录</w:t>
            </w:r>
          </w:p>
        </w:tc>
        <w:tc>
          <w:tcPr>
            <w:tcW w:w="2256"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颜色</w:t>
            </w:r>
          </w:p>
        </w:tc>
        <w:tc>
          <w:tcPr>
            <w:tcW w:w="1864"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eastAsia="zh-CN"/>
              </w:rPr>
              <w:t>黄</w:t>
            </w:r>
            <w:r>
              <w:rPr>
                <w:rFonts w:hint="eastAsia" w:ascii="Times New Roman" w:hAnsi="Times New Roman" w:cs="Times New Roman" w:eastAsiaTheme="minorEastAsia"/>
                <w:color w:val="auto"/>
                <w:w w:val="99"/>
                <w:kern w:val="2"/>
                <w:sz w:val="21"/>
                <w:szCs w:val="21"/>
                <w:highlight w:val="none"/>
              </w:rPr>
              <w:t>色</w:t>
            </w:r>
          </w:p>
        </w:tc>
        <w:tc>
          <w:tcPr>
            <w:tcW w:w="1864"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eastAsia="zh-CN"/>
              </w:rPr>
              <w:t>黄</w:t>
            </w:r>
            <w:r>
              <w:rPr>
                <w:rFonts w:hint="eastAsia" w:ascii="Times New Roman" w:hAnsi="Times New Roman" w:cs="Times New Roman" w:eastAsiaTheme="minorEastAsia"/>
                <w:color w:val="auto"/>
                <w:w w:val="99"/>
                <w:kern w:val="2"/>
                <w:sz w:val="21"/>
                <w:szCs w:val="21"/>
                <w:highlight w:val="none"/>
              </w:rPr>
              <w:t>色</w:t>
            </w:r>
          </w:p>
        </w:tc>
        <w:tc>
          <w:tcPr>
            <w:tcW w:w="1868"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eastAsia="zh-CN"/>
              </w:rPr>
              <w:t>黄</w:t>
            </w:r>
            <w:r>
              <w:rPr>
                <w:rFonts w:hint="eastAsia" w:ascii="Times New Roman" w:hAnsi="Times New Roman" w:cs="Times New Roman" w:eastAsiaTheme="minorEastAsia"/>
                <w:color w:val="auto"/>
                <w:w w:val="99"/>
                <w:kern w:val="2"/>
                <w:sz w:val="21"/>
                <w:szCs w:val="21"/>
                <w:highlight w:val="none"/>
              </w:rPr>
              <w:t>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continue"/>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结构</w:t>
            </w:r>
          </w:p>
        </w:tc>
        <w:tc>
          <w:tcPr>
            <w:tcW w:w="1864"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eastAsia="zh-CN"/>
              </w:rPr>
              <w:t>块</w:t>
            </w:r>
            <w:r>
              <w:rPr>
                <w:rFonts w:hint="eastAsia" w:ascii="Times New Roman" w:hAnsi="Times New Roman" w:cs="Times New Roman" w:eastAsiaTheme="minorEastAsia"/>
                <w:color w:val="auto"/>
                <w:w w:val="99"/>
                <w:kern w:val="2"/>
                <w:sz w:val="21"/>
                <w:szCs w:val="21"/>
                <w:highlight w:val="none"/>
              </w:rPr>
              <w:t>状</w:t>
            </w:r>
          </w:p>
        </w:tc>
        <w:tc>
          <w:tcPr>
            <w:tcW w:w="1864"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面状</w:t>
            </w:r>
          </w:p>
        </w:tc>
        <w:tc>
          <w:tcPr>
            <w:tcW w:w="1868"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面状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continue"/>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质地</w:t>
            </w:r>
          </w:p>
        </w:tc>
        <w:tc>
          <w:tcPr>
            <w:tcW w:w="1864"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壤土</w:t>
            </w:r>
          </w:p>
        </w:tc>
        <w:tc>
          <w:tcPr>
            <w:tcW w:w="1864"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壤土</w:t>
            </w:r>
          </w:p>
        </w:tc>
        <w:tc>
          <w:tcPr>
            <w:tcW w:w="1868"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壤土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continue"/>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砂砾含量</w:t>
            </w:r>
          </w:p>
        </w:tc>
        <w:tc>
          <w:tcPr>
            <w:tcW w:w="1864"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25～45%</w:t>
            </w:r>
          </w:p>
        </w:tc>
        <w:tc>
          <w:tcPr>
            <w:tcW w:w="1864"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25～45%</w:t>
            </w:r>
          </w:p>
        </w:tc>
        <w:tc>
          <w:tcPr>
            <w:tcW w:w="1868"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25～45%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continue"/>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其他异物</w:t>
            </w:r>
          </w:p>
        </w:tc>
        <w:tc>
          <w:tcPr>
            <w:tcW w:w="1864"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植物根系</w:t>
            </w:r>
          </w:p>
        </w:tc>
        <w:tc>
          <w:tcPr>
            <w:tcW w:w="1864"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w:t>
            </w:r>
          </w:p>
        </w:tc>
        <w:tc>
          <w:tcPr>
            <w:tcW w:w="1868"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restart"/>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p>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实验室测定</w:t>
            </w:r>
          </w:p>
        </w:tc>
        <w:tc>
          <w:tcPr>
            <w:tcW w:w="2256"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pH 值</w:t>
            </w:r>
          </w:p>
        </w:tc>
        <w:tc>
          <w:tcPr>
            <w:tcW w:w="1864"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7.79</w:t>
            </w:r>
          </w:p>
        </w:tc>
        <w:tc>
          <w:tcPr>
            <w:tcW w:w="1864"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8.14</w:t>
            </w:r>
          </w:p>
        </w:tc>
        <w:tc>
          <w:tcPr>
            <w:tcW w:w="1868"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8.09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8" w:hRule="atLeast"/>
        </w:trPr>
        <w:tc>
          <w:tcPr>
            <w:tcW w:w="1067" w:type="dxa"/>
            <w:vMerge w:val="continue"/>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阳离子交换量(cmol+/kg)</w:t>
            </w:r>
          </w:p>
        </w:tc>
        <w:tc>
          <w:tcPr>
            <w:tcW w:w="1864"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12.1</w:t>
            </w:r>
          </w:p>
        </w:tc>
        <w:tc>
          <w:tcPr>
            <w:tcW w:w="1864"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11.8</w:t>
            </w:r>
          </w:p>
        </w:tc>
        <w:tc>
          <w:tcPr>
            <w:tcW w:w="1868"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13.0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continue"/>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氧化还原电位（mv）</w:t>
            </w:r>
          </w:p>
        </w:tc>
        <w:tc>
          <w:tcPr>
            <w:tcW w:w="1864"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196</w:t>
            </w:r>
          </w:p>
        </w:tc>
        <w:tc>
          <w:tcPr>
            <w:tcW w:w="1864"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201</w:t>
            </w:r>
          </w:p>
        </w:tc>
        <w:tc>
          <w:tcPr>
            <w:tcW w:w="1868"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183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7" w:hRule="atLeast"/>
        </w:trPr>
        <w:tc>
          <w:tcPr>
            <w:tcW w:w="1067" w:type="dxa"/>
            <w:vMerge w:val="continue"/>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饱和导水率(mmm/min)</w:t>
            </w:r>
          </w:p>
        </w:tc>
        <w:tc>
          <w:tcPr>
            <w:tcW w:w="1864"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1.012</w:t>
            </w:r>
          </w:p>
        </w:tc>
        <w:tc>
          <w:tcPr>
            <w:tcW w:w="1864"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0.919</w:t>
            </w:r>
          </w:p>
        </w:tc>
        <w:tc>
          <w:tcPr>
            <w:tcW w:w="1868"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0.975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8" w:hRule="atLeast"/>
        </w:trPr>
        <w:tc>
          <w:tcPr>
            <w:tcW w:w="1067" w:type="dxa"/>
            <w:vMerge w:val="continue"/>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土壤容重 (g/cm</w:t>
            </w:r>
            <w:r>
              <w:rPr>
                <w:rFonts w:hint="eastAsia" w:ascii="Times New Roman" w:hAnsi="Times New Roman" w:cs="Times New Roman" w:eastAsiaTheme="minorEastAsia"/>
                <w:color w:val="auto"/>
                <w:w w:val="99"/>
                <w:kern w:val="2"/>
                <w:sz w:val="21"/>
                <w:szCs w:val="21"/>
                <w:highlight w:val="none"/>
                <w:vertAlign w:val="superscript"/>
              </w:rPr>
              <w:t>3</w:t>
            </w:r>
            <w:r>
              <w:rPr>
                <w:rFonts w:hint="eastAsia" w:ascii="Times New Roman" w:hAnsi="Times New Roman" w:cs="Times New Roman" w:eastAsiaTheme="minorEastAsia"/>
                <w:color w:val="auto"/>
                <w:w w:val="99"/>
                <w:kern w:val="2"/>
                <w:sz w:val="21"/>
                <w:szCs w:val="21"/>
                <w:highlight w:val="none"/>
              </w:rPr>
              <w:t>)</w:t>
            </w:r>
          </w:p>
        </w:tc>
        <w:tc>
          <w:tcPr>
            <w:tcW w:w="1864"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1.39</w:t>
            </w:r>
          </w:p>
        </w:tc>
        <w:tc>
          <w:tcPr>
            <w:tcW w:w="1864"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1.34</w:t>
            </w:r>
          </w:p>
        </w:tc>
        <w:tc>
          <w:tcPr>
            <w:tcW w:w="1868"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1.32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continue"/>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孔隙度(%)</w:t>
            </w:r>
          </w:p>
        </w:tc>
        <w:tc>
          <w:tcPr>
            <w:tcW w:w="1864"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47.5</w:t>
            </w:r>
          </w:p>
        </w:tc>
        <w:tc>
          <w:tcPr>
            <w:tcW w:w="1864"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49.4</w:t>
            </w:r>
          </w:p>
        </w:tc>
        <w:tc>
          <w:tcPr>
            <w:tcW w:w="1868"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50.2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95" w:hRule="atLeast"/>
        </w:trPr>
        <w:tc>
          <w:tcPr>
            <w:tcW w:w="3323" w:type="dxa"/>
            <w:gridSpan w:val="2"/>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点号</w:t>
            </w:r>
          </w:p>
        </w:tc>
        <w:tc>
          <w:tcPr>
            <w:tcW w:w="5596" w:type="dxa"/>
            <w:gridSpan w:val="3"/>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w:t>
            </w:r>
            <w:r>
              <w:rPr>
                <w:rFonts w:hint="eastAsia" w:ascii="Times New Roman" w:hAnsi="Times New Roman" w:cs="Times New Roman" w:eastAsiaTheme="minorEastAsia"/>
                <w:color w:val="auto"/>
                <w:w w:val="99"/>
                <w:kern w:val="2"/>
                <w:sz w:val="21"/>
                <w:szCs w:val="21"/>
                <w:highlight w:val="none"/>
                <w:lang w:eastAsia="zh-CN"/>
              </w:rPr>
              <w:t>源288-114西南侧200m</w:t>
            </w:r>
            <w:r>
              <w:rPr>
                <w:rFonts w:hint="eastAsia" w:ascii="Times New Roman" w:hAnsi="Times New Roman" w:cs="Times New Roman" w:eastAsiaTheme="minorEastAsia"/>
                <w:color w:val="auto"/>
                <w:w w:val="99"/>
                <w:kern w:val="2"/>
                <w:sz w:val="21"/>
                <w:szCs w:val="21"/>
                <w:highlight w:val="none"/>
              </w:rPr>
              <w:t>处耕地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95" w:hRule="atLeast"/>
        </w:trPr>
        <w:tc>
          <w:tcPr>
            <w:tcW w:w="3323" w:type="dxa"/>
            <w:gridSpan w:val="2"/>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经纬度</w:t>
            </w:r>
          </w:p>
        </w:tc>
        <w:tc>
          <w:tcPr>
            <w:tcW w:w="5596" w:type="dxa"/>
            <w:gridSpan w:val="3"/>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124.98089790,45.55889585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3323" w:type="dxa"/>
            <w:gridSpan w:val="2"/>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层次</w:t>
            </w:r>
          </w:p>
        </w:tc>
        <w:tc>
          <w:tcPr>
            <w:tcW w:w="5596" w:type="dxa"/>
            <w:gridSpan w:val="3"/>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w:t>
            </w:r>
            <w:r>
              <w:rPr>
                <w:rFonts w:hint="eastAsia" w:ascii="Times New Roman" w:hAnsi="Times New Roman" w:cs="Times New Roman" w:eastAsiaTheme="minorEastAsia"/>
                <w:color w:val="auto"/>
                <w:w w:val="99"/>
                <w:kern w:val="2"/>
                <w:sz w:val="21"/>
                <w:szCs w:val="21"/>
                <w:highlight w:val="none"/>
                <w:lang w:val="en-US" w:eastAsia="zh-CN"/>
              </w:rPr>
              <w:t>2</w:t>
            </w:r>
            <w:r>
              <w:rPr>
                <w:rFonts w:hint="eastAsia" w:ascii="Times New Roman" w:hAnsi="Times New Roman" w:cs="Times New Roman" w:eastAsiaTheme="minorEastAsia"/>
                <w:color w:val="auto"/>
                <w:w w:val="99"/>
                <w:kern w:val="2"/>
                <w:sz w:val="21"/>
                <w:szCs w:val="21"/>
                <w:highlight w:val="none"/>
              </w:rPr>
              <w:t>0cm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restart"/>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p>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现场记录</w:t>
            </w:r>
          </w:p>
        </w:tc>
        <w:tc>
          <w:tcPr>
            <w:tcW w:w="2256"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颜色</w:t>
            </w:r>
          </w:p>
        </w:tc>
        <w:tc>
          <w:tcPr>
            <w:tcW w:w="5596" w:type="dxa"/>
            <w:gridSpan w:val="3"/>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eastAsia="zh-CN"/>
              </w:rPr>
              <w:t>褐</w:t>
            </w:r>
            <w:r>
              <w:rPr>
                <w:rFonts w:hint="eastAsia" w:ascii="Times New Roman" w:hAnsi="Times New Roman" w:cs="Times New Roman" w:eastAsiaTheme="minorEastAsia"/>
                <w:color w:val="auto"/>
                <w:w w:val="99"/>
                <w:kern w:val="2"/>
                <w:sz w:val="21"/>
                <w:szCs w:val="21"/>
                <w:highlight w:val="none"/>
              </w:rPr>
              <w:t>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continue"/>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结构</w:t>
            </w:r>
          </w:p>
        </w:tc>
        <w:tc>
          <w:tcPr>
            <w:tcW w:w="5596" w:type="dxa"/>
            <w:gridSpan w:val="3"/>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eastAsia="zh-CN"/>
              </w:rPr>
              <w:t>块</w:t>
            </w:r>
            <w:r>
              <w:rPr>
                <w:rFonts w:hint="eastAsia" w:ascii="Times New Roman" w:hAnsi="Times New Roman" w:cs="Times New Roman" w:eastAsiaTheme="minorEastAsia"/>
                <w:color w:val="auto"/>
                <w:w w:val="99"/>
                <w:kern w:val="2"/>
                <w:sz w:val="21"/>
                <w:szCs w:val="21"/>
                <w:highlight w:val="none"/>
              </w:rPr>
              <w:t>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continue"/>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质地</w:t>
            </w:r>
          </w:p>
        </w:tc>
        <w:tc>
          <w:tcPr>
            <w:tcW w:w="5596" w:type="dxa"/>
            <w:gridSpan w:val="3"/>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壤土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continue"/>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砂砾含量</w:t>
            </w:r>
          </w:p>
        </w:tc>
        <w:tc>
          <w:tcPr>
            <w:tcW w:w="5596" w:type="dxa"/>
            <w:gridSpan w:val="3"/>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25～45%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continue"/>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其他异物</w:t>
            </w:r>
          </w:p>
        </w:tc>
        <w:tc>
          <w:tcPr>
            <w:tcW w:w="5596" w:type="dxa"/>
            <w:gridSpan w:val="3"/>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植物根系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restart"/>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p>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实验室测定</w:t>
            </w:r>
          </w:p>
        </w:tc>
        <w:tc>
          <w:tcPr>
            <w:tcW w:w="2256"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pH 值</w:t>
            </w:r>
          </w:p>
        </w:tc>
        <w:tc>
          <w:tcPr>
            <w:tcW w:w="5596" w:type="dxa"/>
            <w:gridSpan w:val="3"/>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7.80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8" w:hRule="atLeast"/>
        </w:trPr>
        <w:tc>
          <w:tcPr>
            <w:tcW w:w="1067" w:type="dxa"/>
            <w:vMerge w:val="continue"/>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阳离子交换量(cmol+/kg)</w:t>
            </w:r>
          </w:p>
        </w:tc>
        <w:tc>
          <w:tcPr>
            <w:tcW w:w="5596" w:type="dxa"/>
            <w:gridSpan w:val="3"/>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13.3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continue"/>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氧化还原电位（mv）</w:t>
            </w:r>
          </w:p>
        </w:tc>
        <w:tc>
          <w:tcPr>
            <w:tcW w:w="5596" w:type="dxa"/>
            <w:gridSpan w:val="3"/>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206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7" w:hRule="atLeast"/>
        </w:trPr>
        <w:tc>
          <w:tcPr>
            <w:tcW w:w="1067" w:type="dxa"/>
            <w:vMerge w:val="continue"/>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饱和导水率(mmm/min)</w:t>
            </w:r>
          </w:p>
        </w:tc>
        <w:tc>
          <w:tcPr>
            <w:tcW w:w="5596" w:type="dxa"/>
            <w:gridSpan w:val="3"/>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0.933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8" w:hRule="atLeast"/>
        </w:trPr>
        <w:tc>
          <w:tcPr>
            <w:tcW w:w="1067" w:type="dxa"/>
            <w:vMerge w:val="continue"/>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土壤容重 (g/cm</w:t>
            </w:r>
            <w:r>
              <w:rPr>
                <w:rFonts w:hint="eastAsia" w:ascii="Times New Roman" w:hAnsi="Times New Roman" w:cs="Times New Roman" w:eastAsiaTheme="minorEastAsia"/>
                <w:color w:val="auto"/>
                <w:w w:val="99"/>
                <w:kern w:val="2"/>
                <w:sz w:val="21"/>
                <w:szCs w:val="21"/>
                <w:highlight w:val="none"/>
                <w:vertAlign w:val="superscript"/>
              </w:rPr>
              <w:t>3</w:t>
            </w:r>
            <w:r>
              <w:rPr>
                <w:rFonts w:hint="eastAsia" w:ascii="Times New Roman" w:hAnsi="Times New Roman" w:cs="Times New Roman" w:eastAsiaTheme="minorEastAsia"/>
                <w:color w:val="auto"/>
                <w:w w:val="99"/>
                <w:kern w:val="2"/>
                <w:sz w:val="21"/>
                <w:szCs w:val="21"/>
                <w:highlight w:val="none"/>
              </w:rPr>
              <w:t>)</w:t>
            </w:r>
          </w:p>
        </w:tc>
        <w:tc>
          <w:tcPr>
            <w:tcW w:w="5596" w:type="dxa"/>
            <w:gridSpan w:val="3"/>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1.41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0" w:hRule="atLeast"/>
        </w:trPr>
        <w:tc>
          <w:tcPr>
            <w:tcW w:w="1067" w:type="dxa"/>
            <w:vMerge w:val="continue"/>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孔隙度(%)</w:t>
            </w:r>
          </w:p>
        </w:tc>
        <w:tc>
          <w:tcPr>
            <w:tcW w:w="5596" w:type="dxa"/>
            <w:gridSpan w:val="3"/>
            <w:tcBorders>
              <w:tl2br w:val="nil"/>
              <w:tr2bl w:val="nil"/>
            </w:tcBorders>
            <w:vAlign w:val="center"/>
          </w:tcPr>
          <w:p>
            <w:pPr>
              <w:widowControl w:val="0"/>
              <w:spacing w:line="32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46.8</w:t>
            </w:r>
          </w:p>
        </w:tc>
      </w:tr>
    </w:tbl>
    <w:p>
      <w:pPr>
        <w:spacing w:line="500" w:lineRule="exact"/>
        <w:ind w:firstLine="476" w:firstLineChars="200"/>
        <w:jc w:val="both"/>
        <w:rPr>
          <w:rFonts w:ascii="Times New Roman" w:hAnsi="Times New Roman" w:cs="Times New Roman" w:eastAsiaTheme="minorEastAsia"/>
          <w:b/>
          <w:bCs/>
          <w:color w:val="auto"/>
          <w:w w:val="99"/>
          <w:szCs w:val="20"/>
          <w:highlight w:val="none"/>
        </w:rPr>
        <w:sectPr>
          <w:headerReference r:id="rId7" w:type="default"/>
          <w:footerReference r:id="rId8" w:type="default"/>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26" w:charSpace="0"/>
        </w:sectPr>
      </w:pPr>
    </w:p>
    <w:p>
      <w:pPr>
        <w:spacing w:line="500" w:lineRule="exact"/>
        <w:ind w:firstLine="476" w:firstLineChars="200"/>
        <w:jc w:val="both"/>
        <w:rPr>
          <w:rFonts w:ascii="Times New Roman" w:hAnsi="Times New Roman" w:cs="Times New Roman" w:eastAsiaTheme="minorEastAsia"/>
          <w:b/>
          <w:bCs/>
          <w:color w:val="auto"/>
          <w:w w:val="99"/>
          <w:szCs w:val="20"/>
          <w:highlight w:val="none"/>
        </w:rPr>
      </w:pPr>
      <w:r>
        <w:rPr>
          <w:rFonts w:ascii="Times New Roman" w:hAnsi="Times New Roman" w:cs="Times New Roman" w:eastAsiaTheme="minorEastAsia"/>
          <w:b/>
          <w:bCs/>
          <w:color w:val="auto"/>
          <w:w w:val="99"/>
          <w:szCs w:val="20"/>
          <w:highlight w:val="none"/>
        </w:rPr>
        <w:t>表4.3-2</w:t>
      </w:r>
      <w:r>
        <w:rPr>
          <w:rFonts w:hint="eastAsia" w:ascii="Times New Roman" w:hAnsi="Times New Roman" w:cs="Times New Roman" w:eastAsiaTheme="minorEastAsia"/>
          <w:b/>
          <w:bCs/>
          <w:color w:val="auto"/>
          <w:w w:val="99"/>
          <w:szCs w:val="20"/>
          <w:highlight w:val="none"/>
          <w:lang w:val="en-US" w:eastAsia="zh-CN"/>
        </w:rPr>
        <w:t>1</w:t>
      </w:r>
      <w:r>
        <w:rPr>
          <w:rFonts w:ascii="Times New Roman" w:hAnsi="Times New Roman" w:cs="Times New Roman" w:eastAsiaTheme="minorEastAsia"/>
          <w:b/>
          <w:bCs/>
          <w:color w:val="auto"/>
          <w:w w:val="99"/>
          <w:szCs w:val="20"/>
          <w:highlight w:val="none"/>
        </w:rPr>
        <w:t xml:space="preserve">   </w:t>
      </w:r>
      <w:r>
        <w:rPr>
          <w:rFonts w:ascii="Times New Roman" w:hAnsi="Times New Roman" w:cs="Times New Roman" w:eastAsiaTheme="minorEastAsia"/>
          <w:b/>
          <w:bCs/>
          <w:color w:val="auto"/>
          <w:w w:val="99"/>
          <w:kern w:val="21"/>
          <w:highlight w:val="none"/>
        </w:rPr>
        <w:t xml:space="preserve">           </w:t>
      </w:r>
      <w:r>
        <w:rPr>
          <w:rFonts w:ascii="Times New Roman" w:hAnsi="Times New Roman" w:cs="Times New Roman" w:eastAsiaTheme="minorEastAsia"/>
          <w:b/>
          <w:bCs/>
          <w:color w:val="auto"/>
          <w:w w:val="99"/>
          <w:szCs w:val="20"/>
          <w:highlight w:val="none"/>
        </w:rPr>
        <w:t xml:space="preserve"> 区域内土壤构型（土壤剖面）</w:t>
      </w:r>
    </w:p>
    <w:tbl>
      <w:tblPr>
        <w:tblStyle w:val="82"/>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6"/>
        <w:gridCol w:w="2974"/>
        <w:gridCol w:w="2588"/>
        <w:gridCol w:w="267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0" w:type="auto"/>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点号</w:t>
            </w:r>
          </w:p>
        </w:tc>
        <w:tc>
          <w:tcPr>
            <w:tcW w:w="0" w:type="auto"/>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景观照片</w:t>
            </w:r>
          </w:p>
        </w:tc>
        <w:tc>
          <w:tcPr>
            <w:tcW w:w="0" w:type="auto"/>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土壤剖面照片</w:t>
            </w:r>
          </w:p>
        </w:tc>
        <w:tc>
          <w:tcPr>
            <w:tcW w:w="0" w:type="auto"/>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层次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0" w:type="auto"/>
            <w:vMerge w:val="restart"/>
            <w:tcBorders>
              <w:tl2br w:val="nil"/>
              <w:tr2bl w:val="nil"/>
            </w:tcBorders>
            <w:vAlign w:val="center"/>
          </w:tcPr>
          <w:p>
            <w:pPr>
              <w:adjustRightInd w:val="0"/>
              <w:snapToGrid w:val="0"/>
              <w:ind w:firstLine="4" w:firstLineChars="0"/>
              <w:jc w:val="center"/>
              <w:rPr>
                <w:rFonts w:ascii="Times New Roman" w:hAnsi="Times New Roman" w:cs="Times New Roman" w:eastAsiaTheme="minorEastAsia"/>
                <w:color w:val="auto"/>
                <w:w w:val="99"/>
                <w:kern w:val="2"/>
                <w:sz w:val="21"/>
                <w:szCs w:val="21"/>
                <w:highlight w:val="none"/>
              </w:rPr>
            </w:pPr>
            <w:r>
              <w:rPr>
                <w:rFonts w:hint="eastAsia" w:ascii="宋体" w:hAnsi="宋体" w:eastAsia="宋体" w:cs="宋体"/>
                <w:color w:val="auto"/>
                <w:kern w:val="24"/>
                <w:szCs w:val="21"/>
                <w:highlight w:val="none"/>
              </w:rPr>
              <w:t>拟钻源232-136井场永久占地内</w:t>
            </w:r>
          </w:p>
        </w:tc>
        <w:tc>
          <w:tcPr>
            <w:tcW w:w="0" w:type="auto"/>
            <w:vMerge w:val="restart"/>
            <w:tcBorders>
              <w:tl2br w:val="nil"/>
              <w:tr2bl w:val="nil"/>
            </w:tcBorders>
            <w:vAlign w:val="center"/>
          </w:tcPr>
          <w:p>
            <w:pPr>
              <w:wordWrap w:val="0"/>
              <w:rPr>
                <w:rFonts w:ascii="Times New Roman" w:hAnsi="Times New Roman" w:cs="Times New Roman" w:eastAsiaTheme="minorEastAsia"/>
                <w:color w:val="auto"/>
                <w:w w:val="99"/>
                <w:kern w:val="2"/>
                <w:sz w:val="21"/>
                <w:szCs w:val="21"/>
                <w:highlight w:val="none"/>
              </w:rPr>
            </w:pPr>
            <w:r>
              <w:rPr>
                <w:color w:val="auto"/>
                <w:highlight w:val="none"/>
              </w:rPr>
              <w:drawing>
                <wp:inline distT="0" distB="0" distL="114300" distR="114300">
                  <wp:extent cx="1757680" cy="2715895"/>
                  <wp:effectExtent l="0" t="0" r="13970" b="8255"/>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28"/>
                          <a:stretch>
                            <a:fillRect/>
                          </a:stretch>
                        </pic:blipFill>
                        <pic:spPr>
                          <a:xfrm>
                            <a:off x="0" y="0"/>
                            <a:ext cx="1757680" cy="2715895"/>
                          </a:xfrm>
                          <a:prstGeom prst="rect">
                            <a:avLst/>
                          </a:prstGeom>
                          <a:noFill/>
                          <a:ln>
                            <a:noFill/>
                          </a:ln>
                        </pic:spPr>
                      </pic:pic>
                    </a:graphicData>
                  </a:graphic>
                </wp:inline>
              </w:drawing>
            </w:r>
          </w:p>
        </w:tc>
        <w:tc>
          <w:tcPr>
            <w:tcW w:w="0" w:type="auto"/>
            <w:vMerge w:val="restart"/>
            <w:tcBorders>
              <w:tl2br w:val="nil"/>
              <w:tr2bl w:val="nil"/>
            </w:tcBorders>
            <w:vAlign w:val="center"/>
          </w:tcPr>
          <w:p>
            <w:pPr>
              <w:wordWrap w:val="0"/>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eastAsia="宋体"/>
                <w:color w:val="auto"/>
                <w:szCs w:val="21"/>
                <w:highlight w:val="none"/>
                <w:lang w:eastAsia="zh-CN"/>
              </w:rPr>
              <w:drawing>
                <wp:inline distT="0" distB="0" distL="114300" distR="114300">
                  <wp:extent cx="1514475" cy="2547620"/>
                  <wp:effectExtent l="0" t="0" r="9525" b="5080"/>
                  <wp:docPr id="58" name="图片 4" descr="2c3a5e1fa83b64dd76fefb0133608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descr="2c3a5e1fa83b64dd76fefb01336087d0"/>
                          <pic:cNvPicPr>
                            <a:picLocks noChangeAspect="1"/>
                          </pic:cNvPicPr>
                        </pic:nvPicPr>
                        <pic:blipFill>
                          <a:blip r:embed="rId29"/>
                          <a:stretch>
                            <a:fillRect/>
                          </a:stretch>
                        </pic:blipFill>
                        <pic:spPr>
                          <a:xfrm>
                            <a:off x="0" y="0"/>
                            <a:ext cx="1514475" cy="2547620"/>
                          </a:xfrm>
                          <a:prstGeom prst="rect">
                            <a:avLst/>
                          </a:prstGeom>
                          <a:noFill/>
                          <a:ln>
                            <a:noFill/>
                          </a:ln>
                        </pic:spPr>
                      </pic:pic>
                    </a:graphicData>
                  </a:graphic>
                </wp:inline>
              </w:drawing>
            </w:r>
          </w:p>
        </w:tc>
        <w:tc>
          <w:tcPr>
            <w:tcW w:w="0" w:type="auto"/>
            <w:tcBorders>
              <w:tl2br w:val="nil"/>
              <w:tr2bl w:val="nil"/>
            </w:tcBorders>
            <w:vAlign w:val="center"/>
          </w:tcPr>
          <w:p>
            <w:pPr>
              <w:pStyle w:val="103"/>
              <w:spacing w:before="156"/>
              <w:ind w:left="0" w:leftChars="0" w:firstLine="0" w:firstLineChars="0"/>
              <w:jc w:val="both"/>
              <w:rPr>
                <w:rFonts w:ascii="Times New Roman" w:hAnsi="Times New Roman" w:cs="Times New Roman" w:eastAsiaTheme="minorEastAsia"/>
                <w:color w:val="auto"/>
                <w:w w:val="99"/>
                <w:kern w:val="2"/>
                <w:sz w:val="21"/>
                <w:szCs w:val="21"/>
                <w:highlight w:val="none"/>
              </w:rPr>
            </w:pPr>
            <w:r>
              <w:rPr>
                <w:rFonts w:hint="eastAsia" w:hAnsi="宋体" w:eastAsia="宋体"/>
                <w:snapToGrid w:val="0"/>
                <w:color w:val="auto"/>
                <w:sz w:val="21"/>
                <w:szCs w:val="21"/>
                <w:highlight w:val="none"/>
              </w:rPr>
              <w:t>0-0.5m  块状结构  壤土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0" w:type="auto"/>
            <w:vMerge w:val="continue"/>
            <w:tcBorders>
              <w:tl2br w:val="nil"/>
              <w:tr2bl w:val="nil"/>
            </w:tcBorders>
            <w:vAlign w:val="center"/>
          </w:tcPr>
          <w:p>
            <w:pPr>
              <w:wordWrap w:val="0"/>
              <w:jc w:val="center"/>
              <w:rPr>
                <w:rFonts w:ascii="Times New Roman" w:hAnsi="Times New Roman" w:cs="Times New Roman" w:eastAsiaTheme="minorEastAsia"/>
                <w:color w:val="auto"/>
                <w:w w:val="99"/>
                <w:kern w:val="2"/>
                <w:sz w:val="21"/>
                <w:szCs w:val="21"/>
                <w:highlight w:val="none"/>
              </w:rPr>
            </w:pPr>
          </w:p>
        </w:tc>
        <w:tc>
          <w:tcPr>
            <w:tcW w:w="0" w:type="auto"/>
            <w:vMerge w:val="continue"/>
            <w:tcBorders>
              <w:tl2br w:val="nil"/>
              <w:tr2bl w:val="nil"/>
            </w:tcBorders>
            <w:vAlign w:val="center"/>
          </w:tcPr>
          <w:p>
            <w:pPr>
              <w:wordWrap w:val="0"/>
              <w:jc w:val="center"/>
              <w:rPr>
                <w:rFonts w:ascii="Times New Roman" w:hAnsi="Times New Roman" w:cs="Times New Roman" w:eastAsiaTheme="minorEastAsia"/>
                <w:color w:val="auto"/>
                <w:w w:val="99"/>
                <w:kern w:val="2"/>
                <w:sz w:val="21"/>
                <w:szCs w:val="21"/>
                <w:highlight w:val="none"/>
              </w:rPr>
            </w:pPr>
          </w:p>
        </w:tc>
        <w:tc>
          <w:tcPr>
            <w:tcW w:w="0" w:type="auto"/>
            <w:vMerge w:val="continue"/>
            <w:tcBorders>
              <w:tl2br w:val="nil"/>
              <w:tr2bl w:val="nil"/>
            </w:tcBorders>
            <w:vAlign w:val="center"/>
          </w:tcPr>
          <w:p>
            <w:pPr>
              <w:wordWrap w:val="0"/>
              <w:jc w:val="center"/>
              <w:rPr>
                <w:rFonts w:ascii="Times New Roman" w:hAnsi="Times New Roman" w:cs="Times New Roman" w:eastAsiaTheme="minorEastAsia"/>
                <w:color w:val="auto"/>
                <w:w w:val="99"/>
                <w:kern w:val="2"/>
                <w:sz w:val="21"/>
                <w:szCs w:val="21"/>
                <w:highlight w:val="none"/>
              </w:rPr>
            </w:pPr>
          </w:p>
        </w:tc>
        <w:tc>
          <w:tcPr>
            <w:tcW w:w="0" w:type="auto"/>
            <w:tcBorders>
              <w:tl2br w:val="nil"/>
              <w:tr2bl w:val="nil"/>
            </w:tcBorders>
            <w:vAlign w:val="center"/>
          </w:tcPr>
          <w:p>
            <w:pPr>
              <w:pStyle w:val="103"/>
              <w:spacing w:before="156"/>
              <w:ind w:left="0" w:leftChars="0" w:firstLine="0" w:firstLineChars="0"/>
              <w:jc w:val="both"/>
              <w:rPr>
                <w:rFonts w:ascii="Times New Roman" w:hAnsi="Times New Roman" w:cs="Times New Roman" w:eastAsiaTheme="minorEastAsia"/>
                <w:color w:val="auto"/>
                <w:w w:val="99"/>
                <w:kern w:val="2"/>
                <w:sz w:val="21"/>
                <w:szCs w:val="21"/>
                <w:highlight w:val="none"/>
              </w:rPr>
            </w:pPr>
            <w:r>
              <w:rPr>
                <w:rFonts w:hint="eastAsia" w:hAnsi="宋体" w:eastAsia="宋体"/>
                <w:color w:val="auto"/>
                <w:sz w:val="21"/>
                <w:szCs w:val="20"/>
                <w:highlight w:val="none"/>
              </w:rPr>
              <w:t xml:space="preserve">0.5-1.5m </w:t>
            </w:r>
            <w:r>
              <w:rPr>
                <w:rFonts w:hint="eastAsia" w:hAnsi="宋体" w:eastAsia="宋体"/>
                <w:snapToGrid w:val="0"/>
                <w:color w:val="auto"/>
                <w:sz w:val="21"/>
                <w:szCs w:val="21"/>
                <w:highlight w:val="none"/>
              </w:rPr>
              <w:t>面状结构  壤土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0" w:type="auto"/>
            <w:vMerge w:val="continue"/>
            <w:tcBorders>
              <w:tl2br w:val="nil"/>
              <w:tr2bl w:val="nil"/>
            </w:tcBorders>
            <w:vAlign w:val="center"/>
          </w:tcPr>
          <w:p>
            <w:pPr>
              <w:wordWrap w:val="0"/>
              <w:jc w:val="center"/>
              <w:rPr>
                <w:rFonts w:ascii="Times New Roman" w:hAnsi="Times New Roman" w:cs="Times New Roman" w:eastAsiaTheme="minorEastAsia"/>
                <w:color w:val="auto"/>
                <w:w w:val="99"/>
                <w:kern w:val="2"/>
                <w:sz w:val="21"/>
                <w:szCs w:val="21"/>
                <w:highlight w:val="none"/>
              </w:rPr>
            </w:pPr>
          </w:p>
        </w:tc>
        <w:tc>
          <w:tcPr>
            <w:tcW w:w="0" w:type="auto"/>
            <w:vMerge w:val="continue"/>
            <w:tcBorders>
              <w:tl2br w:val="nil"/>
              <w:tr2bl w:val="nil"/>
            </w:tcBorders>
            <w:vAlign w:val="center"/>
          </w:tcPr>
          <w:p>
            <w:pPr>
              <w:wordWrap w:val="0"/>
              <w:jc w:val="center"/>
              <w:rPr>
                <w:rFonts w:ascii="Times New Roman" w:hAnsi="Times New Roman" w:cs="Times New Roman" w:eastAsiaTheme="minorEastAsia"/>
                <w:color w:val="auto"/>
                <w:w w:val="99"/>
                <w:kern w:val="2"/>
                <w:sz w:val="21"/>
                <w:szCs w:val="21"/>
                <w:highlight w:val="none"/>
              </w:rPr>
            </w:pPr>
          </w:p>
        </w:tc>
        <w:tc>
          <w:tcPr>
            <w:tcW w:w="0" w:type="auto"/>
            <w:vMerge w:val="continue"/>
            <w:tcBorders>
              <w:tl2br w:val="nil"/>
              <w:tr2bl w:val="nil"/>
            </w:tcBorders>
            <w:vAlign w:val="center"/>
          </w:tcPr>
          <w:p>
            <w:pPr>
              <w:wordWrap w:val="0"/>
              <w:jc w:val="center"/>
              <w:rPr>
                <w:rFonts w:ascii="Times New Roman" w:hAnsi="Times New Roman" w:cs="Times New Roman" w:eastAsiaTheme="minorEastAsia"/>
                <w:color w:val="auto"/>
                <w:w w:val="99"/>
                <w:kern w:val="2"/>
                <w:sz w:val="21"/>
                <w:szCs w:val="21"/>
                <w:highlight w:val="none"/>
              </w:rPr>
            </w:pPr>
          </w:p>
        </w:tc>
        <w:tc>
          <w:tcPr>
            <w:tcW w:w="0" w:type="auto"/>
            <w:tcBorders>
              <w:tl2br w:val="nil"/>
              <w:tr2bl w:val="nil"/>
            </w:tcBorders>
            <w:vAlign w:val="center"/>
          </w:tcPr>
          <w:p>
            <w:pPr>
              <w:wordWrap w:val="0"/>
              <w:jc w:val="center"/>
              <w:rPr>
                <w:rFonts w:ascii="Times New Roman" w:hAnsi="Times New Roman" w:cs="Times New Roman" w:eastAsiaTheme="minorEastAsia"/>
                <w:color w:val="auto"/>
                <w:w w:val="99"/>
                <w:kern w:val="2"/>
                <w:sz w:val="21"/>
                <w:szCs w:val="21"/>
                <w:highlight w:val="none"/>
              </w:rPr>
            </w:pPr>
            <w:r>
              <w:rPr>
                <w:rFonts w:hint="eastAsia" w:ascii="宋体" w:hAnsi="宋体" w:cs="宋体"/>
                <w:snapToGrid w:val="0"/>
                <w:color w:val="auto"/>
                <w:kern w:val="0"/>
                <w:szCs w:val="21"/>
                <w:highlight w:val="none"/>
              </w:rPr>
              <w:t>1.5-3m</w:t>
            </w:r>
            <w:r>
              <w:rPr>
                <w:rFonts w:hint="eastAsia" w:ascii="宋体" w:hAnsi="宋体" w:cs="宋体"/>
                <w:snapToGrid w:val="0"/>
                <w:color w:val="auto"/>
                <w:szCs w:val="21"/>
                <w:highlight w:val="none"/>
              </w:rPr>
              <w:t>面状</w:t>
            </w:r>
            <w:r>
              <w:rPr>
                <w:rFonts w:hint="eastAsia" w:ascii="宋体" w:hAnsi="宋体" w:cs="宋体"/>
                <w:snapToGrid w:val="0"/>
                <w:color w:val="auto"/>
                <w:kern w:val="0"/>
                <w:szCs w:val="21"/>
                <w:highlight w:val="none"/>
              </w:rPr>
              <w:t>结构 壤土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5" w:hRule="atLeast"/>
        </w:trPr>
        <w:tc>
          <w:tcPr>
            <w:tcW w:w="0" w:type="auto"/>
            <w:vMerge w:val="continue"/>
            <w:tcBorders>
              <w:tl2br w:val="nil"/>
              <w:tr2bl w:val="nil"/>
            </w:tcBorders>
            <w:vAlign w:val="center"/>
          </w:tcPr>
          <w:p>
            <w:pPr>
              <w:wordWrap w:val="0"/>
              <w:jc w:val="center"/>
              <w:rPr>
                <w:rFonts w:ascii="Times New Roman" w:hAnsi="Times New Roman" w:cs="Times New Roman" w:eastAsiaTheme="minorEastAsia"/>
                <w:color w:val="auto"/>
                <w:w w:val="99"/>
                <w:kern w:val="2"/>
                <w:sz w:val="21"/>
                <w:szCs w:val="21"/>
                <w:highlight w:val="none"/>
              </w:rPr>
            </w:pPr>
          </w:p>
        </w:tc>
        <w:tc>
          <w:tcPr>
            <w:tcW w:w="0" w:type="auto"/>
            <w:vMerge w:val="continue"/>
            <w:tcBorders>
              <w:tl2br w:val="nil"/>
              <w:tr2bl w:val="nil"/>
            </w:tcBorders>
            <w:vAlign w:val="center"/>
          </w:tcPr>
          <w:p>
            <w:pPr>
              <w:wordWrap w:val="0"/>
              <w:jc w:val="center"/>
              <w:rPr>
                <w:rFonts w:ascii="Times New Roman" w:hAnsi="Times New Roman" w:cs="Times New Roman" w:eastAsiaTheme="minorEastAsia"/>
                <w:color w:val="auto"/>
                <w:w w:val="99"/>
                <w:kern w:val="2"/>
                <w:sz w:val="21"/>
                <w:szCs w:val="21"/>
                <w:highlight w:val="none"/>
              </w:rPr>
            </w:pPr>
          </w:p>
        </w:tc>
        <w:tc>
          <w:tcPr>
            <w:tcW w:w="0" w:type="auto"/>
            <w:vMerge w:val="continue"/>
            <w:tcBorders>
              <w:tl2br w:val="nil"/>
              <w:tr2bl w:val="nil"/>
            </w:tcBorders>
            <w:vAlign w:val="center"/>
          </w:tcPr>
          <w:p>
            <w:pPr>
              <w:wordWrap w:val="0"/>
              <w:jc w:val="center"/>
              <w:rPr>
                <w:rFonts w:ascii="Times New Roman" w:hAnsi="Times New Roman" w:cs="Times New Roman" w:eastAsiaTheme="minorEastAsia"/>
                <w:color w:val="auto"/>
                <w:w w:val="99"/>
                <w:kern w:val="2"/>
                <w:sz w:val="21"/>
                <w:szCs w:val="21"/>
                <w:highlight w:val="none"/>
              </w:rPr>
            </w:pPr>
          </w:p>
        </w:tc>
        <w:tc>
          <w:tcPr>
            <w:tcW w:w="0" w:type="auto"/>
            <w:tcBorders>
              <w:tl2br w:val="nil"/>
              <w:tr2bl w:val="nil"/>
            </w:tcBorders>
            <w:vAlign w:val="center"/>
          </w:tcPr>
          <w:p>
            <w:pPr>
              <w:wordWrap w:val="0"/>
              <w:rPr>
                <w:rFonts w:ascii="Times New Roman" w:hAnsi="Times New Roman" w:cs="Times New Roman" w:eastAsiaTheme="minorEastAsia"/>
                <w:color w:val="auto"/>
                <w:w w:val="99"/>
                <w:kern w:val="2"/>
                <w:sz w:val="21"/>
                <w:szCs w:val="21"/>
                <w:highlight w:val="none"/>
              </w:rPr>
            </w:pPr>
            <w:r>
              <w:rPr>
                <w:color w:val="auto"/>
                <w:highlight w:val="none"/>
              </w:rPr>
              <w:drawing>
                <wp:inline distT="0" distB="0" distL="114300" distR="114300">
                  <wp:extent cx="1572895" cy="1685290"/>
                  <wp:effectExtent l="0" t="0" r="8255" b="10160"/>
                  <wp:docPr id="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
                          <pic:cNvPicPr>
                            <a:picLocks noChangeAspect="1"/>
                          </pic:cNvPicPr>
                        </pic:nvPicPr>
                        <pic:blipFill>
                          <a:blip r:embed="rId30"/>
                          <a:stretch>
                            <a:fillRect/>
                          </a:stretch>
                        </pic:blipFill>
                        <pic:spPr>
                          <a:xfrm>
                            <a:off x="0" y="0"/>
                            <a:ext cx="1572895" cy="1685290"/>
                          </a:xfrm>
                          <a:prstGeom prst="rect">
                            <a:avLst/>
                          </a:prstGeom>
                          <a:noFill/>
                          <a:ln>
                            <a:noFill/>
                          </a:ln>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6" w:hRule="atLeast"/>
        </w:trPr>
        <w:tc>
          <w:tcPr>
            <w:tcW w:w="0" w:type="auto"/>
            <w:vMerge w:val="restart"/>
            <w:tcBorders>
              <w:tl2br w:val="nil"/>
              <w:tr2bl w:val="nil"/>
            </w:tcBorders>
            <w:vAlign w:val="center"/>
          </w:tcPr>
          <w:p>
            <w:pPr>
              <w:wordWrap w:val="0"/>
              <w:jc w:val="center"/>
              <w:rPr>
                <w:rFonts w:ascii="Times New Roman" w:hAnsi="Times New Roman" w:cs="Times New Roman" w:eastAsiaTheme="minorEastAsia"/>
                <w:color w:val="auto"/>
                <w:w w:val="99"/>
                <w:kern w:val="2"/>
                <w:sz w:val="21"/>
                <w:szCs w:val="21"/>
                <w:highlight w:val="none"/>
              </w:rPr>
            </w:pPr>
            <w:r>
              <w:rPr>
                <w:rFonts w:hint="eastAsia" w:ascii="宋体" w:hAnsi="宋体" w:eastAsia="宋体" w:cs="宋体"/>
                <w:color w:val="auto"/>
                <w:kern w:val="24"/>
                <w:szCs w:val="21"/>
                <w:highlight w:val="none"/>
              </w:rPr>
              <w:t>拟钻</w:t>
            </w:r>
            <w:r>
              <w:rPr>
                <w:rFonts w:hint="eastAsia" w:ascii="宋体" w:hAnsi="宋体" w:eastAsia="宋体" w:cs="宋体"/>
                <w:color w:val="auto"/>
                <w:kern w:val="24"/>
                <w:szCs w:val="21"/>
                <w:highlight w:val="none"/>
                <w:lang w:eastAsia="zh-CN"/>
              </w:rPr>
              <w:t>源288-114西南侧200m</w:t>
            </w:r>
            <w:r>
              <w:rPr>
                <w:rFonts w:hint="eastAsia" w:ascii="宋体" w:hAnsi="宋体" w:eastAsia="宋体" w:cs="宋体"/>
                <w:color w:val="auto"/>
                <w:kern w:val="24"/>
                <w:szCs w:val="21"/>
                <w:highlight w:val="none"/>
              </w:rPr>
              <w:t>处耕地</w:t>
            </w:r>
          </w:p>
        </w:tc>
        <w:tc>
          <w:tcPr>
            <w:tcW w:w="0" w:type="auto"/>
            <w:vMerge w:val="restart"/>
            <w:tcBorders>
              <w:tl2br w:val="nil"/>
              <w:tr2bl w:val="nil"/>
            </w:tcBorders>
            <w:vAlign w:val="center"/>
          </w:tcPr>
          <w:p>
            <w:pPr>
              <w:wordWrap w:val="0"/>
              <w:rPr>
                <w:rFonts w:ascii="Times New Roman" w:hAnsi="Times New Roman" w:cs="Times New Roman" w:eastAsiaTheme="minorEastAsia"/>
                <w:color w:val="auto"/>
                <w:w w:val="99"/>
                <w:kern w:val="2"/>
                <w:sz w:val="21"/>
                <w:szCs w:val="21"/>
                <w:highlight w:val="none"/>
              </w:rPr>
            </w:pPr>
            <w:r>
              <w:rPr>
                <w:color w:val="auto"/>
                <w:highlight w:val="none"/>
              </w:rPr>
              <w:drawing>
                <wp:inline distT="0" distB="0" distL="114300" distR="114300">
                  <wp:extent cx="1757680" cy="3361055"/>
                  <wp:effectExtent l="0" t="0" r="13970" b="10795"/>
                  <wp:docPr id="7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
                          <pic:cNvPicPr>
                            <a:picLocks noChangeAspect="1"/>
                          </pic:cNvPicPr>
                        </pic:nvPicPr>
                        <pic:blipFill>
                          <a:blip r:embed="rId31"/>
                          <a:stretch>
                            <a:fillRect/>
                          </a:stretch>
                        </pic:blipFill>
                        <pic:spPr>
                          <a:xfrm>
                            <a:off x="0" y="0"/>
                            <a:ext cx="1757680" cy="3361055"/>
                          </a:xfrm>
                          <a:prstGeom prst="rect">
                            <a:avLst/>
                          </a:prstGeom>
                          <a:noFill/>
                          <a:ln>
                            <a:noFill/>
                          </a:ln>
                        </pic:spPr>
                      </pic:pic>
                    </a:graphicData>
                  </a:graphic>
                </wp:inline>
              </w:drawing>
            </w:r>
          </w:p>
        </w:tc>
        <w:tc>
          <w:tcPr>
            <w:tcW w:w="0" w:type="auto"/>
            <w:vMerge w:val="restart"/>
            <w:tcBorders>
              <w:tl2br w:val="nil"/>
              <w:tr2bl w:val="nil"/>
            </w:tcBorders>
            <w:vAlign w:val="center"/>
          </w:tcPr>
          <w:p>
            <w:pPr>
              <w:wordWrap w:val="0"/>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olor w:val="auto"/>
                <w:szCs w:val="21"/>
                <w:highlight w:val="none"/>
              </w:rPr>
              <w:t>/</w:t>
            </w:r>
          </w:p>
        </w:tc>
        <w:tc>
          <w:tcPr>
            <w:tcW w:w="0" w:type="auto"/>
            <w:tcBorders>
              <w:tl2br w:val="nil"/>
              <w:tr2bl w:val="nil"/>
            </w:tcBorders>
            <w:vAlign w:val="center"/>
          </w:tcPr>
          <w:p>
            <w:pPr>
              <w:pStyle w:val="103"/>
              <w:spacing w:before="156"/>
              <w:ind w:left="0" w:leftChars="0" w:firstLine="0" w:firstLineChars="0"/>
              <w:jc w:val="both"/>
              <w:rPr>
                <w:rFonts w:ascii="Times New Roman" w:hAnsi="Times New Roman" w:cs="Times New Roman" w:eastAsiaTheme="minorEastAsia"/>
                <w:color w:val="auto"/>
                <w:w w:val="99"/>
                <w:kern w:val="2"/>
                <w:sz w:val="21"/>
                <w:szCs w:val="21"/>
                <w:highlight w:val="none"/>
              </w:rPr>
            </w:pPr>
            <w:r>
              <w:rPr>
                <w:rFonts w:hint="eastAsia" w:hAnsi="宋体" w:eastAsia="宋体"/>
                <w:snapToGrid w:val="0"/>
                <w:color w:val="auto"/>
                <w:sz w:val="21"/>
                <w:szCs w:val="21"/>
                <w:highlight w:val="none"/>
              </w:rPr>
              <w:t>0-0.2m  块状结构  壤土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9" w:hRule="atLeast"/>
        </w:trPr>
        <w:tc>
          <w:tcPr>
            <w:tcW w:w="0" w:type="auto"/>
            <w:vMerge w:val="continue"/>
            <w:tcBorders>
              <w:tl2br w:val="nil"/>
              <w:tr2bl w:val="nil"/>
            </w:tcBorders>
            <w:vAlign w:val="center"/>
          </w:tcPr>
          <w:p>
            <w:pPr>
              <w:wordWrap w:val="0"/>
              <w:rPr>
                <w:rFonts w:ascii="Times New Roman" w:hAnsi="Times New Roman" w:cs="Times New Roman" w:eastAsiaTheme="minorEastAsia"/>
                <w:color w:val="auto"/>
                <w:w w:val="99"/>
                <w:kern w:val="2"/>
                <w:sz w:val="21"/>
                <w:szCs w:val="21"/>
                <w:highlight w:val="none"/>
              </w:rPr>
            </w:pPr>
          </w:p>
        </w:tc>
        <w:tc>
          <w:tcPr>
            <w:tcW w:w="0" w:type="auto"/>
            <w:vMerge w:val="continue"/>
            <w:tcBorders>
              <w:tl2br w:val="nil"/>
              <w:tr2bl w:val="nil"/>
            </w:tcBorders>
            <w:vAlign w:val="center"/>
          </w:tcPr>
          <w:p>
            <w:pPr>
              <w:wordWrap w:val="0"/>
              <w:rPr>
                <w:rFonts w:ascii="Times New Roman" w:hAnsi="Times New Roman" w:cs="Times New Roman" w:eastAsiaTheme="minorEastAsia"/>
                <w:color w:val="auto"/>
                <w:w w:val="99"/>
                <w:kern w:val="2"/>
                <w:sz w:val="21"/>
                <w:szCs w:val="21"/>
                <w:highlight w:val="none"/>
              </w:rPr>
            </w:pPr>
          </w:p>
        </w:tc>
        <w:tc>
          <w:tcPr>
            <w:tcW w:w="0" w:type="auto"/>
            <w:vMerge w:val="continue"/>
            <w:tcBorders>
              <w:tl2br w:val="nil"/>
              <w:tr2bl w:val="nil"/>
            </w:tcBorders>
            <w:vAlign w:val="center"/>
          </w:tcPr>
          <w:p>
            <w:pPr>
              <w:wordWrap w:val="0"/>
              <w:rPr>
                <w:rFonts w:ascii="Times New Roman" w:hAnsi="Times New Roman" w:cs="Times New Roman" w:eastAsiaTheme="minorEastAsia"/>
                <w:color w:val="auto"/>
                <w:w w:val="99"/>
                <w:kern w:val="2"/>
                <w:sz w:val="21"/>
                <w:szCs w:val="21"/>
                <w:highlight w:val="none"/>
              </w:rPr>
            </w:pPr>
          </w:p>
        </w:tc>
        <w:tc>
          <w:tcPr>
            <w:tcW w:w="0" w:type="auto"/>
            <w:tcBorders>
              <w:tl2br w:val="nil"/>
              <w:tr2bl w:val="nil"/>
            </w:tcBorders>
            <w:vAlign w:val="center"/>
          </w:tcPr>
          <w:p>
            <w:pPr>
              <w:wordWrap w:val="0"/>
              <w:rPr>
                <w:rFonts w:ascii="Times New Roman" w:hAnsi="Times New Roman" w:cs="Times New Roman" w:eastAsiaTheme="minorEastAsia"/>
                <w:color w:val="auto"/>
                <w:w w:val="99"/>
                <w:kern w:val="2"/>
                <w:sz w:val="21"/>
                <w:szCs w:val="21"/>
                <w:highlight w:val="none"/>
              </w:rPr>
            </w:pPr>
            <w:r>
              <w:rPr>
                <w:color w:val="auto"/>
                <w:highlight w:val="none"/>
              </w:rPr>
              <w:drawing>
                <wp:inline distT="0" distB="0" distL="114300" distR="114300">
                  <wp:extent cx="1548765" cy="2713355"/>
                  <wp:effectExtent l="0" t="0" r="13335" b="10795"/>
                  <wp:docPr id="7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
                          <pic:cNvPicPr>
                            <a:picLocks noChangeAspect="1"/>
                          </pic:cNvPicPr>
                        </pic:nvPicPr>
                        <pic:blipFill>
                          <a:blip r:embed="rId32"/>
                          <a:stretch>
                            <a:fillRect/>
                          </a:stretch>
                        </pic:blipFill>
                        <pic:spPr>
                          <a:xfrm>
                            <a:off x="0" y="0"/>
                            <a:ext cx="1548765" cy="2713355"/>
                          </a:xfrm>
                          <a:prstGeom prst="rect">
                            <a:avLst/>
                          </a:prstGeom>
                          <a:noFill/>
                          <a:ln>
                            <a:noFill/>
                          </a:ln>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0" w:type="auto"/>
            <w:gridSpan w:val="4"/>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注：应给出带标尺的土壤剖面照片及其景观照片。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0" w:type="auto"/>
            <w:gridSpan w:val="4"/>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根据土壤分层情况描述土壤的理化特性。</w:t>
            </w:r>
          </w:p>
        </w:tc>
      </w:tr>
    </w:tbl>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4.3.5.2土壤环境质量现状监测</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（1）采样点布设</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本项目土壤环境影响类型属于污染影响型项目，评价等级为一级，评价范围内的每种土壤类型应至少设置1个表层样监测点，本项目评价范围内土壤为</w:t>
      </w:r>
      <w:r>
        <w:rPr>
          <w:rFonts w:hint="eastAsia" w:ascii="Times New Roman" w:hAnsi="Times New Roman" w:cs="Times New Roman" w:eastAsiaTheme="minorEastAsia"/>
          <w:color w:val="auto"/>
          <w:w w:val="99"/>
          <w:kern w:val="21"/>
          <w:highlight w:val="none"/>
          <w:lang w:eastAsia="zh-CN"/>
        </w:rPr>
        <w:t>草甸土</w:t>
      </w:r>
      <w:r>
        <w:rPr>
          <w:rFonts w:ascii="Times New Roman" w:hAnsi="Times New Roman" w:cs="Times New Roman" w:eastAsiaTheme="minorEastAsia"/>
          <w:color w:val="auto"/>
          <w:w w:val="99"/>
          <w:kern w:val="21"/>
          <w:highlight w:val="none"/>
        </w:rPr>
        <w:t>；因此本项目占地范围内共布设2个表层样监测点，</w:t>
      </w:r>
      <w:r>
        <w:rPr>
          <w:rFonts w:hint="eastAsia" w:ascii="Times New Roman" w:hAnsi="Times New Roman" w:cs="Times New Roman" w:eastAsiaTheme="minorEastAsia"/>
          <w:color w:val="auto"/>
          <w:w w:val="99"/>
          <w:kern w:val="21"/>
          <w:highlight w:val="none"/>
          <w:lang w:val="en-US" w:eastAsia="zh-CN"/>
        </w:rPr>
        <w:t>5</w:t>
      </w:r>
      <w:r>
        <w:rPr>
          <w:rFonts w:ascii="Times New Roman" w:hAnsi="Times New Roman" w:cs="Times New Roman" w:eastAsiaTheme="minorEastAsia"/>
          <w:color w:val="auto"/>
          <w:w w:val="99"/>
          <w:kern w:val="21"/>
          <w:highlight w:val="none"/>
        </w:rPr>
        <w:t>个柱状样监测点，占地范围外共布设4个表层样点，土壤现状监测点位详见表</w:t>
      </w:r>
      <w:r>
        <w:rPr>
          <w:rFonts w:ascii="Times New Roman" w:hAnsi="Times New Roman" w:cs="Times New Roman" w:eastAsiaTheme="minorEastAsia"/>
          <w:color w:val="auto"/>
          <w:w w:val="99"/>
          <w:kern w:val="2"/>
          <w:szCs w:val="20"/>
          <w:highlight w:val="none"/>
        </w:rPr>
        <w:t>4.3-2</w:t>
      </w:r>
      <w:r>
        <w:rPr>
          <w:rFonts w:hint="eastAsia" w:ascii="Times New Roman" w:hAnsi="Times New Roman" w:cs="Times New Roman" w:eastAsiaTheme="minorEastAsia"/>
          <w:color w:val="auto"/>
          <w:w w:val="99"/>
          <w:kern w:val="2"/>
          <w:szCs w:val="20"/>
          <w:highlight w:val="none"/>
          <w:lang w:val="en-US" w:eastAsia="zh-CN"/>
        </w:rPr>
        <w:t>2</w:t>
      </w:r>
      <w:r>
        <w:rPr>
          <w:rFonts w:ascii="Times New Roman" w:hAnsi="Times New Roman" w:cs="Times New Roman" w:eastAsiaTheme="minorEastAsia"/>
          <w:color w:val="auto"/>
          <w:w w:val="99"/>
          <w:kern w:val="21"/>
          <w:highlight w:val="none"/>
        </w:rPr>
        <w:t>，监测点位置见</w:t>
      </w:r>
      <w:r>
        <w:rPr>
          <w:rFonts w:hint="eastAsia" w:ascii="Times New Roman" w:hAnsi="Times New Roman" w:cs="Times New Roman" w:eastAsiaTheme="minorEastAsia"/>
          <w:color w:val="auto"/>
          <w:w w:val="99"/>
          <w:kern w:val="21"/>
          <w:highlight w:val="none"/>
          <w:lang w:eastAsia="zh-CN"/>
        </w:rPr>
        <w:t>附图11</w:t>
      </w:r>
      <w:r>
        <w:rPr>
          <w:rFonts w:ascii="Times New Roman" w:hAnsi="Times New Roman" w:cs="Times New Roman" w:eastAsiaTheme="minorEastAsia"/>
          <w:color w:val="auto"/>
          <w:w w:val="99"/>
          <w:kern w:val="21"/>
          <w:highlight w:val="none"/>
        </w:rPr>
        <w:t>。</w:t>
      </w:r>
    </w:p>
    <w:p>
      <w:pPr>
        <w:spacing w:line="500" w:lineRule="exact"/>
        <w:ind w:firstLine="476" w:firstLineChars="200"/>
        <w:jc w:val="both"/>
        <w:rPr>
          <w:rFonts w:ascii="Times New Roman" w:hAnsi="Times New Roman" w:cs="Times New Roman" w:eastAsiaTheme="minorEastAsia"/>
          <w:b/>
          <w:bCs/>
          <w:color w:val="auto"/>
          <w:w w:val="99"/>
          <w:kern w:val="21"/>
          <w:highlight w:val="none"/>
          <w:lang w:bidi="zh-CN"/>
        </w:rPr>
      </w:pPr>
      <w:r>
        <w:rPr>
          <w:rFonts w:ascii="Times New Roman" w:hAnsi="Times New Roman" w:cs="Times New Roman" w:eastAsiaTheme="minorEastAsia"/>
          <w:b/>
          <w:bCs/>
          <w:color w:val="auto"/>
          <w:w w:val="99"/>
          <w:kern w:val="21"/>
          <w:highlight w:val="none"/>
          <w:lang w:bidi="zh-CN"/>
        </w:rPr>
        <w:t>表</w:t>
      </w:r>
      <w:r>
        <w:rPr>
          <w:rFonts w:ascii="Times New Roman" w:hAnsi="Times New Roman" w:cs="Times New Roman" w:eastAsiaTheme="minorEastAsia"/>
          <w:b/>
          <w:bCs/>
          <w:color w:val="auto"/>
          <w:w w:val="99"/>
          <w:kern w:val="2"/>
          <w:szCs w:val="20"/>
          <w:highlight w:val="none"/>
        </w:rPr>
        <w:t>4.3-2</w:t>
      </w:r>
      <w:r>
        <w:rPr>
          <w:rFonts w:hint="eastAsia" w:ascii="Times New Roman" w:hAnsi="Times New Roman" w:cs="Times New Roman" w:eastAsiaTheme="minorEastAsia"/>
          <w:b/>
          <w:bCs/>
          <w:color w:val="auto"/>
          <w:w w:val="99"/>
          <w:kern w:val="2"/>
          <w:szCs w:val="20"/>
          <w:highlight w:val="none"/>
          <w:lang w:val="en-US" w:eastAsia="zh-CN"/>
        </w:rPr>
        <w:t>2</w:t>
      </w:r>
      <w:r>
        <w:rPr>
          <w:rFonts w:ascii="Times New Roman" w:hAnsi="Times New Roman" w:cs="Times New Roman" w:eastAsiaTheme="minorEastAsia"/>
          <w:b/>
          <w:bCs/>
          <w:color w:val="auto"/>
          <w:w w:val="99"/>
          <w:kern w:val="21"/>
          <w:highlight w:val="none"/>
          <w:lang w:bidi="zh-CN"/>
        </w:rPr>
        <w:t xml:space="preserve">                   土壤现状监测点位</w:t>
      </w:r>
    </w:p>
    <w:tbl>
      <w:tblPr>
        <w:tblStyle w:val="8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24"/>
        <w:gridCol w:w="1407"/>
        <w:gridCol w:w="2659"/>
        <w:gridCol w:w="1927"/>
        <w:gridCol w:w="286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8" w:type="pct"/>
            <w:vAlign w:val="center"/>
          </w:tcPr>
          <w:p>
            <w:pPr>
              <w:widowControl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编号</w:t>
            </w:r>
          </w:p>
        </w:tc>
        <w:tc>
          <w:tcPr>
            <w:tcW w:w="758" w:type="pct"/>
            <w:vAlign w:val="center"/>
          </w:tcPr>
          <w:p>
            <w:pPr>
              <w:widowControl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监测点名称</w:t>
            </w:r>
          </w:p>
        </w:tc>
        <w:tc>
          <w:tcPr>
            <w:tcW w:w="1431" w:type="pct"/>
            <w:vAlign w:val="center"/>
          </w:tcPr>
          <w:p>
            <w:pPr>
              <w:widowControl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坐标</w:t>
            </w:r>
          </w:p>
        </w:tc>
        <w:tc>
          <w:tcPr>
            <w:tcW w:w="1037" w:type="pct"/>
            <w:vAlign w:val="center"/>
          </w:tcPr>
          <w:p>
            <w:pPr>
              <w:widowControl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执行标准</w:t>
            </w:r>
          </w:p>
        </w:tc>
        <w:tc>
          <w:tcPr>
            <w:tcW w:w="1544" w:type="pct"/>
            <w:vAlign w:val="center"/>
          </w:tcPr>
          <w:p>
            <w:pPr>
              <w:widowControl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8" w:type="pct"/>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w:t>
            </w:r>
          </w:p>
        </w:tc>
        <w:tc>
          <w:tcPr>
            <w:tcW w:w="1407" w:type="dxa"/>
            <w:vAlign w:val="center"/>
          </w:tcPr>
          <w:p>
            <w:pPr>
              <w:widowControl w:val="0"/>
              <w:adjustRightInd w:val="0"/>
              <w:snapToGrid w:val="0"/>
              <w:spacing w:line="360" w:lineRule="exact"/>
              <w:jc w:val="center"/>
              <w:textAlignment w:val="baseline"/>
              <w:rPr>
                <w:rFonts w:hint="eastAsia"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w:t>
            </w:r>
            <w:r>
              <w:rPr>
                <w:rFonts w:hint="eastAsia" w:ascii="Times New Roman" w:hAnsi="Times New Roman" w:cs="Times New Roman" w:eastAsiaTheme="minorEastAsia"/>
                <w:color w:val="auto"/>
                <w:w w:val="99"/>
                <w:kern w:val="21"/>
                <w:sz w:val="21"/>
                <w:szCs w:val="21"/>
                <w:highlight w:val="none"/>
                <w:lang w:eastAsia="zh-CN"/>
              </w:rPr>
              <w:t>源240-132</w:t>
            </w:r>
            <w:r>
              <w:rPr>
                <w:rFonts w:hint="eastAsia" w:ascii="Times New Roman" w:hAnsi="Times New Roman" w:cs="Times New Roman" w:eastAsiaTheme="minorEastAsia"/>
                <w:color w:val="auto"/>
                <w:w w:val="99"/>
                <w:kern w:val="21"/>
                <w:sz w:val="21"/>
                <w:szCs w:val="21"/>
                <w:highlight w:val="none"/>
              </w:rPr>
              <w:t>井场永久占地内</w:t>
            </w:r>
          </w:p>
        </w:tc>
        <w:tc>
          <w:tcPr>
            <w:tcW w:w="2659" w:type="dxa"/>
            <w:vAlign w:val="center"/>
          </w:tcPr>
          <w:p>
            <w:pPr>
              <w:widowControl w:val="0"/>
              <w:adjustRightInd w:val="0"/>
              <w:snapToGrid w:val="0"/>
              <w:spacing w:line="360" w:lineRule="exact"/>
              <w:jc w:val="center"/>
              <w:textAlignment w:val="baseline"/>
              <w:rPr>
                <w:rFonts w:hint="eastAsia"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125.00351429,45.57761281</w:t>
            </w:r>
          </w:p>
        </w:tc>
        <w:tc>
          <w:tcPr>
            <w:tcW w:w="1037" w:type="pct"/>
            <w:vMerge w:val="restar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《土壤环境质量 建设用地土壤污染风险管控标准（试行）》（GB36600-2018）中第二类用地筛选值</w:t>
            </w:r>
          </w:p>
        </w:tc>
        <w:tc>
          <w:tcPr>
            <w:tcW w:w="2869" w:type="dxa"/>
            <w:vAlign w:val="center"/>
          </w:tcPr>
          <w:p>
            <w:pPr>
              <w:widowControl w:val="0"/>
              <w:adjustRightInd w:val="0"/>
              <w:snapToGrid w:val="0"/>
              <w:spacing w:line="360" w:lineRule="exact"/>
              <w:jc w:val="center"/>
              <w:textAlignment w:val="baseline"/>
              <w:rPr>
                <w:rFonts w:hint="eastAsia"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采取柱状样，在0~0.5m、0.5~1.5m、1.5~3m分别取样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8" w:type="pct"/>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2</w:t>
            </w:r>
          </w:p>
        </w:tc>
        <w:tc>
          <w:tcPr>
            <w:tcW w:w="1407" w:type="dxa"/>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拟钻源232-136井场永久占地内</w:t>
            </w:r>
          </w:p>
        </w:tc>
        <w:tc>
          <w:tcPr>
            <w:tcW w:w="2659" w:type="dxa"/>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125.01059532,45.57037312</w:t>
            </w:r>
          </w:p>
        </w:tc>
        <w:tc>
          <w:tcPr>
            <w:tcW w:w="1037" w:type="pct"/>
            <w:vMerge w:val="continue"/>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p>
        </w:tc>
        <w:tc>
          <w:tcPr>
            <w:tcW w:w="2869" w:type="dxa"/>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采取柱状样，在0~0.5m、0.5~1.5m、1.5~3m分别取样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8" w:type="pct"/>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3</w:t>
            </w:r>
          </w:p>
        </w:tc>
        <w:tc>
          <w:tcPr>
            <w:tcW w:w="1407" w:type="dxa"/>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拟钻源256-128井场永久占地内</w:t>
            </w:r>
          </w:p>
        </w:tc>
        <w:tc>
          <w:tcPr>
            <w:tcW w:w="2659" w:type="dxa"/>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124.99553204,45.56863065</w:t>
            </w:r>
          </w:p>
        </w:tc>
        <w:tc>
          <w:tcPr>
            <w:tcW w:w="1037" w:type="pct"/>
            <w:vMerge w:val="continue"/>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p>
        </w:tc>
        <w:tc>
          <w:tcPr>
            <w:tcW w:w="2869" w:type="dxa"/>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采取柱状样，在0~0.5m、0.5~1.5m、1.5~3m分别取样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8" w:type="pct"/>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w:t>
            </w:r>
          </w:p>
        </w:tc>
        <w:tc>
          <w:tcPr>
            <w:tcW w:w="1407" w:type="dxa"/>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拟钻源298-110井场永久占地内</w:t>
            </w:r>
          </w:p>
        </w:tc>
        <w:tc>
          <w:tcPr>
            <w:tcW w:w="2659" w:type="dxa"/>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124.98677731,45.56235129</w:t>
            </w:r>
          </w:p>
        </w:tc>
        <w:tc>
          <w:tcPr>
            <w:tcW w:w="1037" w:type="pct"/>
            <w:vMerge w:val="continue"/>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p>
        </w:tc>
        <w:tc>
          <w:tcPr>
            <w:tcW w:w="2869" w:type="dxa"/>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采取柱状样，在0~0.5m、0.5~1.5m、1.5~3m分别取样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8" w:type="pct"/>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5</w:t>
            </w:r>
          </w:p>
        </w:tc>
        <w:tc>
          <w:tcPr>
            <w:tcW w:w="1407" w:type="dxa"/>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拟钻源278-128井场永久占地内</w:t>
            </w:r>
          </w:p>
        </w:tc>
        <w:tc>
          <w:tcPr>
            <w:tcW w:w="2659" w:type="dxa"/>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124.99978065,45.55967710</w:t>
            </w:r>
          </w:p>
        </w:tc>
        <w:tc>
          <w:tcPr>
            <w:tcW w:w="1037" w:type="pct"/>
            <w:vMerge w:val="continue"/>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p>
        </w:tc>
        <w:tc>
          <w:tcPr>
            <w:tcW w:w="2869" w:type="dxa"/>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采取柱状样，在0~0.5m、0.5~1.5m、1.5~3m分别取样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8" w:type="pct"/>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6</w:t>
            </w:r>
          </w:p>
        </w:tc>
        <w:tc>
          <w:tcPr>
            <w:tcW w:w="1407" w:type="dxa"/>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拟钻源244-134井场永久占地内</w:t>
            </w:r>
          </w:p>
        </w:tc>
        <w:tc>
          <w:tcPr>
            <w:tcW w:w="2659" w:type="dxa"/>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125.00673294,45.57650138</w:t>
            </w:r>
          </w:p>
        </w:tc>
        <w:tc>
          <w:tcPr>
            <w:tcW w:w="1037" w:type="pct"/>
            <w:vMerge w:val="continue"/>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p>
        </w:tc>
        <w:tc>
          <w:tcPr>
            <w:tcW w:w="2869" w:type="dxa"/>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采取表层样，在0~0.2m取样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8" w:type="pct"/>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7</w:t>
            </w:r>
          </w:p>
        </w:tc>
        <w:tc>
          <w:tcPr>
            <w:tcW w:w="1407" w:type="dxa"/>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拟钻源284-120井场永久占地内</w:t>
            </w:r>
          </w:p>
        </w:tc>
        <w:tc>
          <w:tcPr>
            <w:tcW w:w="2659" w:type="dxa"/>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124.99660492,45.56346300</w:t>
            </w:r>
          </w:p>
        </w:tc>
        <w:tc>
          <w:tcPr>
            <w:tcW w:w="1037" w:type="pct"/>
            <w:vMerge w:val="continue"/>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p>
        </w:tc>
        <w:tc>
          <w:tcPr>
            <w:tcW w:w="2869" w:type="dxa"/>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采取表层样，在0~0.2m取样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8" w:type="pct"/>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8</w:t>
            </w:r>
          </w:p>
        </w:tc>
        <w:tc>
          <w:tcPr>
            <w:tcW w:w="1407" w:type="dxa"/>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lang w:eastAsia="zh-CN"/>
              </w:rPr>
              <w:t>厢房屯</w:t>
            </w:r>
            <w:r>
              <w:rPr>
                <w:rFonts w:hint="eastAsia" w:ascii="Times New Roman" w:hAnsi="Times New Roman" w:cs="Times New Roman" w:eastAsiaTheme="minorEastAsia"/>
                <w:color w:val="auto"/>
                <w:w w:val="99"/>
                <w:kern w:val="21"/>
                <w:sz w:val="21"/>
                <w:szCs w:val="21"/>
                <w:highlight w:val="none"/>
              </w:rPr>
              <w:t>土壤</w:t>
            </w:r>
          </w:p>
        </w:tc>
        <w:tc>
          <w:tcPr>
            <w:tcW w:w="2659" w:type="dxa"/>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125.00372887,45.56574644</w:t>
            </w:r>
          </w:p>
        </w:tc>
        <w:tc>
          <w:tcPr>
            <w:tcW w:w="1037"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《土壤环境质量 建设用地土壤污染风险管控标准（试行）》（GB36600-2018）中第一类用地筛选值</w:t>
            </w:r>
          </w:p>
        </w:tc>
        <w:tc>
          <w:tcPr>
            <w:tcW w:w="2869" w:type="dxa"/>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采取表层样，在0~0.2m取样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70" w:hRule="atLeast"/>
          <w:jc w:val="center"/>
        </w:trPr>
        <w:tc>
          <w:tcPr>
            <w:tcW w:w="228" w:type="pct"/>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9</w:t>
            </w:r>
          </w:p>
        </w:tc>
        <w:tc>
          <w:tcPr>
            <w:tcW w:w="1407" w:type="dxa"/>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w:t>
            </w:r>
            <w:r>
              <w:rPr>
                <w:rFonts w:hint="eastAsia" w:ascii="Times New Roman" w:hAnsi="Times New Roman" w:cs="Times New Roman" w:eastAsiaTheme="minorEastAsia"/>
                <w:color w:val="auto"/>
                <w:w w:val="99"/>
                <w:kern w:val="21"/>
                <w:sz w:val="21"/>
                <w:szCs w:val="21"/>
                <w:highlight w:val="none"/>
                <w:lang w:eastAsia="zh-CN"/>
              </w:rPr>
              <w:t>源248-126西侧200m</w:t>
            </w:r>
            <w:r>
              <w:rPr>
                <w:rFonts w:hint="eastAsia" w:ascii="Times New Roman" w:hAnsi="Times New Roman" w:cs="Times New Roman" w:eastAsiaTheme="minorEastAsia"/>
                <w:color w:val="auto"/>
                <w:w w:val="99"/>
                <w:kern w:val="21"/>
                <w:sz w:val="21"/>
                <w:szCs w:val="21"/>
                <w:highlight w:val="none"/>
              </w:rPr>
              <w:t>处</w:t>
            </w:r>
            <w:r>
              <w:rPr>
                <w:rFonts w:hint="eastAsia" w:ascii="Times New Roman" w:hAnsi="Times New Roman" w:cs="Times New Roman" w:eastAsiaTheme="minorEastAsia"/>
                <w:color w:val="auto"/>
                <w:w w:val="99"/>
                <w:kern w:val="21"/>
                <w:sz w:val="21"/>
                <w:szCs w:val="21"/>
                <w:highlight w:val="none"/>
                <w:lang w:eastAsia="zh-CN"/>
              </w:rPr>
              <w:t>耕</w:t>
            </w:r>
            <w:r>
              <w:rPr>
                <w:rFonts w:hint="eastAsia" w:ascii="Times New Roman" w:hAnsi="Times New Roman" w:cs="Times New Roman" w:eastAsiaTheme="minorEastAsia"/>
                <w:color w:val="auto"/>
                <w:w w:val="99"/>
                <w:kern w:val="21"/>
                <w:sz w:val="21"/>
                <w:szCs w:val="21"/>
                <w:highlight w:val="none"/>
              </w:rPr>
              <w:t>地</w:t>
            </w:r>
          </w:p>
        </w:tc>
        <w:tc>
          <w:tcPr>
            <w:tcW w:w="2659" w:type="dxa"/>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124.98862267,45.57523974</w:t>
            </w:r>
          </w:p>
        </w:tc>
        <w:tc>
          <w:tcPr>
            <w:tcW w:w="1037" w:type="pct"/>
            <w:vMerge w:val="restar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《土壤环境质量 农用地土壤污染风险管控标准》（GB 15618—2018）中的筛选值</w:t>
            </w:r>
          </w:p>
        </w:tc>
        <w:tc>
          <w:tcPr>
            <w:tcW w:w="2869" w:type="dxa"/>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采取表层样，在0~0.2m取样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8" w:type="pct"/>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10</w:t>
            </w:r>
          </w:p>
        </w:tc>
        <w:tc>
          <w:tcPr>
            <w:tcW w:w="1407" w:type="dxa"/>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w:t>
            </w:r>
            <w:r>
              <w:rPr>
                <w:rFonts w:hint="eastAsia" w:ascii="Times New Roman" w:hAnsi="Times New Roman" w:cs="Times New Roman" w:eastAsiaTheme="minorEastAsia"/>
                <w:color w:val="auto"/>
                <w:w w:val="99"/>
                <w:kern w:val="21"/>
                <w:sz w:val="21"/>
                <w:szCs w:val="21"/>
                <w:highlight w:val="none"/>
                <w:lang w:eastAsia="zh-CN"/>
              </w:rPr>
              <w:t>源288-114西南侧200m</w:t>
            </w:r>
            <w:r>
              <w:rPr>
                <w:rFonts w:hint="eastAsia" w:ascii="Times New Roman" w:hAnsi="Times New Roman" w:cs="Times New Roman" w:eastAsiaTheme="minorEastAsia"/>
                <w:color w:val="auto"/>
                <w:w w:val="99"/>
                <w:kern w:val="21"/>
                <w:sz w:val="21"/>
                <w:szCs w:val="21"/>
                <w:highlight w:val="none"/>
              </w:rPr>
              <w:t>处耕地</w:t>
            </w:r>
          </w:p>
        </w:tc>
        <w:tc>
          <w:tcPr>
            <w:tcW w:w="2659" w:type="dxa"/>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124.98089790,45.55889585</w:t>
            </w:r>
          </w:p>
        </w:tc>
        <w:tc>
          <w:tcPr>
            <w:tcW w:w="1037" w:type="pct"/>
            <w:vMerge w:val="continue"/>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p>
        </w:tc>
        <w:tc>
          <w:tcPr>
            <w:tcW w:w="2869" w:type="dxa"/>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采取表层样，在0~0.2m取样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8" w:type="pct"/>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11</w:t>
            </w:r>
          </w:p>
        </w:tc>
        <w:tc>
          <w:tcPr>
            <w:tcW w:w="1407" w:type="dxa"/>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w:t>
            </w:r>
            <w:r>
              <w:rPr>
                <w:rFonts w:hint="eastAsia" w:ascii="Times New Roman" w:hAnsi="Times New Roman" w:cs="Times New Roman" w:eastAsiaTheme="minorEastAsia"/>
                <w:color w:val="auto"/>
                <w:w w:val="99"/>
                <w:kern w:val="21"/>
                <w:sz w:val="21"/>
                <w:szCs w:val="21"/>
                <w:highlight w:val="none"/>
                <w:lang w:eastAsia="zh-CN"/>
              </w:rPr>
              <w:t>源282-126东侧200m</w:t>
            </w:r>
            <w:r>
              <w:rPr>
                <w:rFonts w:hint="eastAsia" w:ascii="Times New Roman" w:hAnsi="Times New Roman" w:cs="Times New Roman" w:eastAsiaTheme="minorEastAsia"/>
                <w:color w:val="auto"/>
                <w:w w:val="99"/>
                <w:kern w:val="21"/>
                <w:sz w:val="21"/>
                <w:szCs w:val="21"/>
                <w:highlight w:val="none"/>
              </w:rPr>
              <w:t>处</w:t>
            </w:r>
            <w:r>
              <w:rPr>
                <w:rFonts w:hint="eastAsia" w:ascii="Times New Roman" w:hAnsi="Times New Roman" w:cs="Times New Roman" w:eastAsiaTheme="minorEastAsia"/>
                <w:color w:val="auto"/>
                <w:w w:val="99"/>
                <w:kern w:val="21"/>
                <w:sz w:val="21"/>
                <w:szCs w:val="21"/>
                <w:highlight w:val="none"/>
                <w:lang w:eastAsia="zh-CN"/>
              </w:rPr>
              <w:t>耕</w:t>
            </w:r>
            <w:r>
              <w:rPr>
                <w:rFonts w:hint="eastAsia" w:ascii="Times New Roman" w:hAnsi="Times New Roman" w:cs="Times New Roman" w:eastAsiaTheme="minorEastAsia"/>
                <w:color w:val="auto"/>
                <w:w w:val="99"/>
                <w:kern w:val="21"/>
                <w:sz w:val="21"/>
                <w:szCs w:val="21"/>
                <w:highlight w:val="none"/>
              </w:rPr>
              <w:t>地</w:t>
            </w:r>
          </w:p>
        </w:tc>
        <w:tc>
          <w:tcPr>
            <w:tcW w:w="2659" w:type="dxa"/>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125.01359940,45.56075881</w:t>
            </w:r>
          </w:p>
        </w:tc>
        <w:tc>
          <w:tcPr>
            <w:tcW w:w="1037" w:type="pct"/>
            <w:vMerge w:val="continue"/>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p>
        </w:tc>
        <w:tc>
          <w:tcPr>
            <w:tcW w:w="2869" w:type="dxa"/>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采取表层样，在0~0.2m取样</w:t>
            </w:r>
          </w:p>
        </w:tc>
      </w:tr>
    </w:tbl>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（2）监测项目</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1#~</w:t>
      </w:r>
      <w:r>
        <w:rPr>
          <w:rFonts w:hint="eastAsia" w:ascii="Times New Roman" w:hAnsi="Times New Roman" w:cs="Times New Roman" w:eastAsiaTheme="minorEastAsia"/>
          <w:color w:val="auto"/>
          <w:w w:val="99"/>
          <w:kern w:val="21"/>
          <w:highlight w:val="none"/>
        </w:rPr>
        <w:t>6</w:t>
      </w:r>
      <w:r>
        <w:rPr>
          <w:rFonts w:ascii="Times New Roman" w:hAnsi="Times New Roman" w:cs="Times New Roman" w:eastAsiaTheme="minorEastAsia"/>
          <w:color w:val="auto"/>
          <w:w w:val="99"/>
          <w:kern w:val="21"/>
          <w:highlight w:val="none"/>
        </w:rPr>
        <w:t>#点位监测项目：pH、Cd、Hg、As、Pb、Cr（六价）、Cu、Ni、苯、甲苯、乙苯、氯苯、苯乙烯、间二甲苯+对二甲苯、邻二甲苯、氯乙烯、1,2-二氯苯、1,4-二氯苯、四氯化碳、氯仿、氯甲烷、1,1-二氯乙烷、1,2-二氯乙烷、1,1-二氯乙烯、顺-1,2-二氯乙烯、反-1,2-二氯乙烯、二氯甲烷、1,2-二氯丙烷、1,1,1,2-四氯乙烷、1,1,2,2-四氯乙烷、四氯乙烯、1,1,1-三氯乙烷、1,1,2-三氯乙烷、三氯乙烯、1,2,3- 三氯丙烷、硝基苯、苯胺、2-氯酚、䓛、萘、苯并（a）蒽、苯并（b）荧蒽、苯并（k）荧蒽、苯并(a)芘、茚并（1，2，3-cd）芘、二苯并（a,h）蒽、石油烃（C</w:t>
      </w:r>
      <w:r>
        <w:rPr>
          <w:rFonts w:ascii="Times New Roman" w:hAnsi="Times New Roman" w:cs="Times New Roman" w:eastAsiaTheme="minorEastAsia"/>
          <w:color w:val="auto"/>
          <w:w w:val="99"/>
          <w:kern w:val="21"/>
          <w:highlight w:val="none"/>
          <w:vertAlign w:val="subscript"/>
        </w:rPr>
        <w:t>10</w:t>
      </w:r>
      <w:r>
        <w:rPr>
          <w:rFonts w:ascii="Times New Roman" w:hAnsi="Times New Roman" w:cs="Times New Roman" w:eastAsiaTheme="minorEastAsia"/>
          <w:color w:val="auto"/>
          <w:w w:val="99"/>
          <w:kern w:val="21"/>
          <w:highlight w:val="none"/>
        </w:rPr>
        <w:t>-C</w:t>
      </w:r>
      <w:r>
        <w:rPr>
          <w:rFonts w:ascii="Times New Roman" w:hAnsi="Times New Roman" w:cs="Times New Roman" w:eastAsiaTheme="minorEastAsia"/>
          <w:color w:val="auto"/>
          <w:w w:val="99"/>
          <w:kern w:val="21"/>
          <w:highlight w:val="none"/>
          <w:vertAlign w:val="subscript"/>
        </w:rPr>
        <w:t>40</w:t>
      </w:r>
      <w:r>
        <w:rPr>
          <w:rFonts w:ascii="Times New Roman" w:hAnsi="Times New Roman" w:cs="Times New Roman" w:eastAsiaTheme="minorEastAsia"/>
          <w:color w:val="auto"/>
          <w:w w:val="99"/>
          <w:kern w:val="21"/>
          <w:highlight w:val="none"/>
        </w:rPr>
        <w:t>）。共47项。</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hint="eastAsia" w:ascii="Times New Roman" w:hAnsi="Times New Roman" w:cs="Times New Roman" w:eastAsiaTheme="minorEastAsia"/>
          <w:color w:val="auto"/>
          <w:w w:val="99"/>
          <w:kern w:val="21"/>
          <w:highlight w:val="none"/>
        </w:rPr>
        <w:t>7</w:t>
      </w:r>
      <w:r>
        <w:rPr>
          <w:rFonts w:ascii="Times New Roman" w:hAnsi="Times New Roman" w:cs="Times New Roman" w:eastAsiaTheme="minorEastAsia"/>
          <w:color w:val="auto"/>
          <w:w w:val="99"/>
          <w:kern w:val="21"/>
          <w:highlight w:val="none"/>
        </w:rPr>
        <w:t>#~1</w:t>
      </w:r>
      <w:r>
        <w:rPr>
          <w:rFonts w:hint="eastAsia" w:ascii="Times New Roman" w:hAnsi="Times New Roman" w:cs="Times New Roman" w:eastAsiaTheme="minorEastAsia"/>
          <w:color w:val="auto"/>
          <w:w w:val="99"/>
          <w:kern w:val="21"/>
          <w:highlight w:val="none"/>
        </w:rPr>
        <w:t>0</w:t>
      </w:r>
      <w:r>
        <w:rPr>
          <w:rFonts w:ascii="Times New Roman" w:hAnsi="Times New Roman" w:cs="Times New Roman" w:eastAsiaTheme="minorEastAsia"/>
          <w:color w:val="auto"/>
          <w:w w:val="99"/>
          <w:kern w:val="21"/>
          <w:highlight w:val="none"/>
        </w:rPr>
        <w:t>#点位监测项目：pH、镉、汞、砷、铅、铬、铜、镍、锌、石油烃（C</w:t>
      </w:r>
      <w:r>
        <w:rPr>
          <w:rFonts w:ascii="Times New Roman" w:hAnsi="Times New Roman" w:cs="Times New Roman" w:eastAsiaTheme="minorEastAsia"/>
          <w:color w:val="auto"/>
          <w:w w:val="99"/>
          <w:kern w:val="21"/>
          <w:highlight w:val="none"/>
          <w:vertAlign w:val="subscript"/>
        </w:rPr>
        <w:t>10</w:t>
      </w:r>
      <w:r>
        <w:rPr>
          <w:rFonts w:ascii="Times New Roman" w:hAnsi="Times New Roman" w:cs="Times New Roman" w:eastAsiaTheme="minorEastAsia"/>
          <w:color w:val="auto"/>
          <w:w w:val="99"/>
          <w:kern w:val="21"/>
          <w:highlight w:val="none"/>
        </w:rPr>
        <w:t>-C</w:t>
      </w:r>
      <w:r>
        <w:rPr>
          <w:rFonts w:ascii="Times New Roman" w:hAnsi="Times New Roman" w:cs="Times New Roman" w:eastAsiaTheme="minorEastAsia"/>
          <w:color w:val="auto"/>
          <w:w w:val="99"/>
          <w:kern w:val="21"/>
          <w:highlight w:val="none"/>
          <w:vertAlign w:val="subscript"/>
        </w:rPr>
        <w:t>40</w:t>
      </w:r>
      <w:r>
        <w:rPr>
          <w:rFonts w:ascii="Times New Roman" w:hAnsi="Times New Roman" w:cs="Times New Roman" w:eastAsiaTheme="minorEastAsia"/>
          <w:color w:val="auto"/>
          <w:w w:val="99"/>
          <w:kern w:val="21"/>
          <w:highlight w:val="none"/>
        </w:rPr>
        <w:t>），共10项。</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（3）监测时间</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202</w:t>
      </w:r>
      <w:r>
        <w:rPr>
          <w:rFonts w:hint="eastAsia" w:ascii="Times New Roman" w:hAnsi="Times New Roman" w:cs="Times New Roman" w:eastAsiaTheme="minorEastAsia"/>
          <w:color w:val="auto"/>
          <w:w w:val="99"/>
          <w:kern w:val="21"/>
          <w:highlight w:val="none"/>
          <w:lang w:val="en-US" w:eastAsia="zh-CN"/>
        </w:rPr>
        <w:t>2</w:t>
      </w:r>
      <w:r>
        <w:rPr>
          <w:rFonts w:ascii="Times New Roman" w:hAnsi="Times New Roman" w:cs="Times New Roman" w:eastAsiaTheme="minorEastAsia"/>
          <w:color w:val="auto"/>
          <w:w w:val="99"/>
          <w:kern w:val="21"/>
          <w:highlight w:val="none"/>
        </w:rPr>
        <w:t>年</w:t>
      </w:r>
      <w:r>
        <w:rPr>
          <w:rFonts w:hint="eastAsia" w:ascii="Times New Roman" w:hAnsi="Times New Roman" w:cs="Times New Roman" w:eastAsiaTheme="minorEastAsia"/>
          <w:color w:val="auto"/>
          <w:w w:val="99"/>
          <w:kern w:val="21"/>
          <w:highlight w:val="none"/>
          <w:lang w:val="en-US" w:eastAsia="zh-CN"/>
        </w:rPr>
        <w:t>1</w:t>
      </w:r>
      <w:r>
        <w:rPr>
          <w:rFonts w:ascii="Times New Roman" w:hAnsi="Times New Roman" w:cs="Times New Roman" w:eastAsiaTheme="minorEastAsia"/>
          <w:color w:val="auto"/>
          <w:w w:val="99"/>
          <w:kern w:val="21"/>
          <w:highlight w:val="none"/>
        </w:rPr>
        <w:t>月</w:t>
      </w:r>
      <w:r>
        <w:rPr>
          <w:rFonts w:hint="eastAsia" w:ascii="Times New Roman" w:hAnsi="Times New Roman" w:cs="Times New Roman" w:eastAsiaTheme="minorEastAsia"/>
          <w:color w:val="auto"/>
          <w:w w:val="99"/>
          <w:kern w:val="21"/>
          <w:highlight w:val="none"/>
          <w:lang w:val="en-US" w:eastAsia="zh-CN"/>
        </w:rPr>
        <w:t>18</w:t>
      </w:r>
      <w:r>
        <w:rPr>
          <w:rFonts w:ascii="Times New Roman" w:hAnsi="Times New Roman" w:cs="Times New Roman" w:eastAsiaTheme="minorEastAsia"/>
          <w:color w:val="auto"/>
          <w:w w:val="99"/>
          <w:kern w:val="21"/>
          <w:highlight w:val="none"/>
        </w:rPr>
        <w:t>日。</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kern w:val="21"/>
          <w:highlight w:val="none"/>
        </w:rPr>
        <w:t>（4）</w:t>
      </w:r>
      <w:r>
        <w:rPr>
          <w:rFonts w:ascii="Times New Roman" w:hAnsi="Times New Roman" w:cs="Times New Roman" w:eastAsiaTheme="minorEastAsia"/>
          <w:color w:val="auto"/>
          <w:w w:val="99"/>
          <w:highlight w:val="none"/>
        </w:rPr>
        <w:t>监测频次</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采样1次，分别对各采样土壤进行监测因子全分析。</w:t>
      </w:r>
    </w:p>
    <w:p>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color w:val="auto"/>
          <w:w w:val="99"/>
          <w:kern w:val="21"/>
          <w:highlight w:val="none"/>
        </w:rPr>
      </w:pPr>
      <w:r>
        <w:rPr>
          <w:rFonts w:ascii="Times New Roman" w:hAnsi="Times New Roman" w:cs="Times New Roman" w:eastAsiaTheme="minorEastAsia"/>
          <w:color w:val="auto"/>
          <w:w w:val="99"/>
          <w:kern w:val="21"/>
          <w:highlight w:val="none"/>
        </w:rPr>
        <w:t>（5）</w:t>
      </w:r>
      <w:r>
        <w:rPr>
          <w:rFonts w:hint="default" w:ascii="Times New Roman" w:hAnsi="Times New Roman" w:eastAsia="宋体" w:cs="Times New Roman"/>
          <w:color w:val="auto"/>
          <w:w w:val="99"/>
          <w:kern w:val="21"/>
          <w:highlight w:val="none"/>
        </w:rPr>
        <w:t>监测方法</w:t>
      </w:r>
    </w:p>
    <w:p>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color w:val="auto"/>
          <w:w w:val="99"/>
          <w:kern w:val="21"/>
          <w:highlight w:val="none"/>
        </w:rPr>
      </w:pPr>
      <w:r>
        <w:rPr>
          <w:rFonts w:hint="eastAsia" w:ascii="Times New Roman" w:hAnsi="Times New Roman" w:eastAsia="宋体" w:cs="Times New Roman"/>
          <w:color w:val="auto"/>
          <w:w w:val="99"/>
          <w:kern w:val="21"/>
          <w:highlight w:val="none"/>
          <w:lang w:eastAsia="zh-CN"/>
        </w:rPr>
        <w:t>土壤环境质量</w:t>
      </w:r>
      <w:r>
        <w:rPr>
          <w:rFonts w:hint="default" w:ascii="Times New Roman" w:hAnsi="Times New Roman" w:eastAsia="宋体" w:cs="Times New Roman"/>
          <w:color w:val="auto"/>
          <w:w w:val="99"/>
          <w:kern w:val="21"/>
          <w:highlight w:val="none"/>
        </w:rPr>
        <w:t>现状监测分析方法见表4.2-</w:t>
      </w:r>
      <w:r>
        <w:rPr>
          <w:rFonts w:hint="eastAsia" w:ascii="Times New Roman" w:hAnsi="Times New Roman" w:cs="Times New Roman"/>
          <w:color w:val="auto"/>
          <w:w w:val="99"/>
          <w:kern w:val="21"/>
          <w:highlight w:val="none"/>
          <w:lang w:val="en-US" w:eastAsia="zh-CN"/>
        </w:rPr>
        <w:t>23</w:t>
      </w:r>
      <w:r>
        <w:rPr>
          <w:rFonts w:hint="default" w:ascii="Times New Roman" w:hAnsi="Times New Roman" w:eastAsia="宋体" w:cs="Times New Roman"/>
          <w:color w:val="auto"/>
          <w:w w:val="99"/>
          <w:kern w:val="21"/>
          <w:highlight w:val="none"/>
        </w:rPr>
        <w:t>。</w:t>
      </w:r>
    </w:p>
    <w:p>
      <w:pPr>
        <w:keepNext w:val="0"/>
        <w:keepLines w:val="0"/>
        <w:pageBreakBefore w:val="0"/>
        <w:widowControl/>
        <w:kinsoku/>
        <w:wordWrap/>
        <w:overflowPunct/>
        <w:topLinePunct w:val="0"/>
        <w:autoSpaceDE/>
        <w:autoSpaceDN/>
        <w:bidi w:val="0"/>
        <w:adjustRightInd/>
        <w:snapToGrid/>
        <w:spacing w:line="440" w:lineRule="exact"/>
        <w:ind w:firstLine="476" w:firstLineChars="200"/>
        <w:jc w:val="both"/>
        <w:textAlignment w:val="auto"/>
        <w:rPr>
          <w:rFonts w:hint="eastAsia" w:ascii="Times New Roman" w:hAnsi="Times New Roman" w:eastAsia="宋体" w:cs="Times New Roman"/>
          <w:b/>
          <w:bCs/>
          <w:color w:val="auto"/>
          <w:w w:val="99"/>
          <w:kern w:val="21"/>
          <w:highlight w:val="none"/>
        </w:rPr>
      </w:pPr>
      <w:r>
        <w:rPr>
          <w:rFonts w:hint="eastAsia" w:ascii="Times New Roman" w:hAnsi="Times New Roman" w:eastAsia="宋体" w:cs="Times New Roman"/>
          <w:b/>
          <w:bCs/>
          <w:color w:val="auto"/>
          <w:w w:val="99"/>
          <w:kern w:val="21"/>
          <w:highlight w:val="none"/>
        </w:rPr>
        <w:t>表4.2-</w:t>
      </w:r>
      <w:r>
        <w:rPr>
          <w:rFonts w:hint="eastAsia" w:ascii="Times New Roman" w:hAnsi="Times New Roman" w:cs="Times New Roman"/>
          <w:b/>
          <w:bCs/>
          <w:color w:val="auto"/>
          <w:w w:val="99"/>
          <w:kern w:val="21"/>
          <w:highlight w:val="none"/>
          <w:lang w:val="en-US" w:eastAsia="zh-CN"/>
        </w:rPr>
        <w:t>23</w:t>
      </w:r>
      <w:r>
        <w:rPr>
          <w:rFonts w:hint="eastAsia" w:ascii="Times New Roman" w:hAnsi="Times New Roman" w:eastAsia="宋体" w:cs="Times New Roman"/>
          <w:b/>
          <w:bCs/>
          <w:color w:val="auto"/>
          <w:w w:val="99"/>
          <w:kern w:val="21"/>
          <w:highlight w:val="none"/>
        </w:rPr>
        <w:t xml:space="preserve">    </w:t>
      </w:r>
      <w:r>
        <w:rPr>
          <w:rFonts w:hint="eastAsia" w:ascii="Times New Roman" w:hAnsi="Times New Roman" w:eastAsia="宋体" w:cs="Times New Roman"/>
          <w:b/>
          <w:bCs/>
          <w:color w:val="auto"/>
          <w:w w:val="99"/>
          <w:kern w:val="21"/>
          <w:highlight w:val="none"/>
          <w:lang w:eastAsia="zh-CN"/>
        </w:rPr>
        <w:t>土壤环境</w:t>
      </w:r>
      <w:r>
        <w:rPr>
          <w:rFonts w:hint="eastAsia" w:ascii="Times New Roman" w:hAnsi="Times New Roman" w:eastAsia="宋体" w:cs="Times New Roman"/>
          <w:b/>
          <w:bCs/>
          <w:color w:val="auto"/>
          <w:w w:val="99"/>
          <w:kern w:val="21"/>
          <w:highlight w:val="none"/>
        </w:rPr>
        <w:t>现状监测分析方法及仪器</w:t>
      </w:r>
    </w:p>
    <w:tbl>
      <w:tblPr>
        <w:tblStyle w:val="82"/>
        <w:tblW w:w="9060" w:type="dxa"/>
        <w:tblInd w:w="0" w:type="dxa"/>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51"/>
        <w:gridCol w:w="1104"/>
        <w:gridCol w:w="3110"/>
        <w:gridCol w:w="1390"/>
        <w:gridCol w:w="1635"/>
        <w:gridCol w:w="1370"/>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rPr>
            </w:pPr>
            <w:r>
              <w:rPr>
                <w:rFonts w:hint="default" w:ascii="Times New Roman" w:hAnsi="Times New Roman" w:cs="Times New Roman" w:eastAsiaTheme="minorEastAsia"/>
                <w:color w:val="auto"/>
                <w:w w:val="99"/>
                <w:kern w:val="21"/>
                <w:sz w:val="21"/>
                <w:szCs w:val="21"/>
                <w:highlight w:val="none"/>
              </w:rPr>
              <w:t>序号</w:t>
            </w:r>
          </w:p>
        </w:tc>
        <w:tc>
          <w:tcPr>
            <w:tcW w:w="1104"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rPr>
            </w:pPr>
            <w:r>
              <w:rPr>
                <w:rFonts w:hint="default" w:ascii="Times New Roman" w:hAnsi="Times New Roman" w:cs="Times New Roman" w:eastAsiaTheme="minorEastAsia"/>
                <w:color w:val="auto"/>
                <w:w w:val="99"/>
                <w:kern w:val="21"/>
                <w:sz w:val="21"/>
                <w:szCs w:val="21"/>
                <w:highlight w:val="none"/>
              </w:rPr>
              <w:t>监测</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rPr>
            </w:pPr>
            <w:r>
              <w:rPr>
                <w:rFonts w:hint="default" w:ascii="Times New Roman" w:hAnsi="Times New Roman" w:cs="Times New Roman" w:eastAsiaTheme="minorEastAsia"/>
                <w:color w:val="auto"/>
                <w:w w:val="99"/>
                <w:kern w:val="21"/>
                <w:sz w:val="21"/>
                <w:szCs w:val="21"/>
                <w:highlight w:val="none"/>
              </w:rPr>
              <w:t>项目</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rPr>
            </w:pPr>
            <w:r>
              <w:rPr>
                <w:rFonts w:hint="default" w:ascii="Times New Roman" w:hAnsi="Times New Roman" w:cs="Times New Roman" w:eastAsiaTheme="minorEastAsia"/>
                <w:color w:val="auto"/>
                <w:w w:val="99"/>
                <w:kern w:val="21"/>
                <w:sz w:val="21"/>
                <w:szCs w:val="21"/>
                <w:highlight w:val="none"/>
              </w:rPr>
              <w:t>分析方法名称</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rPr>
            </w:pPr>
            <w:r>
              <w:rPr>
                <w:rFonts w:hint="default" w:ascii="Times New Roman" w:hAnsi="Times New Roman" w:cs="Times New Roman" w:eastAsiaTheme="minorEastAsia"/>
                <w:color w:val="auto"/>
                <w:w w:val="99"/>
                <w:kern w:val="21"/>
                <w:sz w:val="21"/>
                <w:szCs w:val="21"/>
                <w:highlight w:val="none"/>
              </w:rPr>
              <w:t>方法来源及标准号</w:t>
            </w:r>
          </w:p>
        </w:tc>
        <w:tc>
          <w:tcPr>
            <w:tcW w:w="1635"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rPr>
            </w:pPr>
            <w:r>
              <w:rPr>
                <w:rFonts w:hint="default" w:ascii="Times New Roman" w:hAnsi="Times New Roman" w:cs="Times New Roman" w:eastAsiaTheme="minorEastAsia"/>
                <w:color w:val="auto"/>
                <w:w w:val="99"/>
                <w:kern w:val="21"/>
                <w:sz w:val="21"/>
                <w:szCs w:val="21"/>
                <w:highlight w:val="none"/>
              </w:rPr>
              <w:t>分析仪器及型号</w:t>
            </w:r>
          </w:p>
        </w:tc>
        <w:tc>
          <w:tcPr>
            <w:tcW w:w="137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rPr>
            </w:pPr>
            <w:r>
              <w:rPr>
                <w:rFonts w:hint="default" w:ascii="Times New Roman" w:hAnsi="Times New Roman" w:cs="Times New Roman" w:eastAsiaTheme="minorEastAsia"/>
                <w:color w:val="auto"/>
                <w:w w:val="99"/>
                <w:kern w:val="21"/>
                <w:sz w:val="21"/>
                <w:szCs w:val="21"/>
                <w:highlight w:val="none"/>
              </w:rPr>
              <w:t>方法检出限</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rPr>
            </w:pP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w:t>
            </w:r>
          </w:p>
        </w:tc>
        <w:tc>
          <w:tcPr>
            <w:tcW w:w="1104"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rPr>
              <w:t>汞</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rPr>
              <w:t>土壤和沉积物汞、砷、硒、铋、锑的测定微波消解/原子荧光法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rPr>
              <w:t>HJ 680-2013</w:t>
            </w:r>
          </w:p>
        </w:tc>
        <w:tc>
          <w:tcPr>
            <w:tcW w:w="1635"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rPr>
              <w:t>原子荧光光度计AFS-8220</w:t>
            </w:r>
          </w:p>
        </w:tc>
        <w:tc>
          <w:tcPr>
            <w:tcW w:w="137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rPr>
              <w:t>0.002mg/kg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2</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砷</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土壤和沉积物汞、砷、硒、铋、锑的测定微波消解/原子荧光法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680-2013</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原子荧光光度计AFS-8220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0.01mg/kg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3</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铜</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铜、锌、铅、镍、铬的测定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火焰原子吸收分光光度法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491-2019</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原子吸收分光光度计AA320N</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铅</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铜、锌、铅、镍、铬的测定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火焰原子吸收分光光度法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491-2019</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原子吸收分光光度计AA320N</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10mg/kg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5</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镍</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铜、锌、铅、镍、铬的测定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火焰原子吸收分光光度法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491-2019</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原子吸收分光光度计AA320N</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3mg/kg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6</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六价铬</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固体废物 六价铬的测定 碱消解/火焰原子吸收分光光度法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687-2014</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原子吸收分光光度计AA320N</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2mg/kg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镉</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土壤质量 铅、镉的测定 石墨炉原子吸收分光光度法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GB/T 17141-1997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原子吸收分光光度计AA320N</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0.01mg/kg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8</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四氯化碳</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1.3μg/kg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9</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氯仿</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1.1μg/kg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氯甲烷</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1.0μg/kg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1,1-二氯乙烷</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12</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1,2-二氯乙烷</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1.3μg/kg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13</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1,1-二氯乙烯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1.0μg/kg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14</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顺-1,2-二氯乙烯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1.3μg/kg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15</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反-1,2-二氯乙烯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1.4μg/kg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16</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二氯甲烷</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1.5μg/kg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1,2-二氯丙烷</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1.1μg/kg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18</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1,1,1,2-四氯乙烷</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19</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1,1,2,2-四氯乙烷</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20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四氯乙烯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1.4μg/kg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21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1,1,1-三氯乙烷</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1.3μg/kg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22</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1,1,2-三氯乙烷</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23</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三氯乙烯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24</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1,2,3-三氯丙烷</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25</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氯乙烯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1.0μg/kg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26</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1.9μg/kg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27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氯苯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28</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1,2-二氯苯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1.5μg/kg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29</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1,4-二氯苯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1.5μg/kg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30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乙苯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31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苯乙烯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1.1μg/kg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32</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甲苯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1.3μg/kg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33</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间二甲苯+对二甲苯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34</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邻二甲苯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35</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硝基苯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半挥发性有机物的测定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气相色谱法-质谱法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834-2017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0.09mg/kg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36</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苯胺</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半挥发性有机物的测定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气相色谱法-质谱法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834-2017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0.1mg/kg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37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2-氯酚</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半挥发性有机物的测定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气相色谱法-质谱法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834-2017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0.06mg/kg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38</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苯并[a]蒽</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半挥发性有机物的测定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气相色谱法-质谱法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834-2017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0.1mg/kg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39</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苯并[a]芘</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半挥发性有机物的测定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气相色谱法-质谱法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834-2017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0.1mg/kg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苯并[b]荧蒽</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半挥发性有机物的测定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气相色谱法-质谱法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834-2017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0.2mg/kg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苯并[k]荧蒽</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半挥发性有机物的测定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气相色谱法-质谱法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834-2017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0.1mg/kg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42</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䓛</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半挥发性有机物的测定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气相色谱法-质谱法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834-2017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0.1mg/kg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43</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二苯并[a, h]蒽</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半挥发性有机物的测定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气相色谱法-质谱法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834-2017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0.1mg/kg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44</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茚并[1,2,3-cd]芘</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半挥发性有机物的测定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气相色谱法-质谱法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834-2017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0.1mg/kg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45</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萘</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半挥发性有机物的测定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气相色谱法-质谱法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834-2017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0.09mg/kg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46</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石油烃（C10-C40）</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石油烃（C10-C40）的测定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1021-2019</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气相色谱仪</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SP-3420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6mg/kg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pH 值</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 pH 值的测定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电位法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962-2018</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酸度计</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PHS-25</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48</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锌</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铜、锌、铅、镍、铬的测定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火焰原子吸收分光光度法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491-2019</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原子吸收分光光度计AA320N</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49</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铬</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铜、锌、铅、镍、铬的测定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火焰原子吸收分光光度法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491-2019</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原子吸收分光光度计AA320N</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4mg/kg</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50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阳离子交换量</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土壤阳离子交换量的测定三氯化六氨合钴浸提-分光光度法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889-2017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可见分光光度计722</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0.8cmol+/kg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51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氧化还原电位</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 氧化还原电位的测定 电位法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746-2015</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氧化还原电位测试计  ORP30P</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52</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饱和导水率（渗滤率）</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森林土壤渗滤率的测定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滤筒法和环刀法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LY/T 1218-1999</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环刀</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53</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容重</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土壤检测第4部分；土壤容重的测定</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NY/T1121.4-2006</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环刀</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w:t>
            </w:r>
          </w:p>
        </w:tc>
      </w:tr>
    </w:tbl>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hint="eastAsia" w:ascii="Times New Roman" w:hAnsi="Times New Roman" w:cs="Times New Roman" w:eastAsiaTheme="minorEastAsia"/>
          <w:color w:val="auto"/>
          <w:w w:val="99"/>
          <w:kern w:val="21"/>
          <w:highlight w:val="none"/>
          <w:lang w:eastAsia="zh-CN"/>
        </w:rPr>
        <w:t>（</w:t>
      </w:r>
      <w:r>
        <w:rPr>
          <w:rFonts w:hint="eastAsia" w:ascii="Times New Roman" w:hAnsi="Times New Roman" w:cs="Times New Roman" w:eastAsiaTheme="minorEastAsia"/>
          <w:color w:val="auto"/>
          <w:w w:val="99"/>
          <w:kern w:val="21"/>
          <w:highlight w:val="none"/>
          <w:lang w:val="en-US" w:eastAsia="zh-CN"/>
        </w:rPr>
        <w:t>6</w:t>
      </w:r>
      <w:r>
        <w:rPr>
          <w:rFonts w:hint="eastAsia" w:ascii="Times New Roman" w:hAnsi="Times New Roman" w:cs="Times New Roman" w:eastAsiaTheme="minorEastAsia"/>
          <w:color w:val="auto"/>
          <w:w w:val="99"/>
          <w:kern w:val="21"/>
          <w:highlight w:val="none"/>
          <w:lang w:eastAsia="zh-CN"/>
        </w:rPr>
        <w:t>）</w:t>
      </w:r>
      <w:r>
        <w:rPr>
          <w:rFonts w:ascii="Times New Roman" w:hAnsi="Times New Roman" w:cs="Times New Roman" w:eastAsiaTheme="minorEastAsia"/>
          <w:color w:val="auto"/>
          <w:w w:val="99"/>
          <w:kern w:val="21"/>
          <w:highlight w:val="none"/>
        </w:rPr>
        <w:t>监测结果</w:t>
      </w:r>
    </w:p>
    <w:p>
      <w:pPr>
        <w:spacing w:line="500" w:lineRule="exact"/>
        <w:ind w:firstLine="476" w:firstLineChars="200"/>
        <w:jc w:val="both"/>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1"/>
          <w:highlight w:val="none"/>
          <w:lang w:bidi="zh-CN"/>
        </w:rPr>
        <w:t>表</w:t>
      </w:r>
      <w:r>
        <w:rPr>
          <w:rFonts w:ascii="Times New Roman" w:hAnsi="Times New Roman" w:cs="Times New Roman" w:eastAsiaTheme="minorEastAsia"/>
          <w:b/>
          <w:bCs/>
          <w:color w:val="auto"/>
          <w:w w:val="99"/>
          <w:kern w:val="2"/>
          <w:szCs w:val="20"/>
          <w:highlight w:val="none"/>
        </w:rPr>
        <w:t>4.3-2</w:t>
      </w:r>
      <w:r>
        <w:rPr>
          <w:rFonts w:hint="eastAsia" w:ascii="Times New Roman" w:hAnsi="Times New Roman" w:cs="Times New Roman" w:eastAsiaTheme="minorEastAsia"/>
          <w:b/>
          <w:bCs/>
          <w:color w:val="auto"/>
          <w:w w:val="99"/>
          <w:kern w:val="2"/>
          <w:szCs w:val="20"/>
          <w:highlight w:val="none"/>
          <w:lang w:val="en-US" w:eastAsia="zh-CN"/>
        </w:rPr>
        <w:t>4</w:t>
      </w:r>
      <w:r>
        <w:rPr>
          <w:rFonts w:ascii="Times New Roman" w:hAnsi="Times New Roman" w:cs="Times New Roman" w:eastAsiaTheme="minorEastAsia"/>
          <w:b/>
          <w:bCs/>
          <w:color w:val="auto"/>
          <w:w w:val="99"/>
          <w:kern w:val="21"/>
          <w:highlight w:val="none"/>
          <w:lang w:bidi="zh-CN"/>
        </w:rPr>
        <w:t xml:space="preserve">    </w:t>
      </w:r>
      <w:r>
        <w:rPr>
          <w:rFonts w:ascii="Times New Roman" w:hAnsi="Times New Roman" w:cs="Times New Roman" w:eastAsiaTheme="minorEastAsia"/>
          <w:b/>
          <w:bCs/>
          <w:color w:val="auto"/>
          <w:w w:val="99"/>
          <w:kern w:val="21"/>
          <w:highlight w:val="none"/>
        </w:rPr>
        <w:t>建设用地土壤环境质量现状监测结果    单位：mg/kg（pH无量纲）</w:t>
      </w:r>
    </w:p>
    <w:tbl>
      <w:tblPr>
        <w:tblStyle w:val="8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763"/>
        <w:gridCol w:w="941"/>
        <w:gridCol w:w="1030"/>
        <w:gridCol w:w="763"/>
        <w:gridCol w:w="941"/>
        <w:gridCol w:w="1030"/>
        <w:gridCol w:w="763"/>
        <w:gridCol w:w="941"/>
        <w:gridCol w:w="10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4375" w:type="pct"/>
            <w:gridSpan w:val="9"/>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0"/>
                <w:sz w:val="21"/>
                <w:szCs w:val="21"/>
                <w:highlight w:val="none"/>
                <w:lang w:val="en-US" w:eastAsia="zh-CN"/>
              </w:rPr>
              <w:t>2022.01.18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restar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4375" w:type="pct"/>
            <w:gridSpan w:val="9"/>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测点位及监测结果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pPr>
              <w:pStyle w:val="103"/>
              <w:widowControl/>
              <w:spacing w:line="360" w:lineRule="exact"/>
              <w:rPr>
                <w:rFonts w:eastAsiaTheme="minorEastAsia"/>
                <w:color w:val="auto"/>
                <w:w w:val="99"/>
                <w:sz w:val="21"/>
                <w:szCs w:val="21"/>
                <w:highlight w:val="none"/>
              </w:rPr>
            </w:pPr>
          </w:p>
        </w:tc>
        <w:tc>
          <w:tcPr>
            <w:tcW w:w="1487" w:type="pct"/>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w:t>
            </w:r>
            <w:r>
              <w:rPr>
                <w:rFonts w:hint="eastAsia" w:ascii="Times New Roman" w:hAnsi="Times New Roman" w:cs="Times New Roman" w:eastAsiaTheme="minorEastAsia"/>
                <w:color w:val="auto"/>
                <w:w w:val="99"/>
                <w:sz w:val="21"/>
                <w:szCs w:val="21"/>
                <w:highlight w:val="none"/>
                <w:lang w:eastAsia="zh-CN"/>
              </w:rPr>
              <w:t>源240-132</w:t>
            </w:r>
            <w:r>
              <w:rPr>
                <w:rFonts w:hint="eastAsia" w:ascii="Times New Roman" w:hAnsi="Times New Roman" w:cs="Times New Roman" w:eastAsiaTheme="minorEastAsia"/>
                <w:color w:val="auto"/>
                <w:w w:val="99"/>
                <w:sz w:val="21"/>
                <w:szCs w:val="21"/>
                <w:highlight w:val="none"/>
              </w:rPr>
              <w:t>井场永久占地内</w:t>
            </w:r>
          </w:p>
        </w:tc>
        <w:tc>
          <w:tcPr>
            <w:tcW w:w="1480" w:type="pct"/>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拟钻源232-136井场永久占地内</w:t>
            </w:r>
          </w:p>
        </w:tc>
        <w:tc>
          <w:tcPr>
            <w:tcW w:w="1408" w:type="pct"/>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拟钻源256-128井场永久占地内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pPr>
              <w:pStyle w:val="103"/>
              <w:widowControl/>
              <w:spacing w:line="360" w:lineRule="exact"/>
              <w:rPr>
                <w:rFonts w:eastAsiaTheme="minorEastAsia"/>
                <w:color w:val="auto"/>
                <w:w w:val="99"/>
                <w:sz w:val="21"/>
                <w:szCs w:val="21"/>
                <w:highlight w:val="none"/>
              </w:rPr>
            </w:pP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0-50cm</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50-150cm</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150-300cm</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0-50cm</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50-150cm</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150-300cm</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0-50cm</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50-150cm</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150-300cm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pH</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7.96</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8.02</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7.84</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7.79</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8.14</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8.09</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8.08</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7.84</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7.95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镉（Cd）</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0.08</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0.10</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0.07</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0.09</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0.11</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0.08</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0.07</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0.09</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汞（Hg）</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w:t>
            </w:r>
            <w:r>
              <w:rPr>
                <w:rFonts w:hint="eastAsia" w:ascii="Times New Roman" w:hAnsi="Times New Roman" w:cs="Times New Roman" w:eastAsiaTheme="minorEastAsia"/>
                <w:color w:val="auto"/>
                <w:w w:val="99"/>
                <w:sz w:val="21"/>
                <w:szCs w:val="21"/>
                <w:highlight w:val="none"/>
                <w:lang w:val="en-US" w:eastAsia="zh-CN"/>
              </w:rPr>
              <w:t>19</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021</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016</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w:t>
            </w:r>
            <w:r>
              <w:rPr>
                <w:rFonts w:hint="eastAsia" w:ascii="Times New Roman" w:hAnsi="Times New Roman" w:cs="Times New Roman" w:eastAsiaTheme="minorEastAsia"/>
                <w:color w:val="auto"/>
                <w:w w:val="99"/>
                <w:sz w:val="21"/>
                <w:szCs w:val="21"/>
                <w:highlight w:val="none"/>
                <w:lang w:val="en-US" w:eastAsia="zh-CN"/>
              </w:rPr>
              <w:t>15</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020</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018</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w:t>
            </w:r>
            <w:r>
              <w:rPr>
                <w:rFonts w:hint="eastAsia" w:ascii="Times New Roman" w:hAnsi="Times New Roman" w:cs="Times New Roman" w:eastAsiaTheme="minorEastAsia"/>
                <w:color w:val="auto"/>
                <w:w w:val="99"/>
                <w:sz w:val="21"/>
                <w:szCs w:val="21"/>
                <w:highlight w:val="none"/>
                <w:lang w:val="en-US" w:eastAsia="zh-CN"/>
              </w:rPr>
              <w:t>13</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017</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砷（As）</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3.31</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3.40</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3.38</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3.32</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3.23</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3.41</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3.25</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3.42</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3.36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铅（Pb）</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15</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19</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17</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16</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20</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15</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17</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14</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铬（六价）</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铜（Cu）</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11</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18</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15</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13</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16</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14</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18</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12</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镍（Ni）</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19</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22</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18</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21</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15</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20</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18</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22</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甲苯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乙苯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苯乙烯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间二甲苯+对二甲苯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邻二甲苯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氯乙烯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1,4-二氯苯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四氯化碳</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氯仿</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氯甲烷</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1,1-二氯乙烷</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1,2-二氯乙烷</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1,1-二氯乙烯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顺-1,2-二氯乙烯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反-1,2-二氯乙烯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二氯甲烷</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1,2-二氯丙烷</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1,1,1,2-四氯乙烷</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1,1,2,2-四氯乙烷</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四氯乙烯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1,1,1-三氯乙烷</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1,1,2-三氯乙烷</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三氯乙烯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1,2,3-三氯丙烷</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硝基苯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2-氯酚</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䓛</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萘</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苯并[a]蒽</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苯并[b]荧蒽</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苯并[k]荧蒽</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苯并[a]芘</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茚并[1,2,3-cd]芘</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二苯并[a, h]蒽</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石油烃（C</w:t>
            </w:r>
            <w:r>
              <w:rPr>
                <w:rFonts w:ascii="Times New Roman" w:hAnsi="Times New Roman" w:cs="Times New Roman" w:eastAsiaTheme="minorEastAsia"/>
                <w:color w:val="auto"/>
                <w:w w:val="99"/>
                <w:sz w:val="21"/>
                <w:szCs w:val="21"/>
                <w:highlight w:val="none"/>
                <w:vertAlign w:val="subscript"/>
              </w:rPr>
              <w:t>10-</w:t>
            </w:r>
            <w:r>
              <w:rPr>
                <w:rFonts w:ascii="Times New Roman" w:hAnsi="Times New Roman" w:cs="Times New Roman" w:eastAsiaTheme="minorEastAsia"/>
                <w:color w:val="auto"/>
                <w:w w:val="99"/>
                <w:sz w:val="21"/>
                <w:szCs w:val="21"/>
                <w:highlight w:val="none"/>
              </w:rPr>
              <w:t>C</w:t>
            </w:r>
            <w:r>
              <w:rPr>
                <w:rFonts w:ascii="Times New Roman" w:hAnsi="Times New Roman" w:cs="Times New Roman" w:eastAsiaTheme="minorEastAsia"/>
                <w:color w:val="auto"/>
                <w:w w:val="99"/>
                <w:sz w:val="21"/>
                <w:szCs w:val="21"/>
                <w:highlight w:val="none"/>
                <w:vertAlign w:val="subscript"/>
              </w:rPr>
              <w:t>40</w:t>
            </w:r>
            <w:r>
              <w:rPr>
                <w:rFonts w:ascii="Times New Roman" w:hAnsi="Times New Roman" w:cs="Times New Roman" w:eastAsiaTheme="minorEastAsia"/>
                <w:color w:val="auto"/>
                <w:w w:val="99"/>
                <w:sz w:val="21"/>
                <w:szCs w:val="21"/>
                <w:highlight w:val="none"/>
              </w:rPr>
              <w:t>）</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bl>
    <w:p>
      <w:pPr>
        <w:spacing w:line="500" w:lineRule="exact"/>
        <w:ind w:firstLine="476" w:firstLineChars="200"/>
        <w:jc w:val="both"/>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1"/>
          <w:highlight w:val="none"/>
          <w:lang w:bidi="zh-CN"/>
        </w:rPr>
        <w:t>续表</w:t>
      </w:r>
      <w:r>
        <w:rPr>
          <w:rFonts w:ascii="Times New Roman" w:hAnsi="Times New Roman" w:cs="Times New Roman" w:eastAsiaTheme="minorEastAsia"/>
          <w:b/>
          <w:bCs/>
          <w:color w:val="auto"/>
          <w:w w:val="99"/>
          <w:kern w:val="2"/>
          <w:szCs w:val="20"/>
          <w:highlight w:val="none"/>
        </w:rPr>
        <w:t>4.3-2</w:t>
      </w:r>
      <w:r>
        <w:rPr>
          <w:rFonts w:hint="eastAsia" w:ascii="Times New Roman" w:hAnsi="Times New Roman" w:cs="Times New Roman" w:eastAsiaTheme="minorEastAsia"/>
          <w:b/>
          <w:bCs/>
          <w:color w:val="auto"/>
          <w:w w:val="99"/>
          <w:kern w:val="2"/>
          <w:szCs w:val="20"/>
          <w:highlight w:val="none"/>
          <w:lang w:val="en-US" w:eastAsia="zh-CN"/>
        </w:rPr>
        <w:t>4</w:t>
      </w:r>
      <w:r>
        <w:rPr>
          <w:rFonts w:ascii="Times New Roman" w:hAnsi="Times New Roman" w:cs="Times New Roman" w:eastAsiaTheme="minorEastAsia"/>
          <w:b/>
          <w:bCs/>
          <w:color w:val="auto"/>
          <w:w w:val="99"/>
          <w:kern w:val="21"/>
          <w:highlight w:val="none"/>
          <w:lang w:bidi="zh-CN"/>
        </w:rPr>
        <w:t xml:space="preserve">    </w:t>
      </w:r>
      <w:r>
        <w:rPr>
          <w:rFonts w:ascii="Times New Roman" w:hAnsi="Times New Roman" w:cs="Times New Roman" w:eastAsiaTheme="minorEastAsia"/>
          <w:b/>
          <w:bCs/>
          <w:color w:val="auto"/>
          <w:w w:val="99"/>
          <w:kern w:val="21"/>
          <w:highlight w:val="none"/>
        </w:rPr>
        <w:t>建设用地土壤环境质量现状监测结果    单位：mg/kg（pH无量纲）</w:t>
      </w:r>
    </w:p>
    <w:tbl>
      <w:tblPr>
        <w:tblStyle w:val="8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871"/>
        <w:gridCol w:w="871"/>
        <w:gridCol w:w="871"/>
        <w:gridCol w:w="869"/>
        <w:gridCol w:w="893"/>
        <w:gridCol w:w="912"/>
        <w:gridCol w:w="947"/>
        <w:gridCol w:w="875"/>
        <w:gridCol w:w="10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4375" w:type="pct"/>
            <w:gridSpan w:val="9"/>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0"/>
                <w:sz w:val="21"/>
                <w:szCs w:val="21"/>
                <w:highlight w:val="none"/>
                <w:lang w:val="en-US" w:eastAsia="zh-CN"/>
              </w:rPr>
              <w:t>2022.01.18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restar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4375" w:type="pct"/>
            <w:gridSpan w:val="9"/>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测点位及监测结果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407" w:type="pct"/>
            <w:gridSpan w:val="3"/>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拟钻源298-110井场永久占地内</w:t>
            </w:r>
          </w:p>
        </w:tc>
        <w:tc>
          <w:tcPr>
            <w:tcW w:w="1440" w:type="pct"/>
            <w:gridSpan w:val="3"/>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拟钻源278-128井场永久占地内</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拟钻源244-134井场永久占地内</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拟钻源284-120井场永久占地内</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厢房屯土壤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469" w:type="pct"/>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0-50cm</w:t>
            </w:r>
          </w:p>
        </w:tc>
        <w:tc>
          <w:tcPr>
            <w:tcW w:w="469" w:type="pct"/>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50-150cm</w:t>
            </w:r>
          </w:p>
        </w:tc>
        <w:tc>
          <w:tcPr>
            <w:tcW w:w="469" w:type="pct"/>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150-300cm</w:t>
            </w:r>
          </w:p>
        </w:tc>
        <w:tc>
          <w:tcPr>
            <w:tcW w:w="468" w:type="pct"/>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0-50cm</w:t>
            </w:r>
          </w:p>
        </w:tc>
        <w:tc>
          <w:tcPr>
            <w:tcW w:w="481" w:type="pct"/>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50-150cm</w:t>
            </w:r>
          </w:p>
        </w:tc>
        <w:tc>
          <w:tcPr>
            <w:tcW w:w="491" w:type="pct"/>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150-300cm</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0-20cm</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0-20cm</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0-20cm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pH</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8.11</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8.01</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7.93</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7.84</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8.13</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7.99</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7.84</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7.98</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7.71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镉（Cd）</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0.08</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0.06</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0.07</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0.07</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0.08</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0.06</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0.10</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0.07</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汞（Hg）</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0.015</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0.018</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0.016</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0.014</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0.016</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0.017</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0.015</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0.017</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0.018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砷（As）</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3.27</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3.33</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3.29</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3.23</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3.31</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3.28</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3.40</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3.37</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3.25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铅（Pb）</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18</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13</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17</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15</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19</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16</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18</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15</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铬（六价）</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铜（Cu）</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16</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11</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14</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13</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17</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15</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12</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16</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镍（Ni）</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20</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18</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22</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24</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20</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19</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23</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19</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甲苯</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乙苯</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氯苯</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苯乙烯</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间二甲苯+对二甲苯</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邻二甲苯</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氯乙烯</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1,2-二氯苯</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1,4-二氯苯</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四氯化碳</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氯仿</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氯甲烷</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1,1-二氯乙烷</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1,2-二氯乙烷</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1,1-二氯乙烯</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顺-1,2-二氯乙烯</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反-1,2-二氯乙烯</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二氯甲烷</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1,2-二氯丙烷</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1,1,1,2-四氯乙烷</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1,1,2,2-四氯乙烷</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四氯乙烯</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1,1,1-三氯乙烷</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1,1,2-三氯乙烷</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三氯乙烯</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1,2,3-三氯丙烷</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硝基苯</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2-氯酚</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䓛</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萘</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苯并[a]蒽</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苯并[b]荧蒽</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苯并[k]荧蒽</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苯并[a]芘</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茚并[1,2,3-cd]芘</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二苯并[a, h]蒽</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石油烃</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1"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69"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12"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94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87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1016"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bl>
    <w:p>
      <w:pPr>
        <w:spacing w:line="500" w:lineRule="exact"/>
        <w:ind w:firstLine="476"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b/>
          <w:bCs/>
          <w:color w:val="auto"/>
          <w:w w:val="99"/>
          <w:kern w:val="21"/>
          <w:highlight w:val="none"/>
          <w:lang w:bidi="zh-CN"/>
        </w:rPr>
        <w:t>表</w:t>
      </w:r>
      <w:r>
        <w:rPr>
          <w:rFonts w:ascii="Times New Roman" w:hAnsi="Times New Roman" w:cs="Times New Roman" w:eastAsiaTheme="minorEastAsia"/>
          <w:b/>
          <w:bCs/>
          <w:color w:val="auto"/>
          <w:w w:val="99"/>
          <w:kern w:val="2"/>
          <w:szCs w:val="20"/>
          <w:highlight w:val="none"/>
        </w:rPr>
        <w:t>4.3-2</w:t>
      </w:r>
      <w:r>
        <w:rPr>
          <w:rFonts w:hint="eastAsia" w:ascii="Times New Roman" w:hAnsi="Times New Roman" w:cs="Times New Roman" w:eastAsiaTheme="minorEastAsia"/>
          <w:b/>
          <w:bCs/>
          <w:color w:val="auto"/>
          <w:w w:val="99"/>
          <w:kern w:val="2"/>
          <w:szCs w:val="20"/>
          <w:highlight w:val="none"/>
          <w:lang w:val="en-US" w:eastAsia="zh-CN"/>
        </w:rPr>
        <w:t>5</w:t>
      </w:r>
      <w:r>
        <w:rPr>
          <w:rFonts w:ascii="Times New Roman" w:hAnsi="Times New Roman" w:cs="Times New Roman" w:eastAsiaTheme="minorEastAsia"/>
          <w:b/>
          <w:bCs/>
          <w:color w:val="auto"/>
          <w:w w:val="99"/>
          <w:kern w:val="21"/>
          <w:highlight w:val="none"/>
          <w:lang w:bidi="zh-CN"/>
        </w:rPr>
        <w:t xml:space="preserve">      </w:t>
      </w:r>
      <w:r>
        <w:rPr>
          <w:rFonts w:ascii="Times New Roman" w:hAnsi="Times New Roman" w:cs="Times New Roman" w:eastAsiaTheme="minorEastAsia"/>
          <w:b/>
          <w:bCs/>
          <w:color w:val="auto"/>
          <w:w w:val="99"/>
          <w:kern w:val="21"/>
          <w:highlight w:val="none"/>
        </w:rPr>
        <w:t>农用地土壤环境质量现状监测结果    单位：mg/kg（pH无量纲）</w:t>
      </w:r>
    </w:p>
    <w:tbl>
      <w:tblPr>
        <w:tblStyle w:val="8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4"/>
        <w:gridCol w:w="2524"/>
        <w:gridCol w:w="2548"/>
        <w:gridCol w:w="27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4217" w:type="pct"/>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202</w:t>
            </w:r>
            <w:r>
              <w:rPr>
                <w:rFonts w:hint="eastAsia" w:ascii="Times New Roman" w:hAnsi="Times New Roman" w:cs="Times New Roman" w:eastAsiaTheme="minorEastAsia"/>
                <w:color w:val="auto"/>
                <w:w w:val="99"/>
                <w:sz w:val="21"/>
                <w:szCs w:val="21"/>
                <w:highlight w:val="none"/>
                <w:lang w:val="en-US" w:eastAsia="zh-CN"/>
              </w:rPr>
              <w:t>2.01.18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Merge w:val="restar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4217" w:type="pct"/>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监测点位及监测结果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2524"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w:t>
            </w:r>
            <w:r>
              <w:rPr>
                <w:rFonts w:hint="eastAsia" w:ascii="Times New Roman" w:hAnsi="Times New Roman" w:cs="Times New Roman" w:eastAsiaTheme="minorEastAsia"/>
                <w:color w:val="auto"/>
                <w:w w:val="99"/>
                <w:sz w:val="21"/>
                <w:szCs w:val="21"/>
                <w:highlight w:val="none"/>
                <w:lang w:eastAsia="zh-CN"/>
              </w:rPr>
              <w:t>源248-126西侧200m</w:t>
            </w:r>
            <w:r>
              <w:rPr>
                <w:rFonts w:hint="eastAsia" w:ascii="Times New Roman" w:hAnsi="Times New Roman" w:cs="Times New Roman" w:eastAsiaTheme="minorEastAsia"/>
                <w:color w:val="auto"/>
                <w:w w:val="99"/>
                <w:sz w:val="21"/>
                <w:szCs w:val="21"/>
                <w:highlight w:val="none"/>
              </w:rPr>
              <w:t>处</w:t>
            </w:r>
            <w:r>
              <w:rPr>
                <w:rFonts w:hint="eastAsia" w:ascii="Times New Roman" w:hAnsi="Times New Roman" w:cs="Times New Roman" w:eastAsiaTheme="minorEastAsia"/>
                <w:color w:val="auto"/>
                <w:w w:val="99"/>
                <w:sz w:val="21"/>
                <w:szCs w:val="21"/>
                <w:highlight w:val="none"/>
                <w:lang w:eastAsia="zh-CN"/>
              </w:rPr>
              <w:t>耕</w:t>
            </w:r>
            <w:r>
              <w:rPr>
                <w:rFonts w:hint="eastAsia" w:ascii="Times New Roman" w:hAnsi="Times New Roman" w:cs="Times New Roman" w:eastAsiaTheme="minorEastAsia"/>
                <w:color w:val="auto"/>
                <w:w w:val="99"/>
                <w:sz w:val="21"/>
                <w:szCs w:val="21"/>
                <w:highlight w:val="none"/>
              </w:rPr>
              <w:t>地</w:t>
            </w:r>
          </w:p>
        </w:tc>
        <w:tc>
          <w:tcPr>
            <w:tcW w:w="254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w:t>
            </w:r>
            <w:r>
              <w:rPr>
                <w:rFonts w:hint="eastAsia" w:ascii="Times New Roman" w:hAnsi="Times New Roman" w:cs="Times New Roman" w:eastAsiaTheme="minorEastAsia"/>
                <w:color w:val="auto"/>
                <w:w w:val="99"/>
                <w:sz w:val="21"/>
                <w:szCs w:val="21"/>
                <w:highlight w:val="none"/>
                <w:lang w:eastAsia="zh-CN"/>
              </w:rPr>
              <w:t>源288-114西南侧200m</w:t>
            </w:r>
            <w:r>
              <w:rPr>
                <w:rFonts w:hint="eastAsia" w:ascii="Times New Roman" w:hAnsi="Times New Roman" w:cs="Times New Roman" w:eastAsiaTheme="minorEastAsia"/>
                <w:color w:val="auto"/>
                <w:w w:val="99"/>
                <w:sz w:val="21"/>
                <w:szCs w:val="21"/>
                <w:highlight w:val="none"/>
              </w:rPr>
              <w:t>处耕地</w:t>
            </w:r>
          </w:p>
        </w:tc>
        <w:tc>
          <w:tcPr>
            <w:tcW w:w="276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w:t>
            </w:r>
            <w:r>
              <w:rPr>
                <w:rFonts w:hint="eastAsia" w:ascii="Times New Roman" w:hAnsi="Times New Roman" w:cs="Times New Roman" w:eastAsiaTheme="minorEastAsia"/>
                <w:color w:val="auto"/>
                <w:w w:val="99"/>
                <w:sz w:val="21"/>
                <w:szCs w:val="21"/>
                <w:highlight w:val="none"/>
                <w:lang w:eastAsia="zh-CN"/>
              </w:rPr>
              <w:t>源282-126东侧200m</w:t>
            </w:r>
            <w:r>
              <w:rPr>
                <w:rFonts w:hint="eastAsia" w:ascii="Times New Roman" w:hAnsi="Times New Roman" w:cs="Times New Roman" w:eastAsiaTheme="minorEastAsia"/>
                <w:color w:val="auto"/>
                <w:w w:val="99"/>
                <w:sz w:val="21"/>
                <w:szCs w:val="21"/>
                <w:highlight w:val="none"/>
              </w:rPr>
              <w:t>处</w:t>
            </w:r>
            <w:r>
              <w:rPr>
                <w:rFonts w:hint="eastAsia" w:ascii="Times New Roman" w:hAnsi="Times New Roman" w:cs="Times New Roman" w:eastAsiaTheme="minorEastAsia"/>
                <w:color w:val="auto"/>
                <w:w w:val="99"/>
                <w:sz w:val="21"/>
                <w:szCs w:val="21"/>
                <w:highlight w:val="none"/>
                <w:lang w:eastAsia="zh-CN"/>
              </w:rPr>
              <w:t>耕</w:t>
            </w:r>
            <w:r>
              <w:rPr>
                <w:rFonts w:hint="eastAsia" w:ascii="Times New Roman" w:hAnsi="Times New Roman" w:cs="Times New Roman" w:eastAsiaTheme="minorEastAsia"/>
                <w:color w:val="auto"/>
                <w:w w:val="99"/>
                <w:sz w:val="21"/>
                <w:szCs w:val="21"/>
                <w:highlight w:val="none"/>
              </w:rPr>
              <w:t>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35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w:t>
            </w:r>
          </w:p>
        </w:tc>
        <w:tc>
          <w:tcPr>
            <w:tcW w:w="137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w:t>
            </w:r>
          </w:p>
        </w:tc>
        <w:tc>
          <w:tcPr>
            <w:tcW w:w="148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pH</w:t>
            </w:r>
          </w:p>
        </w:tc>
        <w:tc>
          <w:tcPr>
            <w:tcW w:w="2524"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7.73</w:t>
            </w:r>
          </w:p>
        </w:tc>
        <w:tc>
          <w:tcPr>
            <w:tcW w:w="254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7.80</w:t>
            </w:r>
          </w:p>
        </w:tc>
        <w:tc>
          <w:tcPr>
            <w:tcW w:w="276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7.69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w:t>
            </w:r>
          </w:p>
        </w:tc>
        <w:tc>
          <w:tcPr>
            <w:tcW w:w="2524"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06</w:t>
            </w:r>
          </w:p>
        </w:tc>
        <w:tc>
          <w:tcPr>
            <w:tcW w:w="254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w:t>
            </w:r>
            <w:r>
              <w:rPr>
                <w:rFonts w:hint="eastAsia" w:ascii="Times New Roman" w:hAnsi="Times New Roman" w:cs="Times New Roman" w:eastAsiaTheme="minorEastAsia"/>
                <w:color w:val="auto"/>
                <w:w w:val="99"/>
                <w:sz w:val="21"/>
                <w:szCs w:val="21"/>
                <w:highlight w:val="none"/>
                <w:lang w:val="en-US" w:eastAsia="zh-CN"/>
              </w:rPr>
              <w:t>8</w:t>
            </w:r>
          </w:p>
        </w:tc>
        <w:tc>
          <w:tcPr>
            <w:tcW w:w="276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w:t>
            </w:r>
            <w:r>
              <w:rPr>
                <w:rFonts w:hint="eastAsia" w:ascii="Times New Roman" w:hAnsi="Times New Roman" w:cs="Times New Roman" w:eastAsiaTheme="minorEastAsia"/>
                <w:color w:val="auto"/>
                <w:w w:val="99"/>
                <w:sz w:val="21"/>
                <w:szCs w:val="21"/>
                <w:highlight w:val="none"/>
                <w:lang w:val="en-US" w:eastAsia="zh-CN"/>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w:t>
            </w:r>
          </w:p>
        </w:tc>
        <w:tc>
          <w:tcPr>
            <w:tcW w:w="2524"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w:t>
            </w:r>
            <w:r>
              <w:rPr>
                <w:rFonts w:hint="eastAsia" w:ascii="Times New Roman" w:hAnsi="Times New Roman" w:cs="Times New Roman" w:eastAsiaTheme="minorEastAsia"/>
                <w:color w:val="auto"/>
                <w:w w:val="99"/>
                <w:sz w:val="21"/>
                <w:szCs w:val="21"/>
                <w:highlight w:val="none"/>
                <w:lang w:val="en-US" w:eastAsia="zh-CN"/>
              </w:rPr>
              <w:t>13</w:t>
            </w:r>
          </w:p>
        </w:tc>
        <w:tc>
          <w:tcPr>
            <w:tcW w:w="254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w:t>
            </w:r>
            <w:r>
              <w:rPr>
                <w:rFonts w:hint="eastAsia" w:ascii="Times New Roman" w:hAnsi="Times New Roman" w:cs="Times New Roman" w:eastAsiaTheme="minorEastAsia"/>
                <w:color w:val="auto"/>
                <w:w w:val="99"/>
                <w:sz w:val="21"/>
                <w:szCs w:val="21"/>
                <w:highlight w:val="none"/>
                <w:lang w:val="en-US" w:eastAsia="zh-CN"/>
              </w:rPr>
              <w:t>16</w:t>
            </w:r>
          </w:p>
        </w:tc>
        <w:tc>
          <w:tcPr>
            <w:tcW w:w="276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w:t>
            </w:r>
            <w:r>
              <w:rPr>
                <w:rFonts w:hint="eastAsia" w:ascii="Times New Roman" w:hAnsi="Times New Roman" w:cs="Times New Roman" w:eastAsiaTheme="minorEastAsia"/>
                <w:color w:val="auto"/>
                <w:w w:val="99"/>
                <w:sz w:val="21"/>
                <w:szCs w:val="21"/>
                <w:highlight w:val="no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w:t>
            </w:r>
          </w:p>
        </w:tc>
        <w:tc>
          <w:tcPr>
            <w:tcW w:w="2524"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3.24</w:t>
            </w:r>
          </w:p>
        </w:tc>
        <w:tc>
          <w:tcPr>
            <w:tcW w:w="254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w:t>
            </w:r>
            <w:r>
              <w:rPr>
                <w:rFonts w:hint="eastAsia" w:ascii="Times New Roman" w:hAnsi="Times New Roman" w:cs="Times New Roman" w:eastAsiaTheme="minorEastAsia"/>
                <w:color w:val="auto"/>
                <w:w w:val="99"/>
                <w:sz w:val="21"/>
                <w:szCs w:val="21"/>
                <w:highlight w:val="none"/>
                <w:lang w:val="en-US" w:eastAsia="zh-CN"/>
              </w:rPr>
              <w:t>31</w:t>
            </w:r>
          </w:p>
        </w:tc>
        <w:tc>
          <w:tcPr>
            <w:tcW w:w="276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w:t>
            </w:r>
            <w:r>
              <w:rPr>
                <w:rFonts w:hint="eastAsia" w:ascii="Times New Roman" w:hAnsi="Times New Roman" w:cs="Times New Roman" w:eastAsiaTheme="minorEastAsia"/>
                <w:color w:val="auto"/>
                <w:w w:val="99"/>
                <w:sz w:val="21"/>
                <w:szCs w:val="21"/>
                <w:highlight w:val="no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w:t>
            </w:r>
          </w:p>
        </w:tc>
        <w:tc>
          <w:tcPr>
            <w:tcW w:w="2524"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14</w:t>
            </w:r>
          </w:p>
        </w:tc>
        <w:tc>
          <w:tcPr>
            <w:tcW w:w="254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18</w:t>
            </w:r>
          </w:p>
        </w:tc>
        <w:tc>
          <w:tcPr>
            <w:tcW w:w="276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铬</w:t>
            </w:r>
          </w:p>
        </w:tc>
        <w:tc>
          <w:tcPr>
            <w:tcW w:w="2524"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44</w:t>
            </w:r>
          </w:p>
        </w:tc>
        <w:tc>
          <w:tcPr>
            <w:tcW w:w="254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50</w:t>
            </w:r>
          </w:p>
        </w:tc>
        <w:tc>
          <w:tcPr>
            <w:tcW w:w="276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铜</w:t>
            </w:r>
          </w:p>
        </w:tc>
        <w:tc>
          <w:tcPr>
            <w:tcW w:w="2524"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11</w:t>
            </w:r>
          </w:p>
        </w:tc>
        <w:tc>
          <w:tcPr>
            <w:tcW w:w="254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16</w:t>
            </w:r>
          </w:p>
        </w:tc>
        <w:tc>
          <w:tcPr>
            <w:tcW w:w="276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镍</w:t>
            </w:r>
          </w:p>
        </w:tc>
        <w:tc>
          <w:tcPr>
            <w:tcW w:w="2524"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22</w:t>
            </w:r>
          </w:p>
        </w:tc>
        <w:tc>
          <w:tcPr>
            <w:tcW w:w="254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19</w:t>
            </w:r>
          </w:p>
        </w:tc>
        <w:tc>
          <w:tcPr>
            <w:tcW w:w="276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锌</w:t>
            </w:r>
          </w:p>
        </w:tc>
        <w:tc>
          <w:tcPr>
            <w:tcW w:w="2524"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48</w:t>
            </w:r>
          </w:p>
        </w:tc>
        <w:tc>
          <w:tcPr>
            <w:tcW w:w="254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52</w:t>
            </w:r>
          </w:p>
        </w:tc>
        <w:tc>
          <w:tcPr>
            <w:tcW w:w="276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石油烃</w:t>
            </w:r>
          </w:p>
        </w:tc>
        <w:tc>
          <w:tcPr>
            <w:tcW w:w="2524"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未检出</w:t>
            </w:r>
          </w:p>
        </w:tc>
        <w:tc>
          <w:tcPr>
            <w:tcW w:w="254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未检出</w:t>
            </w:r>
          </w:p>
        </w:tc>
        <w:tc>
          <w:tcPr>
            <w:tcW w:w="276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未检出</w:t>
            </w:r>
          </w:p>
        </w:tc>
      </w:tr>
    </w:tbl>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4.3.5.3土壤环境质量现状评价</w:t>
      </w:r>
    </w:p>
    <w:p>
      <w:pPr>
        <w:widowControl w:val="0"/>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（1）评价方法</w:t>
      </w:r>
    </w:p>
    <w:p>
      <w:pPr>
        <w:widowControl w:val="0"/>
        <w:spacing w:line="500" w:lineRule="exact"/>
        <w:ind w:firstLine="474" w:firstLineChars="200"/>
        <w:rPr>
          <w:rFonts w:ascii="Times New Roman" w:hAnsi="Times New Roman" w:cs="Times New Roman" w:eastAsiaTheme="minorEastAsia"/>
          <w:color w:val="auto"/>
          <w:w w:val="99"/>
          <w:highlight w:val="none"/>
        </w:rPr>
      </w:pPr>
      <w:r>
        <w:rPr>
          <w:rFonts w:hint="eastAsia" w:ascii="Times New Roman" w:hAnsi="Times New Roman" w:cs="Times New Roman" w:eastAsiaTheme="minorEastAsia"/>
          <w:color w:val="auto"/>
          <w:w w:val="99"/>
          <w:highlight w:val="none"/>
        </w:rPr>
        <w:t>评价方法</w:t>
      </w:r>
      <w:r>
        <w:rPr>
          <w:rFonts w:ascii="Times New Roman" w:hAnsi="Times New Roman" w:cs="Times New Roman" w:eastAsiaTheme="minorEastAsia"/>
          <w:color w:val="auto"/>
          <w:w w:val="99"/>
          <w:highlight w:val="none"/>
        </w:rPr>
        <w:t>采用</w:t>
      </w:r>
      <w:r>
        <w:rPr>
          <w:rFonts w:hint="eastAsia" w:ascii="Times New Roman" w:hAnsi="Times New Roman" w:cs="Times New Roman" w:eastAsiaTheme="minorEastAsia"/>
          <w:color w:val="auto"/>
          <w:w w:val="99"/>
          <w:highlight w:val="none"/>
        </w:rPr>
        <w:t>标准</w:t>
      </w:r>
      <w:r>
        <w:rPr>
          <w:rFonts w:ascii="Times New Roman" w:hAnsi="Times New Roman" w:cs="Times New Roman" w:eastAsiaTheme="minorEastAsia"/>
          <w:color w:val="auto"/>
          <w:w w:val="99"/>
          <w:highlight w:val="none"/>
        </w:rPr>
        <w:t>指数法</w:t>
      </w:r>
      <w:r>
        <w:rPr>
          <w:rFonts w:hint="eastAsia" w:ascii="Times New Roman" w:hAnsi="Times New Roman" w:cs="Times New Roman" w:eastAsiaTheme="minorEastAsia"/>
          <w:color w:val="auto"/>
          <w:w w:val="99"/>
          <w:highlight w:val="none"/>
        </w:rPr>
        <w:t>进行土壤环境质量现状评价，即通过指数的大小反应土壤环境受污染的程度，公式</w:t>
      </w:r>
      <w:r>
        <w:rPr>
          <w:rFonts w:ascii="Times New Roman" w:hAnsi="Times New Roman" w:cs="Times New Roman" w:eastAsiaTheme="minorEastAsia"/>
          <w:color w:val="auto"/>
          <w:w w:val="99"/>
          <w:highlight w:val="none"/>
        </w:rPr>
        <w:t>为：</w:t>
      </w:r>
    </w:p>
    <w:p>
      <w:pPr>
        <w:widowControl w:val="0"/>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 xml:space="preserve">                   </w:t>
      </w:r>
      <w:r>
        <w:rPr>
          <w:rFonts w:hint="eastAsia" w:ascii="Times New Roman" w:hAnsi="Times New Roman" w:cs="Times New Roman" w:eastAsiaTheme="minorEastAsia"/>
          <w:color w:val="auto"/>
          <w:w w:val="99"/>
          <w:highlight w:val="none"/>
        </w:rPr>
        <w:t>K</w:t>
      </w:r>
      <w:r>
        <w:rPr>
          <w:rFonts w:ascii="Times New Roman" w:hAnsi="Times New Roman" w:cs="Times New Roman" w:eastAsiaTheme="minorEastAsia"/>
          <w:color w:val="auto"/>
          <w:w w:val="99"/>
          <w:highlight w:val="none"/>
          <w:vertAlign w:val="subscript"/>
        </w:rPr>
        <w:t>i</w:t>
      </w:r>
      <w:r>
        <w:rPr>
          <w:rFonts w:ascii="Times New Roman" w:hAnsi="Times New Roman" w:cs="Times New Roman" w:eastAsiaTheme="minorEastAsia"/>
          <w:color w:val="auto"/>
          <w:w w:val="99"/>
          <w:highlight w:val="none"/>
        </w:rPr>
        <w:t>＝</w:t>
      </w:r>
      <w:r>
        <w:rPr>
          <w:rFonts w:hint="eastAsia" w:ascii="Times New Roman" w:hAnsi="Times New Roman" w:cs="Times New Roman" w:eastAsiaTheme="minorEastAsia"/>
          <w:color w:val="auto"/>
          <w:w w:val="99"/>
          <w:highlight w:val="none"/>
        </w:rPr>
        <w:t>X</w:t>
      </w:r>
      <w:r>
        <w:rPr>
          <w:rFonts w:ascii="Times New Roman" w:hAnsi="Times New Roman" w:cs="Times New Roman" w:eastAsiaTheme="minorEastAsia"/>
          <w:color w:val="auto"/>
          <w:w w:val="99"/>
          <w:highlight w:val="none"/>
          <w:vertAlign w:val="subscript"/>
        </w:rPr>
        <w:t>i</w:t>
      </w:r>
      <w:r>
        <w:rPr>
          <w:rFonts w:ascii="Times New Roman" w:hAnsi="Times New Roman" w:cs="Times New Roman" w:eastAsiaTheme="minorEastAsia"/>
          <w:color w:val="auto"/>
          <w:w w:val="99"/>
          <w:highlight w:val="none"/>
        </w:rPr>
        <w:t>/</w:t>
      </w:r>
      <w:r>
        <w:rPr>
          <w:rFonts w:hint="eastAsia" w:ascii="Times New Roman" w:hAnsi="Times New Roman" w:cs="Times New Roman" w:eastAsiaTheme="minorEastAsia"/>
          <w:color w:val="auto"/>
          <w:w w:val="99"/>
          <w:highlight w:val="none"/>
        </w:rPr>
        <w:t>Xo</w:t>
      </w:r>
      <w:r>
        <w:rPr>
          <w:rFonts w:ascii="Times New Roman" w:hAnsi="Times New Roman" w:cs="Times New Roman" w:eastAsiaTheme="minorEastAsia"/>
          <w:color w:val="auto"/>
          <w:w w:val="99"/>
          <w:highlight w:val="none"/>
          <w:vertAlign w:val="subscript"/>
        </w:rPr>
        <w:t>i</w:t>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式中：</w:t>
      </w:r>
      <w:r>
        <w:rPr>
          <w:rFonts w:hint="eastAsia" w:ascii="Times New Roman" w:hAnsi="Times New Roman" w:cs="Times New Roman" w:eastAsiaTheme="minorEastAsia"/>
          <w:color w:val="auto"/>
          <w:w w:val="99"/>
          <w:highlight w:val="none"/>
        </w:rPr>
        <w:t>K</w:t>
      </w:r>
      <w:r>
        <w:rPr>
          <w:rFonts w:ascii="Times New Roman" w:hAnsi="Times New Roman" w:cs="Times New Roman" w:eastAsiaTheme="minorEastAsia"/>
          <w:color w:val="auto"/>
          <w:w w:val="99"/>
          <w:highlight w:val="none"/>
          <w:vertAlign w:val="subscript"/>
        </w:rPr>
        <w:t>i</w:t>
      </w:r>
      <w:r>
        <w:rPr>
          <w:rFonts w:ascii="Times New Roman" w:hAnsi="Times New Roman" w:cs="Times New Roman" w:eastAsiaTheme="minorEastAsia"/>
          <w:color w:val="auto"/>
          <w:w w:val="99"/>
          <w:highlight w:val="none"/>
        </w:rPr>
        <w:t>——</w:t>
      </w:r>
      <w:r>
        <w:rPr>
          <w:rFonts w:hint="eastAsia" w:ascii="Times New Roman" w:hAnsi="Times New Roman" w:cs="Times New Roman" w:eastAsiaTheme="minorEastAsia"/>
          <w:color w:val="auto"/>
          <w:w w:val="99"/>
          <w:highlight w:val="none"/>
        </w:rPr>
        <w:t>第i项分指数</w:t>
      </w:r>
      <w:r>
        <w:rPr>
          <w:rFonts w:ascii="Times New Roman" w:hAnsi="Times New Roman" w:cs="Times New Roman" w:eastAsiaTheme="minorEastAsia"/>
          <w:color w:val="auto"/>
          <w:w w:val="99"/>
          <w:highlight w:val="none"/>
        </w:rPr>
        <w:t>；</w:t>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 xml:space="preserve">      </w:t>
      </w:r>
      <w:r>
        <w:rPr>
          <w:rFonts w:hint="eastAsia" w:ascii="Times New Roman" w:hAnsi="Times New Roman" w:cs="Times New Roman" w:eastAsiaTheme="minorEastAsia"/>
          <w:color w:val="auto"/>
          <w:w w:val="99"/>
          <w:highlight w:val="none"/>
        </w:rPr>
        <w:t>X</w:t>
      </w:r>
      <w:r>
        <w:rPr>
          <w:rFonts w:ascii="Times New Roman" w:hAnsi="Times New Roman" w:cs="Times New Roman" w:eastAsiaTheme="minorEastAsia"/>
          <w:color w:val="auto"/>
          <w:w w:val="99"/>
          <w:highlight w:val="none"/>
          <w:vertAlign w:val="subscript"/>
        </w:rPr>
        <w:t>i</w:t>
      </w:r>
      <w:r>
        <w:rPr>
          <w:rFonts w:ascii="Times New Roman" w:hAnsi="Times New Roman" w:cs="Times New Roman" w:eastAsiaTheme="minorEastAsia"/>
          <w:color w:val="auto"/>
          <w:w w:val="99"/>
          <w:highlight w:val="none"/>
        </w:rPr>
        <w:t>——土壤</w:t>
      </w:r>
      <w:r>
        <w:rPr>
          <w:rFonts w:hint="eastAsia" w:ascii="Times New Roman" w:hAnsi="Times New Roman" w:cs="Times New Roman" w:eastAsiaTheme="minorEastAsia"/>
          <w:color w:val="auto"/>
          <w:w w:val="99"/>
          <w:highlight w:val="none"/>
        </w:rPr>
        <w:t>中i污染物的</w:t>
      </w:r>
      <w:r>
        <w:rPr>
          <w:rFonts w:ascii="Times New Roman" w:hAnsi="Times New Roman" w:cs="Times New Roman" w:eastAsiaTheme="minorEastAsia"/>
          <w:color w:val="auto"/>
          <w:w w:val="99"/>
          <w:highlight w:val="none"/>
        </w:rPr>
        <w:t>实测</w:t>
      </w:r>
      <w:r>
        <w:rPr>
          <w:rFonts w:hint="eastAsia" w:ascii="Times New Roman" w:hAnsi="Times New Roman" w:cs="Times New Roman" w:eastAsiaTheme="minorEastAsia"/>
          <w:color w:val="auto"/>
          <w:w w:val="99"/>
          <w:highlight w:val="none"/>
        </w:rPr>
        <w:t>含量</w:t>
      </w:r>
      <w:r>
        <w:rPr>
          <w:rFonts w:ascii="Times New Roman" w:hAnsi="Times New Roman" w:cs="Times New Roman" w:eastAsiaTheme="minorEastAsia"/>
          <w:color w:val="auto"/>
          <w:w w:val="99"/>
          <w:highlight w:val="none"/>
        </w:rPr>
        <w:t>，mg/kg；</w:t>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 xml:space="preserve">      </w:t>
      </w:r>
      <w:r>
        <w:rPr>
          <w:rFonts w:hint="eastAsia" w:ascii="Times New Roman" w:hAnsi="Times New Roman" w:cs="Times New Roman" w:eastAsiaTheme="minorEastAsia"/>
          <w:color w:val="auto"/>
          <w:w w:val="99"/>
          <w:highlight w:val="none"/>
        </w:rPr>
        <w:t>Xo</w:t>
      </w:r>
      <w:r>
        <w:rPr>
          <w:rFonts w:ascii="Times New Roman" w:hAnsi="Times New Roman" w:cs="Times New Roman" w:eastAsiaTheme="minorEastAsia"/>
          <w:color w:val="auto"/>
          <w:w w:val="99"/>
          <w:highlight w:val="none"/>
          <w:vertAlign w:val="subscript"/>
        </w:rPr>
        <w:t>i</w:t>
      </w:r>
      <w:r>
        <w:rPr>
          <w:rFonts w:ascii="Times New Roman" w:hAnsi="Times New Roman" w:cs="Times New Roman" w:eastAsiaTheme="minorEastAsia"/>
          <w:color w:val="auto"/>
          <w:w w:val="99"/>
          <w:highlight w:val="none"/>
        </w:rPr>
        <w:t>——土壤</w:t>
      </w:r>
      <w:r>
        <w:rPr>
          <w:rFonts w:hint="eastAsia" w:ascii="Times New Roman" w:hAnsi="Times New Roman" w:cs="Times New Roman" w:eastAsiaTheme="minorEastAsia"/>
          <w:color w:val="auto"/>
          <w:w w:val="99"/>
          <w:highlight w:val="none"/>
        </w:rPr>
        <w:t>中i污染物的</w:t>
      </w:r>
      <w:r>
        <w:rPr>
          <w:rFonts w:ascii="Times New Roman" w:hAnsi="Times New Roman" w:cs="Times New Roman" w:eastAsiaTheme="minorEastAsia"/>
          <w:color w:val="auto"/>
          <w:w w:val="99"/>
          <w:highlight w:val="none"/>
        </w:rPr>
        <w:t>标准</w:t>
      </w:r>
      <w:r>
        <w:rPr>
          <w:rFonts w:hint="eastAsia" w:ascii="Times New Roman" w:hAnsi="Times New Roman" w:cs="Times New Roman" w:eastAsiaTheme="minorEastAsia"/>
          <w:color w:val="auto"/>
          <w:w w:val="99"/>
          <w:highlight w:val="none"/>
        </w:rPr>
        <w:t>只</w:t>
      </w:r>
      <w:r>
        <w:rPr>
          <w:rFonts w:ascii="Times New Roman" w:hAnsi="Times New Roman" w:cs="Times New Roman" w:eastAsiaTheme="minorEastAsia"/>
          <w:color w:val="auto"/>
          <w:w w:val="99"/>
          <w:highlight w:val="none"/>
        </w:rPr>
        <w:t>，mg/kg。</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（2）评价标准</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1#~</w:t>
      </w:r>
      <w:r>
        <w:rPr>
          <w:rFonts w:hint="eastAsia" w:ascii="Times New Roman" w:hAnsi="Times New Roman" w:cs="Times New Roman" w:eastAsiaTheme="minorEastAsia"/>
          <w:color w:val="auto"/>
          <w:w w:val="99"/>
          <w:kern w:val="21"/>
          <w:highlight w:val="none"/>
        </w:rPr>
        <w:t>6</w:t>
      </w:r>
      <w:r>
        <w:rPr>
          <w:rFonts w:ascii="Times New Roman" w:hAnsi="Times New Roman" w:cs="Times New Roman" w:eastAsiaTheme="minorEastAsia"/>
          <w:color w:val="auto"/>
          <w:w w:val="99"/>
          <w:kern w:val="21"/>
          <w:highlight w:val="none"/>
        </w:rPr>
        <w:t>#监测点位土壤执行《土壤环境质量 建设用地土壤污染风险管控标准（试行）》（GB36600-2018）中表1建设用地土壤污染风险筛选值（基本项目）中第二类用地筛选值标准，以及表2（其他项目）中第二类用地筛选值标准；</w:t>
      </w:r>
      <w:r>
        <w:rPr>
          <w:rFonts w:hint="eastAsia" w:ascii="Times New Roman" w:hAnsi="Times New Roman" w:cs="Times New Roman" w:eastAsiaTheme="minorEastAsia"/>
          <w:color w:val="auto"/>
          <w:w w:val="99"/>
          <w:kern w:val="21"/>
          <w:highlight w:val="none"/>
        </w:rPr>
        <w:t>7</w:t>
      </w:r>
      <w:r>
        <w:rPr>
          <w:rFonts w:ascii="Times New Roman" w:hAnsi="Times New Roman" w:cs="Times New Roman" w:eastAsiaTheme="minorEastAsia"/>
          <w:color w:val="auto"/>
          <w:w w:val="99"/>
          <w:kern w:val="21"/>
          <w:highlight w:val="none"/>
        </w:rPr>
        <w:t>#监测点位土壤执行《土壤环境质量 建设用地土壤污染风险管控标准（试行）》（GB36600-2018）中表1建设用地土壤污染风险筛选值（基本项目）中第一类用地筛选值标准，以及表2（其他项目）中第一类用地筛选值标准；</w:t>
      </w:r>
      <w:r>
        <w:rPr>
          <w:rFonts w:hint="eastAsia" w:ascii="Times New Roman" w:hAnsi="Times New Roman" w:cs="Times New Roman" w:eastAsiaTheme="minorEastAsia"/>
          <w:color w:val="auto"/>
          <w:w w:val="99"/>
          <w:kern w:val="21"/>
          <w:highlight w:val="none"/>
        </w:rPr>
        <w:t>8</w:t>
      </w:r>
      <w:r>
        <w:rPr>
          <w:rFonts w:ascii="Times New Roman" w:hAnsi="Times New Roman" w:cs="Times New Roman" w:eastAsiaTheme="minorEastAsia"/>
          <w:color w:val="auto"/>
          <w:w w:val="99"/>
          <w:kern w:val="21"/>
          <w:highlight w:val="none"/>
        </w:rPr>
        <w:t>#~1</w:t>
      </w:r>
      <w:r>
        <w:rPr>
          <w:rFonts w:hint="eastAsia" w:ascii="Times New Roman" w:hAnsi="Times New Roman" w:cs="Times New Roman" w:eastAsiaTheme="minorEastAsia"/>
          <w:color w:val="auto"/>
          <w:w w:val="99"/>
          <w:kern w:val="21"/>
          <w:highlight w:val="none"/>
        </w:rPr>
        <w:t>0</w:t>
      </w:r>
      <w:r>
        <w:rPr>
          <w:rFonts w:ascii="Times New Roman" w:hAnsi="Times New Roman" w:cs="Times New Roman" w:eastAsiaTheme="minorEastAsia"/>
          <w:color w:val="auto"/>
          <w:w w:val="99"/>
          <w:kern w:val="21"/>
          <w:highlight w:val="none"/>
        </w:rPr>
        <w:t>#监测点位土壤执行《土壤环境质量 农用地土壤污染风险管控标准（试行）》（GB15618-2018）表1农用地土壤风险筛选值（基本项目）中标准。</w:t>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（3）评价结果</w:t>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建设用地土壤环境质量现状评价结果见表4.3-</w:t>
      </w:r>
      <w:r>
        <w:rPr>
          <w:rFonts w:hint="eastAsia" w:ascii="Times New Roman" w:hAnsi="Times New Roman" w:cs="Times New Roman" w:eastAsiaTheme="minorEastAsia"/>
          <w:color w:val="auto"/>
          <w:w w:val="99"/>
          <w:highlight w:val="none"/>
          <w:lang w:val="en-US" w:eastAsia="zh-CN"/>
        </w:rPr>
        <w:t>30</w:t>
      </w:r>
      <w:r>
        <w:rPr>
          <w:rFonts w:ascii="Times New Roman" w:hAnsi="Times New Roman" w:cs="Times New Roman" w:eastAsiaTheme="minorEastAsia"/>
          <w:color w:val="auto"/>
          <w:w w:val="99"/>
          <w:highlight w:val="none"/>
        </w:rPr>
        <w:t>。</w:t>
      </w:r>
      <w:r>
        <w:rPr>
          <w:rFonts w:ascii="Times New Roman" w:hAnsi="Times New Roman" w:cs="Times New Roman" w:eastAsiaTheme="minorEastAsia"/>
          <w:color w:val="auto"/>
          <w:w w:val="99"/>
          <w:kern w:val="21"/>
          <w:highlight w:val="none"/>
        </w:rPr>
        <w:t>农用地土壤环境质量现状评价结果见表</w:t>
      </w:r>
      <w:r>
        <w:rPr>
          <w:rFonts w:ascii="Times New Roman" w:hAnsi="Times New Roman" w:cs="Times New Roman" w:eastAsiaTheme="minorEastAsia"/>
          <w:color w:val="auto"/>
          <w:w w:val="99"/>
          <w:highlight w:val="none"/>
        </w:rPr>
        <w:t>4.3-</w:t>
      </w:r>
      <w:r>
        <w:rPr>
          <w:rFonts w:hint="eastAsia" w:ascii="Times New Roman" w:hAnsi="Times New Roman" w:cs="Times New Roman" w:eastAsiaTheme="minorEastAsia"/>
          <w:color w:val="auto"/>
          <w:w w:val="99"/>
          <w:highlight w:val="none"/>
          <w:lang w:val="en-US" w:eastAsia="zh-CN"/>
        </w:rPr>
        <w:t>31</w:t>
      </w:r>
      <w:r>
        <w:rPr>
          <w:rFonts w:ascii="Times New Roman" w:hAnsi="Times New Roman" w:cs="Times New Roman" w:eastAsiaTheme="minorEastAsia"/>
          <w:color w:val="auto"/>
          <w:w w:val="99"/>
          <w:highlight w:val="none"/>
        </w:rPr>
        <w:t>。</w:t>
      </w:r>
    </w:p>
    <w:p>
      <w:pPr>
        <w:spacing w:line="500" w:lineRule="exact"/>
        <w:ind w:firstLine="476" w:firstLineChars="200"/>
        <w:rPr>
          <w:rFonts w:ascii="Times New Roman" w:hAnsi="Times New Roman" w:cs="Times New Roman" w:eastAsiaTheme="minorEastAsia"/>
          <w:b/>
          <w:bCs/>
          <w:color w:val="auto"/>
          <w:w w:val="99"/>
          <w:highlight w:val="none"/>
        </w:rPr>
      </w:pPr>
      <w:r>
        <w:rPr>
          <w:rFonts w:ascii="Times New Roman" w:hAnsi="Times New Roman" w:cs="Times New Roman" w:eastAsiaTheme="minorEastAsia"/>
          <w:b/>
          <w:bCs/>
          <w:color w:val="auto"/>
          <w:w w:val="99"/>
          <w:highlight w:val="none"/>
        </w:rPr>
        <w:t>表4.3-</w:t>
      </w:r>
      <w:r>
        <w:rPr>
          <w:rFonts w:hint="eastAsia" w:ascii="Times New Roman" w:hAnsi="Times New Roman" w:cs="Times New Roman" w:eastAsiaTheme="minorEastAsia"/>
          <w:b/>
          <w:bCs/>
          <w:color w:val="auto"/>
          <w:w w:val="99"/>
          <w:highlight w:val="none"/>
          <w:lang w:val="en-US" w:eastAsia="zh-CN"/>
        </w:rPr>
        <w:t>26</w:t>
      </w:r>
      <w:r>
        <w:rPr>
          <w:rFonts w:ascii="Times New Roman" w:hAnsi="Times New Roman" w:cs="Times New Roman" w:eastAsiaTheme="minorEastAsia"/>
          <w:b/>
          <w:bCs/>
          <w:color w:val="auto"/>
          <w:w w:val="99"/>
          <w:highlight w:val="none"/>
        </w:rPr>
        <w:t xml:space="preserve">        建设用地土壤环境质量现状评价结果（K</w:t>
      </w:r>
      <w:r>
        <w:rPr>
          <w:rFonts w:ascii="Times New Roman" w:hAnsi="Times New Roman" w:cs="Times New Roman" w:eastAsiaTheme="minorEastAsia"/>
          <w:b/>
          <w:bCs/>
          <w:color w:val="auto"/>
          <w:w w:val="99"/>
          <w:highlight w:val="none"/>
          <w:vertAlign w:val="subscript"/>
        </w:rPr>
        <w:t>i</w:t>
      </w:r>
      <w:r>
        <w:rPr>
          <w:rFonts w:ascii="Times New Roman" w:hAnsi="Times New Roman" w:cs="Times New Roman" w:eastAsiaTheme="minorEastAsia"/>
          <w:b/>
          <w:bCs/>
          <w:color w:val="auto"/>
          <w:w w:val="99"/>
          <w:highlight w:val="none"/>
        </w:rPr>
        <w:t>值）</w:t>
      </w:r>
    </w:p>
    <w:tbl>
      <w:tblPr>
        <w:tblStyle w:val="8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752"/>
        <w:gridCol w:w="926"/>
        <w:gridCol w:w="1014"/>
        <w:gridCol w:w="752"/>
        <w:gridCol w:w="926"/>
        <w:gridCol w:w="1014"/>
        <w:gridCol w:w="752"/>
        <w:gridCol w:w="926"/>
        <w:gridCol w:w="10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4349" w:type="pct"/>
            <w:gridSpan w:val="9"/>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0"/>
                <w:sz w:val="21"/>
                <w:szCs w:val="21"/>
                <w:highlight w:val="none"/>
                <w:lang w:val="en-US" w:eastAsia="zh-CN"/>
              </w:rPr>
              <w:t>2022.01.18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restar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4349" w:type="pct"/>
            <w:gridSpan w:val="9"/>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测点位及评价结果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vAlign w:val="center"/>
          </w:tcPr>
          <w:p>
            <w:pPr>
              <w:pStyle w:val="103"/>
              <w:widowControl/>
              <w:spacing w:line="360" w:lineRule="exact"/>
              <w:rPr>
                <w:rFonts w:eastAsiaTheme="minorEastAsia"/>
                <w:color w:val="auto"/>
                <w:w w:val="99"/>
                <w:sz w:val="21"/>
                <w:szCs w:val="21"/>
                <w:highlight w:val="none"/>
              </w:rPr>
            </w:pPr>
          </w:p>
        </w:tc>
        <w:tc>
          <w:tcPr>
            <w:tcW w:w="1449" w:type="pct"/>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w:t>
            </w:r>
            <w:r>
              <w:rPr>
                <w:rFonts w:hint="eastAsia" w:ascii="Times New Roman" w:hAnsi="Times New Roman" w:cs="Times New Roman" w:eastAsiaTheme="minorEastAsia"/>
                <w:color w:val="auto"/>
                <w:w w:val="99"/>
                <w:sz w:val="21"/>
                <w:szCs w:val="21"/>
                <w:highlight w:val="none"/>
                <w:lang w:eastAsia="zh-CN"/>
              </w:rPr>
              <w:t>源240-132</w:t>
            </w:r>
            <w:r>
              <w:rPr>
                <w:rFonts w:hint="eastAsia" w:ascii="Times New Roman" w:hAnsi="Times New Roman" w:cs="Times New Roman" w:eastAsiaTheme="minorEastAsia"/>
                <w:color w:val="auto"/>
                <w:w w:val="99"/>
                <w:sz w:val="21"/>
                <w:szCs w:val="21"/>
                <w:highlight w:val="none"/>
              </w:rPr>
              <w:t>井场永久占地内</w:t>
            </w:r>
          </w:p>
        </w:tc>
        <w:tc>
          <w:tcPr>
            <w:tcW w:w="1449" w:type="pct"/>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拟钻源232-136井场永久占地内</w:t>
            </w:r>
          </w:p>
        </w:tc>
        <w:tc>
          <w:tcPr>
            <w:tcW w:w="1450" w:type="pct"/>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拟钻源256-128井场永久占地内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vAlign w:val="center"/>
          </w:tcPr>
          <w:p>
            <w:pPr>
              <w:pStyle w:val="103"/>
              <w:widowControl/>
              <w:spacing w:line="360" w:lineRule="exact"/>
              <w:rPr>
                <w:rFonts w:eastAsiaTheme="minorEastAsia"/>
                <w:color w:val="auto"/>
                <w:w w:val="99"/>
                <w:sz w:val="21"/>
                <w:szCs w:val="21"/>
                <w:highlight w:val="none"/>
              </w:rPr>
            </w:pP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0-50cm</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50-150cm</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150-300cm</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0-50cm</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50-150cm</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150-300cm</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0-50cm</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50-150cm</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150-300cm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镉（Cd）</w:t>
            </w:r>
          </w:p>
        </w:tc>
        <w:tc>
          <w:tcPr>
            <w:tcW w:w="404" w:type="pct"/>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0.133 </w:t>
            </w:r>
          </w:p>
        </w:tc>
        <w:tc>
          <w:tcPr>
            <w:tcW w:w="498" w:type="pct"/>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0.167 </w:t>
            </w:r>
          </w:p>
        </w:tc>
        <w:tc>
          <w:tcPr>
            <w:tcW w:w="545" w:type="pct"/>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0.117 </w:t>
            </w:r>
          </w:p>
        </w:tc>
        <w:tc>
          <w:tcPr>
            <w:tcW w:w="404" w:type="pct"/>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0.150 </w:t>
            </w:r>
          </w:p>
        </w:tc>
        <w:tc>
          <w:tcPr>
            <w:tcW w:w="498" w:type="pct"/>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0.183 </w:t>
            </w:r>
          </w:p>
        </w:tc>
        <w:tc>
          <w:tcPr>
            <w:tcW w:w="545" w:type="pct"/>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0.133 </w:t>
            </w:r>
          </w:p>
        </w:tc>
        <w:tc>
          <w:tcPr>
            <w:tcW w:w="404" w:type="pct"/>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0.117 </w:t>
            </w:r>
          </w:p>
        </w:tc>
        <w:tc>
          <w:tcPr>
            <w:tcW w:w="498" w:type="pct"/>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0.150 </w:t>
            </w:r>
          </w:p>
        </w:tc>
        <w:tc>
          <w:tcPr>
            <w:tcW w:w="546" w:type="pct"/>
            <w:vAlign w:val="center"/>
          </w:tcPr>
          <w:p>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0.100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汞（Hg）</w:t>
            </w:r>
          </w:p>
        </w:tc>
        <w:tc>
          <w:tcPr>
            <w:tcW w:w="752"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0.0056 </w:t>
            </w:r>
          </w:p>
        </w:tc>
        <w:tc>
          <w:tcPr>
            <w:tcW w:w="926"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0.0062 </w:t>
            </w:r>
          </w:p>
        </w:tc>
        <w:tc>
          <w:tcPr>
            <w:tcW w:w="1014"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0.0047 </w:t>
            </w:r>
          </w:p>
        </w:tc>
        <w:tc>
          <w:tcPr>
            <w:tcW w:w="752"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0.0044 </w:t>
            </w:r>
          </w:p>
        </w:tc>
        <w:tc>
          <w:tcPr>
            <w:tcW w:w="926"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0.0059 </w:t>
            </w:r>
          </w:p>
        </w:tc>
        <w:tc>
          <w:tcPr>
            <w:tcW w:w="1014"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0.0053 </w:t>
            </w:r>
          </w:p>
        </w:tc>
        <w:tc>
          <w:tcPr>
            <w:tcW w:w="752"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0.0038 </w:t>
            </w:r>
          </w:p>
        </w:tc>
        <w:tc>
          <w:tcPr>
            <w:tcW w:w="926"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0.0050 </w:t>
            </w:r>
          </w:p>
        </w:tc>
        <w:tc>
          <w:tcPr>
            <w:tcW w:w="1015"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0.0041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砷（As）</w:t>
            </w:r>
          </w:p>
        </w:tc>
        <w:tc>
          <w:tcPr>
            <w:tcW w:w="752"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0.132 </w:t>
            </w:r>
          </w:p>
        </w:tc>
        <w:tc>
          <w:tcPr>
            <w:tcW w:w="926"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0.136 </w:t>
            </w:r>
          </w:p>
        </w:tc>
        <w:tc>
          <w:tcPr>
            <w:tcW w:w="1014"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0.135 </w:t>
            </w:r>
          </w:p>
        </w:tc>
        <w:tc>
          <w:tcPr>
            <w:tcW w:w="752"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0.133 </w:t>
            </w:r>
          </w:p>
        </w:tc>
        <w:tc>
          <w:tcPr>
            <w:tcW w:w="926"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0.129 </w:t>
            </w:r>
          </w:p>
        </w:tc>
        <w:tc>
          <w:tcPr>
            <w:tcW w:w="1014"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0.136 </w:t>
            </w:r>
          </w:p>
        </w:tc>
        <w:tc>
          <w:tcPr>
            <w:tcW w:w="752"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0.130 </w:t>
            </w:r>
          </w:p>
        </w:tc>
        <w:tc>
          <w:tcPr>
            <w:tcW w:w="926"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0.137 </w:t>
            </w:r>
          </w:p>
        </w:tc>
        <w:tc>
          <w:tcPr>
            <w:tcW w:w="1015"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0.134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铅（Pb）</w:t>
            </w:r>
          </w:p>
        </w:tc>
        <w:tc>
          <w:tcPr>
            <w:tcW w:w="752"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0.088 </w:t>
            </w:r>
          </w:p>
        </w:tc>
        <w:tc>
          <w:tcPr>
            <w:tcW w:w="926"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0.112 </w:t>
            </w:r>
          </w:p>
        </w:tc>
        <w:tc>
          <w:tcPr>
            <w:tcW w:w="1014"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0.100 </w:t>
            </w:r>
          </w:p>
        </w:tc>
        <w:tc>
          <w:tcPr>
            <w:tcW w:w="752"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0.094 </w:t>
            </w:r>
          </w:p>
        </w:tc>
        <w:tc>
          <w:tcPr>
            <w:tcW w:w="926"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0.118 </w:t>
            </w:r>
          </w:p>
        </w:tc>
        <w:tc>
          <w:tcPr>
            <w:tcW w:w="1014"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0.088 </w:t>
            </w:r>
          </w:p>
        </w:tc>
        <w:tc>
          <w:tcPr>
            <w:tcW w:w="752"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0.100 </w:t>
            </w:r>
          </w:p>
        </w:tc>
        <w:tc>
          <w:tcPr>
            <w:tcW w:w="926"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0.082 </w:t>
            </w:r>
          </w:p>
        </w:tc>
        <w:tc>
          <w:tcPr>
            <w:tcW w:w="1015"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0.094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铬（六价）</w:t>
            </w:r>
          </w:p>
        </w:tc>
        <w:tc>
          <w:tcPr>
            <w:tcW w:w="404" w:type="pct"/>
            <w:vAlign w:val="bottom"/>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eastAsia="zh-CN"/>
              </w:rPr>
              <w:t>/</w:t>
            </w:r>
          </w:p>
        </w:tc>
        <w:tc>
          <w:tcPr>
            <w:tcW w:w="498" w:type="pct"/>
            <w:vAlign w:val="bottom"/>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eastAsia="zh-CN"/>
              </w:rPr>
              <w:t>/</w:t>
            </w:r>
          </w:p>
        </w:tc>
        <w:tc>
          <w:tcPr>
            <w:tcW w:w="545" w:type="pct"/>
            <w:vAlign w:val="bottom"/>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eastAsia="zh-CN"/>
              </w:rPr>
              <w:t>/</w:t>
            </w:r>
          </w:p>
        </w:tc>
        <w:tc>
          <w:tcPr>
            <w:tcW w:w="404" w:type="pct"/>
            <w:vAlign w:val="bottom"/>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eastAsia="zh-CN"/>
              </w:rPr>
              <w:t>/</w:t>
            </w:r>
          </w:p>
        </w:tc>
        <w:tc>
          <w:tcPr>
            <w:tcW w:w="498" w:type="pct"/>
            <w:vAlign w:val="bottom"/>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eastAsia="zh-CN"/>
              </w:rPr>
              <w:t>/</w:t>
            </w:r>
          </w:p>
        </w:tc>
        <w:tc>
          <w:tcPr>
            <w:tcW w:w="545" w:type="pct"/>
            <w:vAlign w:val="bottom"/>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eastAsia="zh-CN"/>
              </w:rPr>
              <w:t>/</w:t>
            </w:r>
          </w:p>
        </w:tc>
        <w:tc>
          <w:tcPr>
            <w:tcW w:w="404" w:type="pct"/>
            <w:vAlign w:val="bottom"/>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eastAsia="zh-CN"/>
              </w:rPr>
              <w:t>/</w:t>
            </w:r>
          </w:p>
        </w:tc>
        <w:tc>
          <w:tcPr>
            <w:tcW w:w="498" w:type="pct"/>
            <w:vAlign w:val="bottom"/>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eastAsia="zh-CN"/>
              </w:rPr>
              <w:t>/</w:t>
            </w:r>
          </w:p>
        </w:tc>
        <w:tc>
          <w:tcPr>
            <w:tcW w:w="546" w:type="pct"/>
            <w:vAlign w:val="bottom"/>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铜（Cu）</w:t>
            </w:r>
          </w:p>
        </w:tc>
        <w:tc>
          <w:tcPr>
            <w:tcW w:w="752"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0.110 </w:t>
            </w:r>
          </w:p>
        </w:tc>
        <w:tc>
          <w:tcPr>
            <w:tcW w:w="926"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0.180 </w:t>
            </w:r>
          </w:p>
        </w:tc>
        <w:tc>
          <w:tcPr>
            <w:tcW w:w="1014"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0.150 </w:t>
            </w:r>
          </w:p>
        </w:tc>
        <w:tc>
          <w:tcPr>
            <w:tcW w:w="752"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0.130 </w:t>
            </w:r>
          </w:p>
        </w:tc>
        <w:tc>
          <w:tcPr>
            <w:tcW w:w="926"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0.160 </w:t>
            </w:r>
          </w:p>
        </w:tc>
        <w:tc>
          <w:tcPr>
            <w:tcW w:w="1014"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0.140 </w:t>
            </w:r>
          </w:p>
        </w:tc>
        <w:tc>
          <w:tcPr>
            <w:tcW w:w="752"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0.180 </w:t>
            </w:r>
          </w:p>
        </w:tc>
        <w:tc>
          <w:tcPr>
            <w:tcW w:w="926"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0.120 </w:t>
            </w:r>
          </w:p>
        </w:tc>
        <w:tc>
          <w:tcPr>
            <w:tcW w:w="1015"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0.150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镍（Ni）</w:t>
            </w:r>
          </w:p>
        </w:tc>
        <w:tc>
          <w:tcPr>
            <w:tcW w:w="752"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0.100 </w:t>
            </w:r>
          </w:p>
        </w:tc>
        <w:tc>
          <w:tcPr>
            <w:tcW w:w="926"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0.116 </w:t>
            </w:r>
          </w:p>
        </w:tc>
        <w:tc>
          <w:tcPr>
            <w:tcW w:w="1014"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0.095 </w:t>
            </w:r>
          </w:p>
        </w:tc>
        <w:tc>
          <w:tcPr>
            <w:tcW w:w="752"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0.111 </w:t>
            </w:r>
          </w:p>
        </w:tc>
        <w:tc>
          <w:tcPr>
            <w:tcW w:w="926"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0.079 </w:t>
            </w:r>
          </w:p>
        </w:tc>
        <w:tc>
          <w:tcPr>
            <w:tcW w:w="1014"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0.105 </w:t>
            </w:r>
          </w:p>
        </w:tc>
        <w:tc>
          <w:tcPr>
            <w:tcW w:w="752"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0.095 </w:t>
            </w:r>
          </w:p>
        </w:tc>
        <w:tc>
          <w:tcPr>
            <w:tcW w:w="926"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0.116 </w:t>
            </w:r>
          </w:p>
        </w:tc>
        <w:tc>
          <w:tcPr>
            <w:tcW w:w="1015"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 xml:space="preserve">0.100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甲苯</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乙苯</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氯苯</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苯乙烯</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间二甲苯+对二甲苯</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邻二甲苯</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氯乙烯</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1,2-二氯苯</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1,4-二氯苯</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四氯化碳</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氯仿</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氯甲烷</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1,1-二氯乙烷</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1,2-二氯乙烷</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1,1-二氯乙烯</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顺-1,2-二氯乙烯</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反-1,2-二氯乙烯</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二氯甲烷</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1,2-二氯丙烷</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1,1,1,2-四氯乙烷</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1,1,2,2-四氯乙烷</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四氯乙烯</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1,1,1-三氯乙烷</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1,1,2-三氯乙烷</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三氯乙烯</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1,2,3-三氯丙烷</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硝基苯</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2-氯酚</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䓛</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萘</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苯并[a]蒽</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苯并[b]荧蒽</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苯并[k]荧蒽</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苯并[a]芘</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茚并[1,2,3-cd]芘</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二苯并[a, h]蒽</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石油烃（C10-C40）</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4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bl>
    <w:p>
      <w:pPr>
        <w:spacing w:line="500" w:lineRule="exact"/>
        <w:ind w:firstLine="476" w:firstLineChars="200"/>
        <w:rPr>
          <w:rFonts w:ascii="Times New Roman" w:hAnsi="Times New Roman" w:cs="Times New Roman" w:eastAsiaTheme="minorEastAsia"/>
          <w:b/>
          <w:bCs/>
          <w:color w:val="auto"/>
          <w:w w:val="99"/>
          <w:highlight w:val="none"/>
        </w:rPr>
      </w:pPr>
      <w:r>
        <w:rPr>
          <w:rFonts w:ascii="Times New Roman" w:hAnsi="Times New Roman" w:cs="Times New Roman" w:eastAsiaTheme="minorEastAsia"/>
          <w:b/>
          <w:bCs/>
          <w:color w:val="auto"/>
          <w:w w:val="99"/>
          <w:highlight w:val="none"/>
        </w:rPr>
        <w:t>续表4.3-</w:t>
      </w:r>
      <w:r>
        <w:rPr>
          <w:rFonts w:hint="eastAsia" w:ascii="Times New Roman" w:hAnsi="Times New Roman" w:cs="Times New Roman" w:eastAsiaTheme="minorEastAsia"/>
          <w:b/>
          <w:bCs/>
          <w:color w:val="auto"/>
          <w:w w:val="99"/>
          <w:highlight w:val="none"/>
          <w:lang w:val="en-US" w:eastAsia="zh-CN"/>
        </w:rPr>
        <w:t>26</w:t>
      </w:r>
      <w:r>
        <w:rPr>
          <w:rFonts w:ascii="Times New Roman" w:hAnsi="Times New Roman" w:cs="Times New Roman" w:eastAsiaTheme="minorEastAsia"/>
          <w:b/>
          <w:bCs/>
          <w:color w:val="auto"/>
          <w:w w:val="99"/>
          <w:highlight w:val="none"/>
        </w:rPr>
        <w:t xml:space="preserve">        建设用地土壤环境质量现状评价结果（K</w:t>
      </w:r>
      <w:r>
        <w:rPr>
          <w:rFonts w:ascii="Times New Roman" w:hAnsi="Times New Roman" w:cs="Times New Roman" w:eastAsiaTheme="minorEastAsia"/>
          <w:b/>
          <w:bCs/>
          <w:color w:val="auto"/>
          <w:w w:val="99"/>
          <w:highlight w:val="none"/>
          <w:vertAlign w:val="subscript"/>
        </w:rPr>
        <w:t>i</w:t>
      </w:r>
      <w:r>
        <w:rPr>
          <w:rFonts w:ascii="Times New Roman" w:hAnsi="Times New Roman" w:cs="Times New Roman" w:eastAsiaTheme="minorEastAsia"/>
          <w:b/>
          <w:bCs/>
          <w:color w:val="auto"/>
          <w:w w:val="99"/>
          <w:highlight w:val="none"/>
        </w:rPr>
        <w:t>值）</w:t>
      </w:r>
    </w:p>
    <w:tbl>
      <w:tblPr>
        <w:tblStyle w:val="8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805"/>
        <w:gridCol w:w="997"/>
        <w:gridCol w:w="1093"/>
        <w:gridCol w:w="805"/>
        <w:gridCol w:w="997"/>
        <w:gridCol w:w="1093"/>
        <w:gridCol w:w="858"/>
        <w:gridCol w:w="858"/>
        <w:gridCol w:w="8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4476" w:type="pct"/>
            <w:gridSpan w:val="9"/>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2021.</w:t>
            </w:r>
            <w:r>
              <w:rPr>
                <w:rFonts w:hint="eastAsia" w:ascii="Times New Roman" w:hAnsi="Times New Roman" w:cs="Times New Roman" w:eastAsiaTheme="minorEastAsia"/>
                <w:color w:val="auto"/>
                <w:w w:val="99"/>
                <w:sz w:val="21"/>
                <w:szCs w:val="21"/>
                <w:highlight w:val="none"/>
              </w:rPr>
              <w:t>9.22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Merge w:val="restar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4476" w:type="pct"/>
            <w:gridSpan w:val="9"/>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测点位及评价结果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Merge w:val="continue"/>
            <w:vAlign w:val="center"/>
          </w:tcPr>
          <w:p>
            <w:pPr>
              <w:spacing w:line="350" w:lineRule="exact"/>
              <w:jc w:val="center"/>
              <w:rPr>
                <w:rFonts w:ascii="Times New Roman" w:hAnsi="Times New Roman" w:cs="Times New Roman" w:eastAsiaTheme="minorEastAsia"/>
                <w:color w:val="auto"/>
                <w:w w:val="99"/>
                <w:sz w:val="21"/>
                <w:szCs w:val="21"/>
                <w:highlight w:val="none"/>
              </w:rPr>
            </w:pPr>
          </w:p>
        </w:tc>
        <w:tc>
          <w:tcPr>
            <w:tcW w:w="2895" w:type="dxa"/>
            <w:gridSpan w:val="3"/>
            <w:vAlign w:val="center"/>
          </w:tcPr>
          <w:p>
            <w:pPr>
              <w:widowControl/>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0"/>
                <w:sz w:val="21"/>
                <w:szCs w:val="21"/>
                <w:highlight w:val="none"/>
                <w:lang w:val="en-US" w:eastAsia="zh-CN"/>
              </w:rPr>
              <w:t>拟钻源298-110井场永久占地内</w:t>
            </w:r>
          </w:p>
        </w:tc>
        <w:tc>
          <w:tcPr>
            <w:tcW w:w="2895" w:type="dxa"/>
            <w:gridSpan w:val="3"/>
            <w:vAlign w:val="center"/>
          </w:tcPr>
          <w:p>
            <w:pPr>
              <w:widowControl/>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0"/>
                <w:sz w:val="21"/>
                <w:szCs w:val="21"/>
                <w:highlight w:val="none"/>
                <w:lang w:val="en-US" w:eastAsia="zh-CN"/>
              </w:rPr>
              <w:t>拟钻源278-128井场永久占地内</w:t>
            </w:r>
          </w:p>
        </w:tc>
        <w:tc>
          <w:tcPr>
            <w:tcW w:w="858" w:type="dxa"/>
            <w:vAlign w:val="center"/>
          </w:tcPr>
          <w:p>
            <w:pPr>
              <w:widowControl/>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0"/>
                <w:sz w:val="21"/>
                <w:szCs w:val="21"/>
                <w:highlight w:val="none"/>
                <w:lang w:val="en-US" w:eastAsia="zh-CN"/>
              </w:rPr>
              <w:t>拟钻源244-134井场永久占地内</w:t>
            </w:r>
          </w:p>
        </w:tc>
        <w:tc>
          <w:tcPr>
            <w:tcW w:w="858" w:type="dxa"/>
            <w:vAlign w:val="center"/>
          </w:tcPr>
          <w:p>
            <w:pPr>
              <w:widowControl/>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0"/>
                <w:sz w:val="21"/>
                <w:szCs w:val="21"/>
                <w:highlight w:val="none"/>
                <w:lang w:val="en-US" w:eastAsia="zh-CN"/>
              </w:rPr>
              <w:t>拟钻源284-120井场永久占地内</w:t>
            </w:r>
          </w:p>
        </w:tc>
        <w:tc>
          <w:tcPr>
            <w:tcW w:w="805" w:type="dxa"/>
            <w:vAlign w:val="center"/>
          </w:tcPr>
          <w:p>
            <w:pPr>
              <w:widowControl/>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0"/>
                <w:sz w:val="21"/>
                <w:szCs w:val="21"/>
                <w:highlight w:val="none"/>
                <w:lang w:val="en-US" w:eastAsia="zh-CN"/>
              </w:rPr>
              <w:t>厢房屯土壤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Merge w:val="continue"/>
            <w:vAlign w:val="center"/>
          </w:tcPr>
          <w:p>
            <w:pPr>
              <w:spacing w:line="350" w:lineRule="exact"/>
              <w:jc w:val="center"/>
              <w:rPr>
                <w:rFonts w:ascii="Times New Roman" w:hAnsi="Times New Roman" w:cs="Times New Roman" w:eastAsiaTheme="minorEastAsia"/>
                <w:color w:val="auto"/>
                <w:w w:val="99"/>
                <w:sz w:val="21"/>
                <w:szCs w:val="21"/>
                <w:highlight w:val="none"/>
              </w:rPr>
            </w:pPr>
          </w:p>
        </w:tc>
        <w:tc>
          <w:tcPr>
            <w:tcW w:w="43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0-50cm</w:t>
            </w:r>
          </w:p>
        </w:tc>
        <w:tc>
          <w:tcPr>
            <w:tcW w:w="5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50-150cm</w:t>
            </w:r>
          </w:p>
        </w:tc>
        <w:tc>
          <w:tcPr>
            <w:tcW w:w="58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150-300cm</w:t>
            </w:r>
          </w:p>
        </w:tc>
        <w:tc>
          <w:tcPr>
            <w:tcW w:w="43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0-50cm</w:t>
            </w:r>
          </w:p>
        </w:tc>
        <w:tc>
          <w:tcPr>
            <w:tcW w:w="5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50-150cm</w:t>
            </w:r>
          </w:p>
        </w:tc>
        <w:tc>
          <w:tcPr>
            <w:tcW w:w="58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150-300cm</w:t>
            </w:r>
          </w:p>
        </w:tc>
        <w:tc>
          <w:tcPr>
            <w:tcW w:w="46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w:t>
            </w:r>
          </w:p>
        </w:tc>
        <w:tc>
          <w:tcPr>
            <w:tcW w:w="46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镉（Cd）</w:t>
            </w:r>
          </w:p>
        </w:tc>
        <w:tc>
          <w:tcPr>
            <w:tcW w:w="80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0.133 </w:t>
            </w:r>
          </w:p>
        </w:tc>
        <w:tc>
          <w:tcPr>
            <w:tcW w:w="99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0.100 </w:t>
            </w:r>
          </w:p>
        </w:tc>
        <w:tc>
          <w:tcPr>
            <w:tcW w:w="10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0.117 </w:t>
            </w:r>
          </w:p>
        </w:tc>
        <w:tc>
          <w:tcPr>
            <w:tcW w:w="80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0.117 </w:t>
            </w:r>
          </w:p>
        </w:tc>
        <w:tc>
          <w:tcPr>
            <w:tcW w:w="99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0.133 </w:t>
            </w:r>
          </w:p>
        </w:tc>
        <w:tc>
          <w:tcPr>
            <w:tcW w:w="10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0.100 </w:t>
            </w:r>
          </w:p>
        </w:tc>
        <w:tc>
          <w:tcPr>
            <w:tcW w:w="858"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0.167 </w:t>
            </w:r>
          </w:p>
        </w:tc>
        <w:tc>
          <w:tcPr>
            <w:tcW w:w="858"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0.117 </w:t>
            </w:r>
          </w:p>
        </w:tc>
        <w:tc>
          <w:tcPr>
            <w:tcW w:w="80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0.150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汞（Hg）</w:t>
            </w:r>
          </w:p>
        </w:tc>
        <w:tc>
          <w:tcPr>
            <w:tcW w:w="80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0.0044 </w:t>
            </w:r>
          </w:p>
        </w:tc>
        <w:tc>
          <w:tcPr>
            <w:tcW w:w="99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0.0053 </w:t>
            </w:r>
          </w:p>
        </w:tc>
        <w:tc>
          <w:tcPr>
            <w:tcW w:w="10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0.0047 </w:t>
            </w:r>
          </w:p>
        </w:tc>
        <w:tc>
          <w:tcPr>
            <w:tcW w:w="80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0.0041 </w:t>
            </w:r>
          </w:p>
        </w:tc>
        <w:tc>
          <w:tcPr>
            <w:tcW w:w="99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0.0047 </w:t>
            </w:r>
          </w:p>
        </w:tc>
        <w:tc>
          <w:tcPr>
            <w:tcW w:w="10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0.0050 </w:t>
            </w:r>
          </w:p>
        </w:tc>
        <w:tc>
          <w:tcPr>
            <w:tcW w:w="858"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0.0044 </w:t>
            </w:r>
          </w:p>
        </w:tc>
        <w:tc>
          <w:tcPr>
            <w:tcW w:w="858"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0.0050 </w:t>
            </w:r>
          </w:p>
        </w:tc>
        <w:tc>
          <w:tcPr>
            <w:tcW w:w="80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0.0053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砷（As）</w:t>
            </w:r>
          </w:p>
        </w:tc>
        <w:tc>
          <w:tcPr>
            <w:tcW w:w="80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0.131 </w:t>
            </w:r>
          </w:p>
        </w:tc>
        <w:tc>
          <w:tcPr>
            <w:tcW w:w="99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0.133 </w:t>
            </w:r>
          </w:p>
        </w:tc>
        <w:tc>
          <w:tcPr>
            <w:tcW w:w="10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0.132 </w:t>
            </w:r>
          </w:p>
        </w:tc>
        <w:tc>
          <w:tcPr>
            <w:tcW w:w="80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0.129 </w:t>
            </w:r>
          </w:p>
        </w:tc>
        <w:tc>
          <w:tcPr>
            <w:tcW w:w="99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0.132 </w:t>
            </w:r>
          </w:p>
        </w:tc>
        <w:tc>
          <w:tcPr>
            <w:tcW w:w="10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0.131 </w:t>
            </w:r>
          </w:p>
        </w:tc>
        <w:tc>
          <w:tcPr>
            <w:tcW w:w="858"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0.136 </w:t>
            </w:r>
          </w:p>
        </w:tc>
        <w:tc>
          <w:tcPr>
            <w:tcW w:w="858"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0.135 </w:t>
            </w:r>
          </w:p>
        </w:tc>
        <w:tc>
          <w:tcPr>
            <w:tcW w:w="80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0.130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铅（Pb）</w:t>
            </w:r>
          </w:p>
        </w:tc>
        <w:tc>
          <w:tcPr>
            <w:tcW w:w="80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0.106 </w:t>
            </w:r>
          </w:p>
        </w:tc>
        <w:tc>
          <w:tcPr>
            <w:tcW w:w="99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0.076 </w:t>
            </w:r>
          </w:p>
        </w:tc>
        <w:tc>
          <w:tcPr>
            <w:tcW w:w="10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0.100 </w:t>
            </w:r>
          </w:p>
        </w:tc>
        <w:tc>
          <w:tcPr>
            <w:tcW w:w="80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0.088 </w:t>
            </w:r>
          </w:p>
        </w:tc>
        <w:tc>
          <w:tcPr>
            <w:tcW w:w="99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0.112 </w:t>
            </w:r>
          </w:p>
        </w:tc>
        <w:tc>
          <w:tcPr>
            <w:tcW w:w="10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0.094 </w:t>
            </w:r>
          </w:p>
        </w:tc>
        <w:tc>
          <w:tcPr>
            <w:tcW w:w="858"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0.106 </w:t>
            </w:r>
          </w:p>
        </w:tc>
        <w:tc>
          <w:tcPr>
            <w:tcW w:w="858"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0.088 </w:t>
            </w:r>
          </w:p>
        </w:tc>
        <w:tc>
          <w:tcPr>
            <w:tcW w:w="80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0.076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铬（六价）</w:t>
            </w:r>
          </w:p>
        </w:tc>
        <w:tc>
          <w:tcPr>
            <w:tcW w:w="432" w:type="pct"/>
            <w:vAlign w:val="bottom"/>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535" w:type="pct"/>
            <w:vAlign w:val="bottom"/>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589" w:type="pct"/>
            <w:vAlign w:val="bottom"/>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432" w:type="pct"/>
            <w:vAlign w:val="bottom"/>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535" w:type="pct"/>
            <w:vAlign w:val="bottom"/>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589" w:type="pct"/>
            <w:vAlign w:val="bottom"/>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460" w:type="pct"/>
            <w:vAlign w:val="bottom"/>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461" w:type="pct"/>
            <w:vAlign w:val="bottom"/>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438" w:type="pct"/>
            <w:vAlign w:val="bottom"/>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铜（Cu）</w:t>
            </w:r>
          </w:p>
        </w:tc>
        <w:tc>
          <w:tcPr>
            <w:tcW w:w="80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16</w:t>
            </w:r>
          </w:p>
        </w:tc>
        <w:tc>
          <w:tcPr>
            <w:tcW w:w="99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11</w:t>
            </w:r>
          </w:p>
        </w:tc>
        <w:tc>
          <w:tcPr>
            <w:tcW w:w="10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14</w:t>
            </w:r>
          </w:p>
        </w:tc>
        <w:tc>
          <w:tcPr>
            <w:tcW w:w="80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13</w:t>
            </w:r>
          </w:p>
        </w:tc>
        <w:tc>
          <w:tcPr>
            <w:tcW w:w="99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17</w:t>
            </w:r>
          </w:p>
        </w:tc>
        <w:tc>
          <w:tcPr>
            <w:tcW w:w="10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15</w:t>
            </w:r>
          </w:p>
        </w:tc>
        <w:tc>
          <w:tcPr>
            <w:tcW w:w="858"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12</w:t>
            </w:r>
          </w:p>
        </w:tc>
        <w:tc>
          <w:tcPr>
            <w:tcW w:w="858"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16</w:t>
            </w:r>
          </w:p>
        </w:tc>
        <w:tc>
          <w:tcPr>
            <w:tcW w:w="80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镍（Ni）</w:t>
            </w:r>
          </w:p>
        </w:tc>
        <w:tc>
          <w:tcPr>
            <w:tcW w:w="80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0.105 </w:t>
            </w:r>
          </w:p>
        </w:tc>
        <w:tc>
          <w:tcPr>
            <w:tcW w:w="99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0.095 </w:t>
            </w:r>
          </w:p>
        </w:tc>
        <w:tc>
          <w:tcPr>
            <w:tcW w:w="10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0.116 </w:t>
            </w:r>
          </w:p>
        </w:tc>
        <w:tc>
          <w:tcPr>
            <w:tcW w:w="80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0.126 </w:t>
            </w:r>
          </w:p>
        </w:tc>
        <w:tc>
          <w:tcPr>
            <w:tcW w:w="997"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0.105 </w:t>
            </w:r>
          </w:p>
        </w:tc>
        <w:tc>
          <w:tcPr>
            <w:tcW w:w="1093"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0.100 </w:t>
            </w:r>
          </w:p>
        </w:tc>
        <w:tc>
          <w:tcPr>
            <w:tcW w:w="858"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0.121 </w:t>
            </w:r>
          </w:p>
        </w:tc>
        <w:tc>
          <w:tcPr>
            <w:tcW w:w="858"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0.100 </w:t>
            </w:r>
          </w:p>
        </w:tc>
        <w:tc>
          <w:tcPr>
            <w:tcW w:w="805" w:type="dxa"/>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 xml:space="preserve">0.111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w:t>
            </w:r>
          </w:p>
        </w:tc>
        <w:tc>
          <w:tcPr>
            <w:tcW w:w="432" w:type="pct"/>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535" w:type="pct"/>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589" w:type="pct"/>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432" w:type="pct"/>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535" w:type="pct"/>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589" w:type="pct"/>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460" w:type="pct"/>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461" w:type="pct"/>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438" w:type="pct"/>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甲苯</w:t>
            </w:r>
          </w:p>
        </w:tc>
        <w:tc>
          <w:tcPr>
            <w:tcW w:w="432" w:type="pct"/>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535" w:type="pct"/>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589" w:type="pct"/>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432" w:type="pct"/>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535" w:type="pct"/>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589" w:type="pct"/>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460" w:type="pct"/>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461" w:type="pct"/>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c>
          <w:tcPr>
            <w:tcW w:w="438" w:type="pct"/>
            <w:vAlign w:val="center"/>
          </w:tcPr>
          <w:p>
            <w:pPr>
              <w:widowControl/>
              <w:spacing w:line="360" w:lineRule="exact"/>
              <w:jc w:val="center"/>
              <w:rPr>
                <w:rFonts w:hint="eastAsia" w:ascii="Times New Roman" w:hAnsi="Times New Roman" w:cs="Times New Roman" w:eastAsiaTheme="minorEastAsia"/>
                <w:color w:val="auto"/>
                <w:w w:val="99"/>
                <w:kern w:val="0"/>
                <w:sz w:val="21"/>
                <w:szCs w:val="21"/>
                <w:highlight w:val="none"/>
                <w:lang w:val="en-US" w:eastAsia="zh-CN"/>
              </w:rPr>
            </w:pPr>
            <w:r>
              <w:rPr>
                <w:rFonts w:hint="eastAsia" w:ascii="Times New Roman" w:hAnsi="Times New Roman" w:cs="Times New Roman" w:eastAsiaTheme="minorEastAsia"/>
                <w:color w:val="auto"/>
                <w:w w:val="99"/>
                <w:kern w:val="0"/>
                <w:sz w:val="21"/>
                <w:szCs w:val="21"/>
                <w:highlight w:val="no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乙苯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苯乙烯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间二甲苯+对二甲苯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邻二甲苯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氯乙烯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1,4-二氯苯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四氯化碳</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氯仿</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氯甲烷</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1,1-二氯乙烷</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1,2-二氯乙烷</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1,1-二氯乙烯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顺-1,2-二氯乙烯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反-1,2-二氯乙烯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二氯甲烷</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1,2-二氯丙烷</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1,1,1,2-四氯乙烷</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1,1,2,2-四氯乙烷</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四氯乙烯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1,1,1-三氯乙烷</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1,1,2-三氯乙烷</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三氯乙烯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1,2,3-三氯丙烷</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硝基苯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2-氯酚</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䓛</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萘</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苯并[a]蒽</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苯并[b]荧蒽</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苯并[k]荧蒽</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苯并[a]芘</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茚并[1,2,3-cd]芘</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二苯并[a, h]蒽</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石油烃</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bl>
    <w:p>
      <w:pPr>
        <w:spacing w:line="500" w:lineRule="exact"/>
        <w:ind w:firstLine="476"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b/>
          <w:bCs/>
          <w:color w:val="auto"/>
          <w:w w:val="99"/>
          <w:kern w:val="21"/>
          <w:highlight w:val="none"/>
          <w:lang w:bidi="zh-CN"/>
        </w:rPr>
        <w:t>表</w:t>
      </w:r>
      <w:r>
        <w:rPr>
          <w:rFonts w:ascii="Times New Roman" w:hAnsi="Times New Roman" w:cs="Times New Roman" w:eastAsiaTheme="minorEastAsia"/>
          <w:b/>
          <w:bCs/>
          <w:color w:val="auto"/>
          <w:w w:val="99"/>
          <w:kern w:val="2"/>
          <w:szCs w:val="20"/>
          <w:highlight w:val="none"/>
        </w:rPr>
        <w:t>4.3-</w:t>
      </w:r>
      <w:r>
        <w:rPr>
          <w:rFonts w:hint="eastAsia" w:ascii="Times New Roman" w:hAnsi="Times New Roman" w:cs="Times New Roman" w:eastAsiaTheme="minorEastAsia"/>
          <w:b/>
          <w:bCs/>
          <w:color w:val="auto"/>
          <w:w w:val="99"/>
          <w:kern w:val="2"/>
          <w:szCs w:val="20"/>
          <w:highlight w:val="none"/>
          <w:lang w:val="en-US" w:eastAsia="zh-CN"/>
        </w:rPr>
        <w:t>27</w:t>
      </w:r>
      <w:r>
        <w:rPr>
          <w:rFonts w:ascii="Times New Roman" w:hAnsi="Times New Roman" w:cs="Times New Roman" w:eastAsiaTheme="minorEastAsia"/>
          <w:b/>
          <w:bCs/>
          <w:color w:val="auto"/>
          <w:w w:val="99"/>
          <w:kern w:val="21"/>
          <w:highlight w:val="none"/>
          <w:lang w:bidi="zh-CN"/>
        </w:rPr>
        <w:t xml:space="preserve">            </w:t>
      </w:r>
      <w:r>
        <w:rPr>
          <w:rFonts w:ascii="Times New Roman" w:hAnsi="Times New Roman" w:cs="Times New Roman" w:eastAsiaTheme="minorEastAsia"/>
          <w:b/>
          <w:bCs/>
          <w:color w:val="auto"/>
          <w:w w:val="99"/>
          <w:kern w:val="21"/>
          <w:highlight w:val="none"/>
        </w:rPr>
        <w:t xml:space="preserve">农用地土壤环境质量现状评价结果 </w:t>
      </w:r>
      <w:r>
        <w:rPr>
          <w:rFonts w:ascii="Times New Roman" w:hAnsi="Times New Roman" w:cs="Times New Roman" w:eastAsiaTheme="minorEastAsia"/>
          <w:color w:val="auto"/>
          <w:w w:val="99"/>
          <w:kern w:val="21"/>
          <w:highlight w:val="none"/>
        </w:rPr>
        <w:t xml:space="preserve">   </w:t>
      </w:r>
    </w:p>
    <w:tbl>
      <w:tblPr>
        <w:tblStyle w:val="8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82"/>
        <w:gridCol w:w="2362"/>
        <w:gridCol w:w="2689"/>
        <w:gridCol w:w="27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4202" w:type="pct"/>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2021.9</w:t>
            </w:r>
            <w:r>
              <w:rPr>
                <w:rFonts w:hint="eastAsia" w:ascii="Times New Roman" w:hAnsi="Times New Roman" w:cs="Times New Roman" w:eastAsiaTheme="minorEastAsia"/>
                <w:color w:val="auto"/>
                <w:w w:val="99"/>
                <w:sz w:val="21"/>
                <w:szCs w:val="21"/>
                <w:highlight w:val="none"/>
              </w:rPr>
              <w:t>.22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Merge w:val="restar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4202" w:type="pct"/>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监测点位及评价结果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236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拟钻源118-350井场南侧200m处耕地</w:t>
            </w:r>
          </w:p>
        </w:tc>
        <w:tc>
          <w:tcPr>
            <w:tcW w:w="268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拟钻源330-286井场南侧200m处耕地</w:t>
            </w:r>
          </w:p>
        </w:tc>
        <w:tc>
          <w:tcPr>
            <w:tcW w:w="275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拟钻源71-135井场南侧200m处</w:t>
            </w:r>
            <w:r>
              <w:rPr>
                <w:rFonts w:hint="eastAsia" w:ascii="Times New Roman" w:hAnsi="Times New Roman" w:cs="Times New Roman" w:eastAsiaTheme="minorEastAsia"/>
                <w:color w:val="auto"/>
                <w:w w:val="99"/>
                <w:sz w:val="21"/>
                <w:szCs w:val="21"/>
                <w:highlight w:val="none"/>
                <w:lang w:eastAsia="zh-CN"/>
              </w:rPr>
              <w:t>耕</w:t>
            </w:r>
            <w:r>
              <w:rPr>
                <w:rFonts w:hint="eastAsia" w:ascii="Times New Roman" w:hAnsi="Times New Roman" w:cs="Times New Roman" w:eastAsiaTheme="minorEastAsia"/>
                <w:color w:val="auto"/>
                <w:w w:val="99"/>
                <w:sz w:val="21"/>
                <w:szCs w:val="21"/>
                <w:highlight w:val="none"/>
              </w:rPr>
              <w:t>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27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w:t>
            </w:r>
          </w:p>
        </w:tc>
        <w:tc>
          <w:tcPr>
            <w:tcW w:w="144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w:t>
            </w:r>
          </w:p>
        </w:tc>
        <w:tc>
          <w:tcPr>
            <w:tcW w:w="148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w:t>
            </w:r>
          </w:p>
        </w:tc>
        <w:tc>
          <w:tcPr>
            <w:tcW w:w="2362"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0.100 </w:t>
            </w:r>
          </w:p>
        </w:tc>
        <w:tc>
          <w:tcPr>
            <w:tcW w:w="2689"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0.133 </w:t>
            </w:r>
          </w:p>
        </w:tc>
        <w:tc>
          <w:tcPr>
            <w:tcW w:w="2753"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0.117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w:t>
            </w:r>
          </w:p>
        </w:tc>
        <w:tc>
          <w:tcPr>
            <w:tcW w:w="2362"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0.0038 </w:t>
            </w:r>
          </w:p>
        </w:tc>
        <w:tc>
          <w:tcPr>
            <w:tcW w:w="2689"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0.0047 </w:t>
            </w:r>
          </w:p>
        </w:tc>
        <w:tc>
          <w:tcPr>
            <w:tcW w:w="2753"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0.0044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w:t>
            </w:r>
          </w:p>
        </w:tc>
        <w:tc>
          <w:tcPr>
            <w:tcW w:w="2362"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0.130 </w:t>
            </w:r>
          </w:p>
        </w:tc>
        <w:tc>
          <w:tcPr>
            <w:tcW w:w="2689"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0.132 </w:t>
            </w:r>
          </w:p>
        </w:tc>
        <w:tc>
          <w:tcPr>
            <w:tcW w:w="2753"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0.132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w:t>
            </w:r>
          </w:p>
        </w:tc>
        <w:tc>
          <w:tcPr>
            <w:tcW w:w="2362"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0.082 </w:t>
            </w:r>
          </w:p>
        </w:tc>
        <w:tc>
          <w:tcPr>
            <w:tcW w:w="2689"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0.106 </w:t>
            </w:r>
          </w:p>
        </w:tc>
        <w:tc>
          <w:tcPr>
            <w:tcW w:w="2753"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0.100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铬</w:t>
            </w:r>
          </w:p>
        </w:tc>
        <w:tc>
          <w:tcPr>
            <w:tcW w:w="2362"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0.1760 </w:t>
            </w:r>
          </w:p>
        </w:tc>
        <w:tc>
          <w:tcPr>
            <w:tcW w:w="2689"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0.2000 </w:t>
            </w:r>
          </w:p>
        </w:tc>
        <w:tc>
          <w:tcPr>
            <w:tcW w:w="2753"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0.1840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铜</w:t>
            </w:r>
          </w:p>
        </w:tc>
        <w:tc>
          <w:tcPr>
            <w:tcW w:w="2362"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0.110 </w:t>
            </w:r>
          </w:p>
        </w:tc>
        <w:tc>
          <w:tcPr>
            <w:tcW w:w="2689"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0.160 </w:t>
            </w:r>
          </w:p>
        </w:tc>
        <w:tc>
          <w:tcPr>
            <w:tcW w:w="2753"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0.130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镍</w:t>
            </w:r>
          </w:p>
        </w:tc>
        <w:tc>
          <w:tcPr>
            <w:tcW w:w="2362"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0.116 </w:t>
            </w:r>
          </w:p>
        </w:tc>
        <w:tc>
          <w:tcPr>
            <w:tcW w:w="2689"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0.100 </w:t>
            </w:r>
          </w:p>
        </w:tc>
        <w:tc>
          <w:tcPr>
            <w:tcW w:w="2753"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0.111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锌</w:t>
            </w:r>
          </w:p>
        </w:tc>
        <w:tc>
          <w:tcPr>
            <w:tcW w:w="2362"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0.18 </w:t>
            </w:r>
          </w:p>
        </w:tc>
        <w:tc>
          <w:tcPr>
            <w:tcW w:w="2689"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0.16 </w:t>
            </w:r>
          </w:p>
        </w:tc>
        <w:tc>
          <w:tcPr>
            <w:tcW w:w="2753"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石油烃</w:t>
            </w:r>
          </w:p>
        </w:tc>
        <w:tc>
          <w:tcPr>
            <w:tcW w:w="2362"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default" w:ascii="Times New Roman" w:hAnsi="Times New Roman" w:cs="Times New Roman" w:eastAsiaTheme="minorEastAsia"/>
                <w:color w:val="auto"/>
                <w:w w:val="99"/>
                <w:sz w:val="21"/>
                <w:szCs w:val="21"/>
                <w:highlight w:val="none"/>
                <w:lang w:val="en-US" w:eastAsia="zh-CN"/>
              </w:rPr>
              <w:t xml:space="preserve">0.16 </w:t>
            </w:r>
          </w:p>
        </w:tc>
        <w:tc>
          <w:tcPr>
            <w:tcW w:w="2689"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default" w:ascii="Times New Roman" w:hAnsi="Times New Roman" w:cs="Times New Roman" w:eastAsiaTheme="minorEastAsia"/>
                <w:color w:val="auto"/>
                <w:w w:val="99"/>
                <w:sz w:val="21"/>
                <w:szCs w:val="21"/>
                <w:highlight w:val="none"/>
                <w:lang w:val="en-US" w:eastAsia="zh-CN"/>
              </w:rPr>
              <w:t xml:space="preserve">0.17 </w:t>
            </w:r>
          </w:p>
        </w:tc>
        <w:tc>
          <w:tcPr>
            <w:tcW w:w="2753" w:type="dxa"/>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default" w:ascii="Times New Roman" w:hAnsi="Times New Roman" w:cs="Times New Roman" w:eastAsiaTheme="minorEastAsia"/>
                <w:color w:val="auto"/>
                <w:w w:val="99"/>
                <w:sz w:val="21"/>
                <w:szCs w:val="21"/>
                <w:highlight w:val="none"/>
                <w:lang w:val="en-US" w:eastAsia="zh-CN"/>
              </w:rPr>
              <w:t xml:space="preserve">0.16 </w:t>
            </w:r>
          </w:p>
        </w:tc>
      </w:tr>
    </w:tbl>
    <w:p>
      <w:pPr>
        <w:widowControl w:val="0"/>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（4）评价结论</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从表中可以看出，评价区域内土壤环境质量较好，没有出现超标情况。本项目永久占地内土壤满足《土壤环境质量 建设用地土壤污染风险管控标准（试行）》（GB36600-2018）中表1建设用地土壤污染风险筛选值（基本项目）中第二类用地筛选值标准，以及表2（其他项目）中第二类用地筛选值标准；评价范围内村屯土壤满足《土壤环境质量 建设用地土壤污染风险管控标准（试行）》（GB36600-2018）中表1建设用地土壤污染风险筛选值（基本项目）中第一类用地筛选值标准，以及表2（其他项目）中第一类用地筛选值标准；评价范围内耕地土壤满足《土壤环境质量 农用地土壤污染风险管控标准（试行）》（GB15618-2018）表1农用地土壤风险筛选值（基本项目）中标准。</w:t>
      </w:r>
    </w:p>
    <w:bookmarkEnd w:id="637"/>
    <w:bookmarkEnd w:id="638"/>
    <w:bookmarkEnd w:id="639"/>
    <w:bookmarkEnd w:id="640"/>
    <w:bookmarkEnd w:id="641"/>
    <w:bookmarkEnd w:id="642"/>
    <w:p>
      <w:pPr>
        <w:pStyle w:val="7"/>
        <w:keepNext w:val="0"/>
        <w:keepLines w:val="0"/>
        <w:jc w:val="both"/>
        <w:rPr>
          <w:b/>
          <w:color w:val="auto"/>
          <w:w w:val="99"/>
          <w:kern w:val="2"/>
          <w:sz w:val="24"/>
          <w:szCs w:val="24"/>
          <w:highlight w:val="none"/>
        </w:rPr>
      </w:pPr>
      <w:bookmarkStart w:id="818" w:name="_Toc12972"/>
      <w:bookmarkStart w:id="819" w:name="_Toc508022098"/>
      <w:bookmarkStart w:id="820" w:name="_Toc17898212"/>
      <w:bookmarkStart w:id="821" w:name="_Toc67523646"/>
      <w:bookmarkStart w:id="822" w:name="_Toc77667348"/>
      <w:bookmarkStart w:id="823" w:name="_Toc57976711"/>
      <w:bookmarkStart w:id="824" w:name="_Toc57203289"/>
      <w:bookmarkStart w:id="825" w:name="_Toc74812136"/>
      <w:bookmarkStart w:id="826" w:name="_Toc74812375"/>
      <w:bookmarkStart w:id="827" w:name="_Toc80105204"/>
      <w:bookmarkStart w:id="828" w:name="_Toc57707959"/>
      <w:bookmarkStart w:id="829" w:name="_Toc71371998"/>
      <w:bookmarkStart w:id="830" w:name="_Toc69690864"/>
      <w:bookmarkStart w:id="831" w:name="_Toc61597275"/>
      <w:bookmarkStart w:id="832" w:name="_Toc480447669"/>
      <w:bookmarkStart w:id="833" w:name="_Toc75075744"/>
      <w:bookmarkStart w:id="834" w:name="_Toc75075806"/>
      <w:bookmarkStart w:id="835" w:name="_Toc45678581"/>
      <w:bookmarkStart w:id="836" w:name="_Toc502736497"/>
      <w:bookmarkStart w:id="837" w:name="_Toc371751574"/>
      <w:bookmarkStart w:id="838" w:name="_Toc415146701"/>
      <w:r>
        <w:rPr>
          <w:b/>
          <w:color w:val="auto"/>
          <w:w w:val="99"/>
          <w:kern w:val="2"/>
          <w:sz w:val="24"/>
          <w:szCs w:val="24"/>
          <w:highlight w:val="none"/>
        </w:rPr>
        <w:t>4.3.6生态环境现状</w:t>
      </w:r>
      <w:bookmarkEnd w:id="818"/>
      <w:bookmarkEnd w:id="819"/>
      <w:bookmarkEnd w:id="820"/>
      <w:r>
        <w:rPr>
          <w:b/>
          <w:color w:val="auto"/>
          <w:w w:val="99"/>
          <w:kern w:val="2"/>
          <w:sz w:val="24"/>
          <w:szCs w:val="24"/>
          <w:highlight w:val="none"/>
        </w:rPr>
        <w:t>评价</w:t>
      </w:r>
      <w:bookmarkEnd w:id="821"/>
      <w:bookmarkEnd w:id="822"/>
      <w:bookmarkEnd w:id="823"/>
      <w:bookmarkEnd w:id="824"/>
      <w:bookmarkEnd w:id="825"/>
      <w:bookmarkEnd w:id="826"/>
      <w:bookmarkEnd w:id="827"/>
      <w:bookmarkEnd w:id="828"/>
      <w:bookmarkEnd w:id="829"/>
      <w:bookmarkEnd w:id="830"/>
      <w:bookmarkEnd w:id="831"/>
    </w:p>
    <w:p>
      <w:pPr>
        <w:pStyle w:val="109"/>
        <w:ind w:firstLine="0" w:firstLineChars="0"/>
        <w:jc w:val="both"/>
        <w:rPr>
          <w:rFonts w:ascii="Times New Roman" w:hAnsi="Times New Roman" w:eastAsia="黑体"/>
          <w:b/>
          <w:color w:val="auto"/>
          <w:w w:val="99"/>
          <w:highlight w:val="none"/>
        </w:rPr>
      </w:pPr>
      <w:bookmarkStart w:id="839" w:name="_Toc43686764"/>
      <w:bookmarkStart w:id="840" w:name="_Toc30114"/>
      <w:r>
        <w:rPr>
          <w:rFonts w:ascii="Times New Roman" w:hAnsi="Times New Roman" w:eastAsia="黑体"/>
          <w:b/>
          <w:color w:val="auto"/>
          <w:w w:val="99"/>
          <w:highlight w:val="none"/>
        </w:rPr>
        <w:t>4.3.6.1生态环境现状分析</w:t>
      </w:r>
      <w:bookmarkEnd w:id="839"/>
    </w:p>
    <w:p>
      <w:pPr>
        <w:pStyle w:val="113"/>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（1）生态功能区划</w:t>
      </w:r>
    </w:p>
    <w:p>
      <w:pPr>
        <w:pStyle w:val="113"/>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根据《全国生态功能区划》（修编版，2015），本工程位于</w:t>
      </w:r>
      <w:r>
        <w:rPr>
          <w:rFonts w:hint="eastAsia"/>
          <w:color w:val="auto"/>
          <w:w w:val="99"/>
          <w:highlight w:val="none"/>
        </w:rPr>
        <w:t>Ⅱ</w:t>
      </w:r>
      <w:r>
        <w:rPr>
          <w:rFonts w:ascii="Times New Roman" w:hAnsi="Times New Roman" w:cs="Times New Roman" w:eastAsiaTheme="minorEastAsia"/>
          <w:color w:val="auto"/>
          <w:w w:val="99"/>
          <w:highlight w:val="none"/>
        </w:rPr>
        <w:t>-01-04松嫩平原东部农产品提供功能区。该区主要生态问题包括农田侵占、土壤肥力下降、农业面源污染严重。农产品提供功能区生态保护的主要方向为严格保护基本农田，培养土壤肥力；加强农田基本建设，增强抗自然灾害的能力等。</w:t>
      </w:r>
    </w:p>
    <w:p>
      <w:pPr>
        <w:pStyle w:val="113"/>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在全国生态功能区划的基础上，结合黑龙江省详细的生态功能区划，对本工程所在的生态功能区划进行详细说明。根据黑龙江省人民政府批准的《黑龙江省生态功能区划》(黑政函〔2006〕75号)，本工程所在区域属于东北平原西部草甸草原生态区，松嫩平原西部草甸草原与农业生态亚区，松嫩平原中部盐渍化控制与土壤保持生态功能区。本工程区生态功能区划见表4.3-</w:t>
      </w:r>
      <w:r>
        <w:rPr>
          <w:rFonts w:hint="eastAsia" w:ascii="Times New Roman" w:hAnsi="Times New Roman" w:cs="Times New Roman" w:eastAsiaTheme="minorEastAsia"/>
          <w:color w:val="auto"/>
          <w:w w:val="99"/>
          <w:highlight w:val="none"/>
          <w:lang w:val="en-US" w:eastAsia="zh-CN"/>
        </w:rPr>
        <w:t>28</w:t>
      </w:r>
      <w:r>
        <w:rPr>
          <w:rFonts w:ascii="Times New Roman" w:hAnsi="Times New Roman" w:cs="Times New Roman" w:eastAsiaTheme="minorEastAsia"/>
          <w:color w:val="auto"/>
          <w:w w:val="99"/>
          <w:highlight w:val="none"/>
        </w:rPr>
        <w:t>。</w:t>
      </w:r>
    </w:p>
    <w:p>
      <w:pPr>
        <w:pStyle w:val="113"/>
        <w:spacing w:line="500" w:lineRule="exact"/>
        <w:ind w:firstLine="473"/>
        <w:rPr>
          <w:rFonts w:ascii="Times New Roman" w:hAnsi="Times New Roman" w:cs="Times New Roman" w:eastAsiaTheme="minorEastAsia"/>
          <w:b/>
          <w:bCs/>
          <w:color w:val="auto"/>
          <w:w w:val="99"/>
          <w:highlight w:val="none"/>
        </w:rPr>
      </w:pPr>
      <w:r>
        <w:rPr>
          <w:rFonts w:ascii="Times New Roman" w:hAnsi="Times New Roman" w:cs="Times New Roman" w:eastAsiaTheme="minorEastAsia"/>
          <w:b/>
          <w:bCs/>
          <w:color w:val="auto"/>
          <w:w w:val="99"/>
          <w:highlight w:val="none"/>
        </w:rPr>
        <w:t>表4.3-</w:t>
      </w:r>
      <w:r>
        <w:rPr>
          <w:rFonts w:hint="eastAsia" w:ascii="Times New Roman" w:hAnsi="Times New Roman" w:cs="Times New Roman" w:eastAsiaTheme="minorEastAsia"/>
          <w:b/>
          <w:bCs/>
          <w:color w:val="auto"/>
          <w:w w:val="99"/>
          <w:highlight w:val="none"/>
          <w:lang w:val="en-US" w:eastAsia="zh-CN"/>
        </w:rPr>
        <w:t>28</w:t>
      </w:r>
      <w:r>
        <w:rPr>
          <w:rFonts w:ascii="Times New Roman" w:hAnsi="Times New Roman" w:cs="Times New Roman" w:eastAsiaTheme="minorEastAsia"/>
          <w:b/>
          <w:bCs/>
          <w:color w:val="auto"/>
          <w:w w:val="99"/>
          <w:highlight w:val="none"/>
        </w:rPr>
        <w:t xml:space="preserve">                  本工程区域生态功能区划表</w:t>
      </w:r>
    </w:p>
    <w:tbl>
      <w:tblPr>
        <w:tblStyle w:val="82"/>
        <w:tblW w:w="928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1698"/>
        <w:gridCol w:w="1841"/>
        <w:gridCol w:w="1915"/>
        <w:gridCol w:w="24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2" w:type="dxa"/>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项目区生态功能分区单元</w:t>
            </w:r>
          </w:p>
        </w:tc>
        <w:tc>
          <w:tcPr>
            <w:tcW w:w="191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主要生态系统服务功能</w:t>
            </w:r>
          </w:p>
        </w:tc>
        <w:tc>
          <w:tcPr>
            <w:tcW w:w="24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保护措施与发展方向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13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color w:val="auto"/>
                <w:w w:val="99"/>
                <w:sz w:val="21"/>
                <w:szCs w:val="21"/>
                <w:highlight w:val="none"/>
              </w:rPr>
              <w:t>Ⅰ</w:t>
            </w:r>
            <w:r>
              <w:rPr>
                <w:rFonts w:ascii="Times New Roman" w:hAnsi="Times New Roman" w:cs="Times New Roman" w:eastAsiaTheme="minorEastAsia"/>
                <w:color w:val="auto"/>
                <w:w w:val="99"/>
                <w:sz w:val="21"/>
                <w:szCs w:val="21"/>
                <w:highlight w:val="none"/>
              </w:rPr>
              <w:t>-06松嫩平原西部草甸草原生态区</w:t>
            </w:r>
          </w:p>
        </w:tc>
        <w:tc>
          <w:tcPr>
            <w:tcW w:w="169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color w:val="auto"/>
                <w:w w:val="99"/>
                <w:sz w:val="21"/>
                <w:szCs w:val="21"/>
                <w:highlight w:val="none"/>
              </w:rPr>
              <w:t>Ⅰ</w:t>
            </w:r>
            <w:r>
              <w:rPr>
                <w:rFonts w:ascii="Times New Roman" w:hAnsi="Times New Roman" w:cs="Times New Roman" w:eastAsiaTheme="minorEastAsia"/>
                <w:color w:val="auto"/>
                <w:w w:val="99"/>
                <w:sz w:val="21"/>
                <w:szCs w:val="21"/>
                <w:highlight w:val="none"/>
              </w:rPr>
              <w:t>-06-01松嫩平原西部草甸草原与农业生态亚区</w:t>
            </w:r>
          </w:p>
        </w:tc>
        <w:tc>
          <w:tcPr>
            <w:tcW w:w="18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color w:val="auto"/>
                <w:w w:val="99"/>
                <w:sz w:val="21"/>
                <w:szCs w:val="21"/>
                <w:highlight w:val="none"/>
              </w:rPr>
              <w:t>Ⅰ</w:t>
            </w:r>
            <w:r>
              <w:rPr>
                <w:rFonts w:ascii="Times New Roman" w:hAnsi="Times New Roman" w:cs="Times New Roman" w:eastAsiaTheme="minorEastAsia"/>
                <w:color w:val="auto"/>
                <w:w w:val="99"/>
                <w:sz w:val="21"/>
                <w:szCs w:val="21"/>
                <w:highlight w:val="none"/>
              </w:rPr>
              <w:t>-06-01-05松嫩平原中部盐渍化控制与土壤保持生态功能区</w:t>
            </w:r>
          </w:p>
        </w:tc>
        <w:tc>
          <w:tcPr>
            <w:tcW w:w="191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盐渍化控制、生态系统产品提供</w:t>
            </w:r>
          </w:p>
        </w:tc>
        <w:tc>
          <w:tcPr>
            <w:tcW w:w="24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对</w:t>
            </w:r>
            <w:r>
              <w:rPr>
                <w:rFonts w:hint="eastAsia" w:ascii="Times New Roman" w:hAnsi="Times New Roman" w:cs="Times New Roman" w:eastAsiaTheme="minorEastAsia"/>
                <w:color w:val="auto"/>
                <w:w w:val="99"/>
                <w:sz w:val="21"/>
                <w:szCs w:val="21"/>
                <w:highlight w:val="none"/>
                <w:lang w:eastAsia="zh-CN"/>
              </w:rPr>
              <w:t>耕地</w:t>
            </w:r>
            <w:r>
              <w:rPr>
                <w:rFonts w:ascii="Times New Roman" w:hAnsi="Times New Roman" w:cs="Times New Roman" w:eastAsiaTheme="minorEastAsia"/>
                <w:color w:val="auto"/>
                <w:w w:val="99"/>
                <w:sz w:val="21"/>
                <w:szCs w:val="21"/>
                <w:highlight w:val="none"/>
              </w:rPr>
              <w:t>进行恢复，禁止盲目开荒，对家畜实行圈养或轮牧，加大生态农业建设</w:t>
            </w:r>
          </w:p>
        </w:tc>
      </w:tr>
    </w:tbl>
    <w:p>
      <w:pPr>
        <w:widowControl w:val="0"/>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（2）土地利用现状</w:t>
      </w:r>
    </w:p>
    <w:p>
      <w:pPr>
        <w:pStyle w:val="113"/>
        <w:spacing w:line="500" w:lineRule="exact"/>
        <w:ind w:firstLine="473"/>
        <w:rPr>
          <w:rFonts w:ascii="Times New Roman" w:hAnsi="Times New Roman" w:cs="Times New Roman" w:eastAsiaTheme="minorEastAsia"/>
          <w:color w:val="auto"/>
          <w:w w:val="99"/>
          <w:kern w:val="2"/>
          <w:szCs w:val="28"/>
          <w:highlight w:val="none"/>
        </w:rPr>
      </w:pPr>
      <w:r>
        <w:rPr>
          <w:rFonts w:hint="eastAsia" w:ascii="Times New Roman" w:hAnsi="Times New Roman" w:cs="Times New Roman" w:eastAsiaTheme="minorEastAsia"/>
          <w:color w:val="auto"/>
          <w:w w:val="99"/>
          <w:kern w:val="2"/>
          <w:szCs w:val="28"/>
          <w:highlight w:val="none"/>
        </w:rPr>
        <w:t>根据</w:t>
      </w:r>
      <w:r>
        <w:rPr>
          <w:rFonts w:ascii="Times New Roman" w:hAnsi="Times New Roman" w:eastAsiaTheme="minorEastAsia"/>
          <w:color w:val="auto"/>
          <w:w w:val="99"/>
          <w:highlight w:val="none"/>
        </w:rPr>
        <w:t>《大庆市土地利用总体规划》（2006-2020年）</w:t>
      </w:r>
      <w:r>
        <w:rPr>
          <w:rFonts w:hint="eastAsia" w:ascii="Times New Roman" w:hAnsi="Times New Roman" w:eastAsiaTheme="minorEastAsia"/>
          <w:color w:val="auto"/>
          <w:w w:val="99"/>
          <w:highlight w:val="none"/>
        </w:rPr>
        <w:t>、《黑龙江省湿地名录》及</w:t>
      </w:r>
      <w:r>
        <w:rPr>
          <w:rFonts w:ascii="Times New Roman" w:hAnsi="Times New Roman" w:eastAsiaTheme="minorEastAsia"/>
          <w:color w:val="auto"/>
          <w:w w:val="99"/>
          <w:highlight w:val="none"/>
        </w:rPr>
        <w:t>现场调查</w:t>
      </w:r>
      <w:r>
        <w:rPr>
          <w:rFonts w:hint="eastAsia" w:ascii="Times New Roman" w:hAnsi="Times New Roman" w:eastAsiaTheme="minorEastAsia"/>
          <w:color w:val="auto"/>
          <w:w w:val="99"/>
          <w:highlight w:val="none"/>
        </w:rPr>
        <w:t>，</w:t>
      </w:r>
      <w:r>
        <w:rPr>
          <w:rFonts w:ascii="Times New Roman" w:hAnsi="Times New Roman" w:cs="Times New Roman" w:eastAsiaTheme="minorEastAsia"/>
          <w:color w:val="auto"/>
          <w:w w:val="99"/>
          <w:kern w:val="2"/>
          <w:szCs w:val="28"/>
          <w:highlight w:val="none"/>
        </w:rPr>
        <w:t>本项目生态评价范围内主要生态系统为耕地</w:t>
      </w:r>
      <w:r>
        <w:rPr>
          <w:rFonts w:hint="eastAsia" w:ascii="Times New Roman" w:hAnsi="Times New Roman" w:cs="Times New Roman" w:eastAsiaTheme="minorEastAsia"/>
          <w:color w:val="auto"/>
          <w:w w:val="99"/>
          <w:kern w:val="2"/>
          <w:szCs w:val="28"/>
          <w:highlight w:val="none"/>
        </w:rPr>
        <w:t>。</w:t>
      </w:r>
      <w:r>
        <w:rPr>
          <w:rFonts w:ascii="Times New Roman" w:hAnsi="Times New Roman" w:cs="Times New Roman" w:eastAsiaTheme="minorEastAsia"/>
          <w:color w:val="auto"/>
          <w:w w:val="99"/>
          <w:kern w:val="2"/>
          <w:szCs w:val="28"/>
          <w:highlight w:val="none"/>
        </w:rPr>
        <w:t>耕地</w:t>
      </w:r>
      <w:r>
        <w:rPr>
          <w:rFonts w:hint="eastAsia" w:ascii="Times New Roman" w:hAnsi="Times New Roman" w:cs="Times New Roman" w:eastAsiaTheme="minorEastAsia"/>
          <w:color w:val="auto"/>
          <w:w w:val="99"/>
          <w:kern w:val="2"/>
          <w:szCs w:val="28"/>
          <w:highlight w:val="none"/>
        </w:rPr>
        <w:t>为</w:t>
      </w:r>
      <w:r>
        <w:rPr>
          <w:rFonts w:ascii="Times New Roman" w:hAnsi="Times New Roman" w:cs="Times New Roman" w:eastAsiaTheme="minorEastAsia"/>
          <w:color w:val="auto"/>
          <w:w w:val="99"/>
          <w:kern w:val="2"/>
          <w:szCs w:val="28"/>
          <w:highlight w:val="none"/>
        </w:rPr>
        <w:t>旱田，为</w:t>
      </w:r>
      <w:r>
        <w:rPr>
          <w:rFonts w:hint="eastAsia" w:ascii="Times New Roman" w:hAnsi="Times New Roman" w:cs="Times New Roman" w:eastAsiaTheme="minorEastAsia"/>
          <w:color w:val="auto"/>
          <w:w w:val="99"/>
          <w:kern w:val="2"/>
          <w:szCs w:val="28"/>
          <w:highlight w:val="none"/>
          <w:lang w:eastAsia="zh-CN"/>
        </w:rPr>
        <w:t>非</w:t>
      </w:r>
      <w:r>
        <w:rPr>
          <w:rFonts w:ascii="Times New Roman" w:hAnsi="Times New Roman" w:cs="Times New Roman" w:eastAsiaTheme="minorEastAsia"/>
          <w:color w:val="auto"/>
          <w:w w:val="99"/>
          <w:kern w:val="2"/>
          <w:szCs w:val="28"/>
          <w:highlight w:val="none"/>
        </w:rPr>
        <w:t>基本农田</w:t>
      </w:r>
      <w:r>
        <w:rPr>
          <w:rFonts w:hint="eastAsia" w:ascii="Times New Roman" w:hAnsi="Times New Roman" w:cs="Times New Roman" w:eastAsiaTheme="minorEastAsia"/>
          <w:color w:val="auto"/>
          <w:w w:val="99"/>
          <w:kern w:val="2"/>
          <w:szCs w:val="28"/>
          <w:highlight w:val="none"/>
          <w:lang w:eastAsia="zh-CN"/>
        </w:rPr>
        <w:t>、少量永久基本农田</w:t>
      </w:r>
      <w:r>
        <w:rPr>
          <w:rFonts w:ascii="Times New Roman" w:hAnsi="Times New Roman" w:cs="Times New Roman" w:eastAsiaTheme="minorEastAsia"/>
          <w:color w:val="auto"/>
          <w:w w:val="99"/>
          <w:kern w:val="2"/>
          <w:szCs w:val="28"/>
          <w:highlight w:val="none"/>
        </w:rPr>
        <w:t>。项目区域</w:t>
      </w:r>
      <w:r>
        <w:rPr>
          <w:rFonts w:ascii="Times New Roman" w:hAnsi="Times New Roman" w:cs="Times New Roman" w:eastAsiaTheme="minorEastAsia"/>
          <w:color w:val="auto"/>
          <w:w w:val="99"/>
          <w:kern w:val="2"/>
          <w:highlight w:val="none"/>
        </w:rPr>
        <w:t>土地利用</w:t>
      </w:r>
      <w:r>
        <w:rPr>
          <w:rFonts w:ascii="Times New Roman" w:hAnsi="Times New Roman" w:cs="Times New Roman" w:eastAsiaTheme="minorEastAsia"/>
          <w:color w:val="auto"/>
          <w:w w:val="99"/>
          <w:highlight w:val="none"/>
        </w:rPr>
        <w:t>现状图</w:t>
      </w:r>
      <w:r>
        <w:rPr>
          <w:rFonts w:ascii="Times New Roman" w:hAnsi="Times New Roman" w:cs="Times New Roman" w:eastAsiaTheme="minorEastAsia"/>
          <w:color w:val="auto"/>
          <w:w w:val="99"/>
          <w:kern w:val="2"/>
          <w:highlight w:val="none"/>
        </w:rPr>
        <w:t>见</w:t>
      </w:r>
      <w:r>
        <w:rPr>
          <w:rFonts w:hint="eastAsia" w:ascii="Times New Roman" w:hAnsi="Times New Roman" w:cs="Times New Roman" w:eastAsiaTheme="minorEastAsia"/>
          <w:color w:val="auto"/>
          <w:w w:val="99"/>
          <w:kern w:val="2"/>
          <w:highlight w:val="none"/>
          <w:lang w:eastAsia="zh-CN"/>
        </w:rPr>
        <w:t>附图12</w:t>
      </w:r>
      <w:r>
        <w:rPr>
          <w:rFonts w:ascii="Times New Roman" w:hAnsi="Times New Roman" w:cs="Times New Roman" w:eastAsiaTheme="minorEastAsia"/>
          <w:color w:val="auto"/>
          <w:w w:val="99"/>
          <w:kern w:val="2"/>
          <w:szCs w:val="28"/>
          <w:highlight w:val="none"/>
        </w:rPr>
        <w:t>。</w:t>
      </w:r>
    </w:p>
    <w:p>
      <w:pPr>
        <w:pStyle w:val="113"/>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（3）植被现状调查</w:t>
      </w:r>
    </w:p>
    <w:p>
      <w:pPr>
        <w:pStyle w:val="113"/>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大庆市位于松嫩平原中部，地势低，地带性植被为草甸草原，是我国温带草原的一部分，也是欧亚大陆草原的最东端，以丛生禾草和根茎禾草为其主要成分。由于湖泊、沼泽和盐碱化洼地的大面积分布，非地带性植被面积也较大，并有较多的盐生植物群落。</w:t>
      </w:r>
    </w:p>
    <w:p>
      <w:pPr>
        <w:pStyle w:val="113"/>
        <w:spacing w:line="500" w:lineRule="exact"/>
        <w:ind w:firstLine="473"/>
        <w:rPr>
          <w:rFonts w:ascii="Times New Roman" w:hAnsi="Times New Roman" w:cs="Times New Roman" w:eastAsiaTheme="minorEastAsia"/>
          <w:color w:val="auto"/>
          <w:w w:val="99"/>
          <w:highlight w:val="none"/>
        </w:rPr>
      </w:pPr>
      <w:r>
        <w:rPr>
          <w:rFonts w:hint="eastAsia"/>
          <w:color w:val="auto"/>
          <w:w w:val="99"/>
          <w:highlight w:val="none"/>
        </w:rPr>
        <w:t>①</w:t>
      </w:r>
      <w:r>
        <w:rPr>
          <w:rFonts w:ascii="Times New Roman" w:hAnsi="Times New Roman" w:cs="Times New Roman" w:eastAsiaTheme="minorEastAsia"/>
          <w:color w:val="auto"/>
          <w:w w:val="99"/>
          <w:highlight w:val="none"/>
        </w:rPr>
        <w:t>植物区系特征</w:t>
      </w:r>
    </w:p>
    <w:p>
      <w:pPr>
        <w:pStyle w:val="113"/>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本区植物区系成分主要包括长白植物区系、蒙古植物区系、华北植物区系和大兴安岭植物区系。以蒙古草原植物区系成分占优势，常见的优势种和伴生种多属蒙古植物区系成分，如羊草(Aneurolepidium chinense)、贝加尔针茅(Stipa baicalensis)、大针茅（S. grandis）、线叶菊（Filifolium sibiricum）、星星草（Puccinellia tenuifolia）等。长白植物区系，也称满洲植物区系，在本区分布的种数仅次于蒙古植物区系，如木贼（Equisetum hyemale）、普通蓼（Polygoeum manshuricum）、野大豆（Glycine soja）、水车前（Ottelia alimoides）、狼爪瓦松（Orostachys cartilaginous）等。华北植物区系成分所占比例不大，主要有细叶地榆（Samguisorba tenuifolia）、柴胡（Bupleurum scorzonerifolium）、糙隐子草(C. squarrosa)等。</w:t>
      </w:r>
    </w:p>
    <w:p>
      <w:pPr>
        <w:pStyle w:val="113"/>
        <w:spacing w:line="500" w:lineRule="exact"/>
        <w:ind w:firstLine="473"/>
        <w:rPr>
          <w:rFonts w:ascii="Times New Roman" w:hAnsi="Times New Roman" w:cs="Times New Roman" w:eastAsiaTheme="minorEastAsia"/>
          <w:color w:val="auto"/>
          <w:w w:val="99"/>
          <w:highlight w:val="none"/>
        </w:rPr>
      </w:pPr>
      <w:r>
        <w:rPr>
          <w:rFonts w:hint="eastAsia"/>
          <w:color w:val="auto"/>
          <w:w w:val="99"/>
          <w:highlight w:val="none"/>
        </w:rPr>
        <w:t>②</w:t>
      </w:r>
      <w:r>
        <w:rPr>
          <w:rFonts w:ascii="Times New Roman" w:hAnsi="Times New Roman" w:cs="Times New Roman" w:eastAsiaTheme="minorEastAsia"/>
          <w:color w:val="auto"/>
          <w:w w:val="99"/>
          <w:highlight w:val="none"/>
        </w:rPr>
        <w:t>主要植被类型</w:t>
      </w:r>
    </w:p>
    <w:p>
      <w:pPr>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评价区域内植被类型以草甸、经济林和农田为主。 评价区属于松嫩平原区，粮食耕作历史悠久，栽培植被是最重要的植被类型，但是目前由于旱涝、盐碱、风沙等因素，区域内的农田多属于中、低产农田。粮食作物主要为玉米，经济作物以花生为主。</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1）草甸植被</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评价区域内草甸主要包括草甸草原植被和盐生草甸植被。</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草甸草原植被：羊草草甸草原（Form. Leymus chinensis）。羊草草甸草原是欧亚大陆草原区东部一种特有和优势的草原类型，也是本市主要的草甸草原类型。由于羊草具有强烈的根茎繁殖能力，排挤其它植物侵入，故种类组成比较单纯，在群落中羊草占绝对优势，是稳定的建群成分。但由于小生境，尤其是土壤类型和土壤盐碱含量的变化，群落组成结构有明显差异，可以区分若干群丛。如羊草-野古草群丛（Leymuschinensis-Spodipogon sibiticus）、羊草-箭头唐松草群丛（Leymuschinensis-Thalictretumsimplex）、羊草-拂子茅群丛（LeymusChinensis-Calamagrostis epigejos）、羊草-糙隐子草 群 丛 （ LeymusChinensis-Cleistogenes squarrosa ） 、 羊 草 - 野 大 麦 群 丛（LeymusChinensis-Hordetum）、羊草-虎尾草群丛（Leymus Chinensis-Chioris vigata）、羊草-碱蒿群丛（Leymus Chinensis-Artemisetum）等。羊草草甸草原是草原植被中经济价值最高的类型。由于羊草营养价值在整个生长季都很高，适口性强，适于调制干草，是最重要的自然割草场和放牧场。但目前因过度放牧和碱化，草场退化严重。</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盐生草甸植被：星星草草甸（Form.Puccinellia tenuiflora）。广泛分布在退化草地的碱斑和盐碱化湖泡周围，但面积较小，生境较低湿，常有短期积水。此类草甸盖度变化很大，40%～80%。由于生境条件严酷，常以星星草为单优势，甚至无伴生种，可混有少量羊草、野大麦（Hordeum brevisublatum）、朝鲜碱茅（Puccinellia chinampoensis）、碱地风毛菊（Saussurea runcinata）、碱地肤（Kochia sieversiana var. suaedaefolia）、碱蒿（Artemisia anethifolia），以及常混有少量一年生的碱蓬（Suaeda glauca）和角碱蓬（S.corniculata）等。马蔺草甸（Form. Iris ensata）。主要分布在严重退化草地的碱斑周围。组成以马蔺为优势，伴生种随着小生境土壤的盐分、湿润度的不同而有变化，主要有无脉苔草（Carex enervis）、走茎苔草（C. reptabunda）、寸草、羊草、赖草及芨芨草（Achnatherum splendens），其次间或混有少量的各类杂类草。碱蓬草甸（Form. Suaedion glancae）。广泛分布在碱湖周围的碱土和严重退化草地的碱斑上，是草地土壤严重碱化的标志之一，在土壤碱化度达到 50%以上的地段仍能正常生长。它包括原生和次生的群落，一般面积较小，但在村庄附近、放牧点、饮水点、极度放牧的地方也可连成大片。组成群落的种类简单，多为盐生植物，碱蓬和碱蒿在群落中占主要地位，虎尾草在某些地段也可有较多数量。该群落只在夏季雨水充足的情况才有很好的发育，否则植物稀疏。角碱蓬草甸（From. Suaedetum corniculatae）。角碱蓬的生境与碱蓬相似，常与其形成复合分布，也包括原生和次生群落，种类组成较单纯，角碱蓬占绝对优势。</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2）经济林</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在评价区内经济林主要为杨树林（Form. Populus canadensis）。</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杨树林是评价区人工防护林的主要林种之一，也是评价区内分布最多，最广泛的林木，主要分布在村庄附近、道路两侧及农田周围。杨树林平均树高 10～15m，平均胸径15～25cm，平均冠幅 2.5m×2.5m。</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3）农田植被</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评价区属于松嫩平原区，粮食耕作历史悠久，栽培植被是最重要的植被类型，但是目前由于旱涝、盐碱、风沙等因素，区域内的农田多属于中、低产农田。粮食作物主要为玉米，经济作物以花生为主。</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（4）野生动物现状调查</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草甸草原生境中的动物群包括两栖类的中华大蟾蜍，花背蟾蜍和无斑雨蛙，爬行类的白条锦蛇及红点锦蛇；鸟类有白尾鹞（Circus cyaneus）、白头鹞（C.aeruginosus）、环颈雉（P. colchicus karpowi Rothschild）、蒙古百灵（Melanocorypha mongolica）、小沙百灵（Calandrella cheleensis cheleensis）、云雀（Alauda arvensis intermedia）、白鹡鸰（Motacilla alba）、灰鹡鸰（Motacilla cinerea）、角百灵（Eremophila alpestris）、家燕（Hirundo rustica）等、兽类有普通刺猬（Erinaceus europaeus rinnaens）、蒙古兔（Repus capensis rinnaeus）、草原黄鼠（Citellus dauricus Rranolt）、五趾跳鼠（Allactagasibirica Forsten）、黑线仓鼠、布氏田鼠、草原鼢鼠、巢鼠，以及狐（Vulpus vulpus rinnaeus）、艾鼬（Mustela eversmanni lesson）等。</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（5）生态系统现状调查</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hint="eastAsia"/>
          <w:color w:val="auto"/>
          <w:w w:val="99"/>
          <w:kern w:val="2"/>
          <w:szCs w:val="28"/>
          <w:highlight w:val="none"/>
        </w:rPr>
        <w:t>①</w:t>
      </w:r>
      <w:r>
        <w:rPr>
          <w:rFonts w:ascii="Times New Roman" w:hAnsi="Times New Roman" w:cs="Times New Roman" w:eastAsiaTheme="minorEastAsia"/>
          <w:color w:val="auto"/>
          <w:w w:val="99"/>
          <w:kern w:val="2"/>
          <w:szCs w:val="28"/>
          <w:highlight w:val="none"/>
        </w:rPr>
        <w:t>农田生态系统</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农田生态系统是人工生态系统，植被是人工栽培的各种农作物，本项目区域农田为一般耕地。评价区属于松嫩平原区，粮食耕作历史悠久，栽培植被是最重要的植被类型，但是目前由于旱涝、盐碱、风沙等因素，区域内的农田多属于中、低产农田。粮食作物主要为玉米，经济作物以花生为主。</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hint="eastAsia"/>
          <w:color w:val="auto"/>
          <w:w w:val="99"/>
          <w:kern w:val="2"/>
          <w:szCs w:val="28"/>
          <w:highlight w:val="none"/>
        </w:rPr>
        <w:t>②</w:t>
      </w:r>
      <w:r>
        <w:rPr>
          <w:rFonts w:ascii="Times New Roman" w:hAnsi="Times New Roman" w:cs="Times New Roman" w:eastAsiaTheme="minorEastAsia"/>
          <w:color w:val="auto"/>
          <w:w w:val="99"/>
          <w:kern w:val="2"/>
          <w:szCs w:val="28"/>
          <w:highlight w:val="none"/>
        </w:rPr>
        <w:t>草地生态系统</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项目所在地区水泡子周围的土壤为含盐量很高的苏达碱化草甸盐土，主要生长一些盐生植物群落，如碱蓬、星星草、碱蒿等群落。由于湖泊、沼泽和盐碱化洼地的大面积分布，非地带性植被面积也较大，并有较多的盐生植物群落。</w:t>
      </w:r>
    </w:p>
    <w:p>
      <w:pPr>
        <w:pStyle w:val="113"/>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（6）水土流失现状调查</w:t>
      </w:r>
    </w:p>
    <w:p>
      <w:pPr>
        <w:pStyle w:val="113"/>
        <w:spacing w:line="500" w:lineRule="exact"/>
        <w:ind w:firstLine="473"/>
        <w:rPr>
          <w:rFonts w:ascii="Times New Roman" w:hAnsi="Times New Roman" w:cs="Times New Roman" w:eastAsiaTheme="minorEastAsia"/>
          <w:color w:val="auto"/>
          <w:w w:val="99"/>
          <w:kern w:val="2"/>
          <w:szCs w:val="28"/>
          <w:highlight w:val="none"/>
          <w:lang w:val="en"/>
        </w:rPr>
      </w:pPr>
      <w:r>
        <w:rPr>
          <w:rFonts w:ascii="Times New Roman" w:hAnsi="Times New Roman" w:cs="Times New Roman" w:eastAsiaTheme="minorEastAsia"/>
          <w:color w:val="auto"/>
          <w:w w:val="99"/>
          <w:kern w:val="2"/>
          <w:szCs w:val="28"/>
          <w:highlight w:val="none"/>
        </w:rPr>
        <w:t>根据大庆市水务局《关于划定大庆市水土流失重点预防区和重点治理区的公告》（2019年6月12日），</w:t>
      </w:r>
      <w:r>
        <w:rPr>
          <w:rFonts w:ascii="Times New Roman" w:hAnsi="Times New Roman" w:cs="Times New Roman" w:eastAsiaTheme="minorEastAsia"/>
          <w:color w:val="auto"/>
          <w:w w:val="99"/>
          <w:kern w:val="2"/>
          <w:szCs w:val="28"/>
          <w:highlight w:val="none"/>
          <w:lang w:val="en"/>
        </w:rPr>
        <w:t>大庆市划定了市级水土流失重点预防区和重点治理区，本项目拟钻井场位于</w:t>
      </w:r>
      <w:r>
        <w:rPr>
          <w:rFonts w:hint="eastAsia" w:ascii="Times New Roman" w:hAnsi="Times New Roman" w:cs="Times New Roman" w:eastAsiaTheme="minorEastAsia"/>
          <w:color w:val="auto"/>
          <w:w w:val="99"/>
          <w:kern w:val="2"/>
          <w:szCs w:val="28"/>
          <w:highlight w:val="none"/>
          <w:lang w:val="en"/>
        </w:rPr>
        <w:t>大庆市</w:t>
      </w:r>
      <w:r>
        <w:rPr>
          <w:rFonts w:hint="eastAsia" w:ascii="Times New Roman" w:hAnsi="Times New Roman" w:cs="Times New Roman" w:eastAsiaTheme="minorEastAsia"/>
          <w:color w:val="auto"/>
          <w:w w:val="99"/>
          <w:kern w:val="2"/>
          <w:szCs w:val="28"/>
          <w:highlight w:val="none"/>
          <w:lang w:val="en" w:eastAsia="zh-CN"/>
        </w:rPr>
        <w:t>肇源县</w:t>
      </w:r>
      <w:r>
        <w:rPr>
          <w:rFonts w:ascii="Times New Roman" w:hAnsi="Times New Roman" w:cs="Times New Roman" w:eastAsiaTheme="minorEastAsia"/>
          <w:color w:val="auto"/>
          <w:w w:val="99"/>
          <w:kern w:val="2"/>
          <w:szCs w:val="28"/>
          <w:highlight w:val="none"/>
          <w:lang w:val="en"/>
        </w:rPr>
        <w:t>，</w:t>
      </w:r>
      <w:r>
        <w:rPr>
          <w:rFonts w:hint="eastAsia" w:ascii="Times New Roman" w:hAnsi="Times New Roman" w:cs="Times New Roman" w:eastAsiaTheme="minorEastAsia"/>
          <w:color w:val="auto"/>
          <w:w w:val="99"/>
          <w:kern w:val="2"/>
          <w:szCs w:val="28"/>
          <w:highlight w:val="none"/>
          <w:lang w:val="en" w:eastAsia="zh-CN"/>
        </w:rPr>
        <w:t>不</w:t>
      </w:r>
      <w:r>
        <w:rPr>
          <w:rFonts w:ascii="Times New Roman" w:hAnsi="Times New Roman" w:cs="Times New Roman" w:eastAsiaTheme="minorEastAsia"/>
          <w:color w:val="auto"/>
          <w:w w:val="99"/>
          <w:kern w:val="2"/>
          <w:szCs w:val="28"/>
          <w:highlight w:val="none"/>
          <w:lang w:val="en"/>
        </w:rPr>
        <w:t>属于市级水土流失重点预防区和重点治理区。本项目拟钻井平台所处水土保持重点治理区示意图见附图3。</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kern w:val="2"/>
          <w:szCs w:val="28"/>
          <w:highlight w:val="none"/>
          <w:lang w:val="en"/>
        </w:rPr>
        <w:t>目前我省经济社会发展的重要时期，经济社会发展总体形势对水土保持工作提出了新要求。全省水土流失综合防治逐步进入法制化轨道，重点地区水土流失治理成效显著，植被保护和生态修复初见成效，退耕还林还草面积得到巩固，黑土区保土蓄水功能持续增强，水土流失面积和强度呈现总体下降趋势。</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（7）防沙治沙情况调查</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黑龙江省防沙治沙条例》第二十六条规定：“油气勘探开发以及矿产资源开采应当按照规划组织实施，并将地表植被恢复和建设纳入规划。在开发和开采前，应当进行环境影响评价，依法提交包括有关防沙治沙内容的环境影响报告。县级以上人民政府林业、国土资源、环境保护、草原等行政主管部门应当对开发和开采单位的地表植被恢复情况进行监督检查。”第二十七条：“在沙化土地所在地区从事开发建设活动，应当事先就开发建设项目可能对当地及相关地区生态环境产生的影响进行环境影响评价和水资源论证。对不具备水源条件，且有可能造成土地沙化、水土流失等灾害，严重破坏生态环境的开发建设项目，不得批准立项。环境保护行政主管部门在审批环境影响报告时，应当就报告中有关防沙治沙的内容征得同级林业行政主管部门同意。”</w:t>
      </w:r>
    </w:p>
    <w:p>
      <w:pPr>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根据黑龙江省防沙治沙工作领导小组《关于印发&lt;关于贯彻落实《沙化土地封禁保护修复制度方案》的实施意见&gt;的通知》，</w:t>
      </w:r>
      <w:r>
        <w:rPr>
          <w:rFonts w:hint="eastAsia" w:ascii="Times New Roman" w:hAnsi="Times New Roman" w:cs="Times New Roman" w:eastAsiaTheme="minorEastAsia"/>
          <w:color w:val="auto"/>
          <w:w w:val="99"/>
          <w:kern w:val="2"/>
          <w:szCs w:val="28"/>
          <w:highlight w:val="none"/>
          <w:lang w:eastAsia="zh-CN"/>
        </w:rPr>
        <w:t>肇源县</w:t>
      </w:r>
      <w:r>
        <w:rPr>
          <w:rFonts w:ascii="Times New Roman" w:hAnsi="Times New Roman" w:cs="Times New Roman" w:eastAsiaTheme="minorEastAsia"/>
          <w:color w:val="auto"/>
          <w:w w:val="99"/>
          <w:kern w:val="2"/>
          <w:szCs w:val="28"/>
          <w:highlight w:val="none"/>
        </w:rPr>
        <w:t>属于沙化土地所在县（区），当重点增加、恢复和保护林草植被，治理土地沙化和草原退化、沙化、碱化。</w:t>
      </w:r>
    </w:p>
    <w:p>
      <w:pPr>
        <w:pStyle w:val="113"/>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根据现场调查，项目占地区域未出现土壤沙化现象，为保护区域生态环境，针对本工程的具体特点，应制定生态环境影响减缓措施和防沙治沙措施。</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施工期临时占地及施工车辆行驶将对区域地表植被产生破坏。因此施工期须严格落实各项目生态保护措施及生态减缓措施，严格控制控制施工作业占地范围，尽量减小施工期对区域生态影响。</w:t>
      </w:r>
    </w:p>
    <w:p>
      <w:pPr>
        <w:pStyle w:val="109"/>
        <w:widowControl w:val="0"/>
        <w:ind w:firstLine="0" w:firstLineChars="0"/>
        <w:jc w:val="both"/>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 xml:space="preserve">4.3.6.2生态环境现状评价结论 </w:t>
      </w:r>
    </w:p>
    <w:p>
      <w:pPr>
        <w:pStyle w:val="109"/>
        <w:widowControl w:val="0"/>
        <w:ind w:firstLine="473"/>
        <w:rPr>
          <w:rFonts w:ascii="Times New Roman" w:hAnsi="Times New Roman" w:eastAsiaTheme="minorEastAsia"/>
          <w:color w:val="auto"/>
          <w:w w:val="99"/>
          <w:highlight w:val="none"/>
        </w:rPr>
      </w:pPr>
      <w:r>
        <w:rPr>
          <w:rFonts w:ascii="Times New Roman" w:hAnsi="Times New Roman" w:eastAsiaTheme="minorEastAsia"/>
          <w:color w:val="auto"/>
          <w:w w:val="99"/>
          <w:kern w:val="2"/>
          <w:szCs w:val="28"/>
          <w:highlight w:val="none"/>
        </w:rPr>
        <w:t>本项目评价范围内生态系统类型主要为农田生态系统。本项目评价范围内土地利用</w:t>
      </w:r>
      <w:r>
        <w:rPr>
          <w:rFonts w:hint="eastAsia" w:ascii="Times New Roman" w:hAnsi="Times New Roman" w:eastAsiaTheme="minorEastAsia"/>
          <w:color w:val="auto"/>
          <w:w w:val="99"/>
          <w:kern w:val="2"/>
          <w:szCs w:val="28"/>
          <w:highlight w:val="none"/>
        </w:rPr>
        <w:t>现状</w:t>
      </w:r>
      <w:r>
        <w:rPr>
          <w:rFonts w:ascii="Times New Roman" w:hAnsi="Times New Roman" w:eastAsiaTheme="minorEastAsia"/>
          <w:color w:val="auto"/>
          <w:w w:val="99"/>
          <w:kern w:val="2"/>
          <w:szCs w:val="28"/>
          <w:highlight w:val="none"/>
        </w:rPr>
        <w:t>以耕地为主，工程所在区域内主要土壤类型以</w:t>
      </w:r>
      <w:r>
        <w:rPr>
          <w:rFonts w:hint="eastAsia" w:ascii="Times New Roman" w:hAnsi="Times New Roman" w:eastAsiaTheme="minorEastAsia"/>
          <w:color w:val="auto"/>
          <w:w w:val="99"/>
          <w:kern w:val="2"/>
          <w:szCs w:val="28"/>
          <w:highlight w:val="none"/>
          <w:lang w:eastAsia="zh-CN"/>
        </w:rPr>
        <w:t>草甸土</w:t>
      </w:r>
      <w:r>
        <w:rPr>
          <w:rFonts w:ascii="Times New Roman" w:hAnsi="Times New Roman" w:eastAsiaTheme="minorEastAsia"/>
          <w:color w:val="auto"/>
          <w:w w:val="99"/>
          <w:kern w:val="2"/>
          <w:szCs w:val="28"/>
          <w:highlight w:val="none"/>
        </w:rPr>
        <w:t>为主，工程所在区域人类活动频繁，野生动物较少。</w:t>
      </w:r>
    </w:p>
    <w:bookmarkEnd w:id="840"/>
    <w:p>
      <w:pPr>
        <w:pStyle w:val="5"/>
        <w:keepNext w:val="0"/>
        <w:keepLines w:val="0"/>
        <w:widowControl w:val="0"/>
        <w:rPr>
          <w:rFonts w:ascii="Times New Roman" w:hAnsi="Times New Roman"/>
          <w:b/>
          <w:snapToGrid w:val="0"/>
          <w:color w:val="auto"/>
          <w:w w:val="99"/>
          <w:highlight w:val="none"/>
        </w:rPr>
      </w:pPr>
      <w:bookmarkStart w:id="841" w:name="_Toc68695950"/>
      <w:bookmarkStart w:id="842" w:name="_Toc80105205"/>
      <w:r>
        <w:rPr>
          <w:rFonts w:ascii="Times New Roman" w:hAnsi="Times New Roman"/>
          <w:b/>
          <w:snapToGrid w:val="0"/>
          <w:color w:val="auto"/>
          <w:w w:val="99"/>
          <w:highlight w:val="none"/>
        </w:rPr>
        <w:t>4.4区域环境污染源调查</w:t>
      </w:r>
      <w:bookmarkEnd w:id="841"/>
      <w:bookmarkEnd w:id="842"/>
    </w:p>
    <w:p>
      <w:pPr>
        <w:spacing w:line="500" w:lineRule="exact"/>
        <w:ind w:firstLine="474" w:firstLineChars="200"/>
        <w:jc w:val="both"/>
        <w:rPr>
          <w:rFonts w:ascii="Times New Roman" w:hAnsi="Times New Roman" w:cs="Times New Roman"/>
          <w:color w:val="auto"/>
          <w:w w:val="99"/>
          <w:highlight w:val="none"/>
          <w:lang w:val="zh-CN" w:bidi="zh-CN"/>
        </w:rPr>
      </w:pPr>
      <w:r>
        <w:rPr>
          <w:rFonts w:ascii="Times New Roman" w:hAnsi="Times New Roman" w:cs="Times New Roman"/>
          <w:color w:val="auto"/>
          <w:w w:val="99"/>
          <w:highlight w:val="none"/>
          <w:lang w:val="zh-CN" w:bidi="zh-CN"/>
        </w:rPr>
        <w:t>本工程为石油开采项目，经现场调查，区域内污染源主要为油田场站及井场，场站</w:t>
      </w:r>
      <w:r>
        <w:rPr>
          <w:rFonts w:hint="eastAsia" w:ascii="Times New Roman" w:hAnsi="Times New Roman" w:cs="Times New Roman"/>
          <w:color w:val="auto"/>
          <w:w w:val="99"/>
          <w:highlight w:val="none"/>
          <w:lang w:val="zh-CN" w:bidi="zh-CN"/>
        </w:rPr>
        <w:t>主要</w:t>
      </w:r>
      <w:r>
        <w:rPr>
          <w:rFonts w:ascii="Times New Roman" w:hAnsi="Times New Roman" w:cs="Times New Roman"/>
          <w:color w:val="auto"/>
          <w:w w:val="99"/>
          <w:highlight w:val="none"/>
          <w:lang w:val="zh-CN" w:bidi="zh-CN"/>
        </w:rPr>
        <w:t>包括源141转油站</w:t>
      </w:r>
      <w:r>
        <w:rPr>
          <w:rFonts w:ascii="Times New Roman" w:hAnsi="Times New Roman" w:cs="Times New Roman"/>
          <w:color w:val="auto"/>
          <w:w w:val="99"/>
          <w:highlight w:val="none"/>
          <w:lang w:bidi="zh-CN"/>
        </w:rPr>
        <w:t>，</w:t>
      </w:r>
      <w:r>
        <w:rPr>
          <w:rFonts w:ascii="Times New Roman" w:hAnsi="Times New Roman" w:cs="Times New Roman"/>
          <w:color w:val="auto"/>
          <w:w w:val="99"/>
          <w:highlight w:val="none"/>
          <w:lang w:val="zh-CN" w:bidi="zh-CN"/>
        </w:rPr>
        <w:t>污染物主要为油田场站及区块内已建油井产生的废气、废水、噪声、固废等污染物。</w:t>
      </w:r>
    </w:p>
    <w:p>
      <w:pPr>
        <w:pStyle w:val="7"/>
        <w:keepNext w:val="0"/>
        <w:keepLines w:val="0"/>
        <w:widowControl w:val="0"/>
        <w:rPr>
          <w:b/>
          <w:color w:val="auto"/>
          <w:w w:val="99"/>
          <w:kern w:val="2"/>
          <w:sz w:val="24"/>
          <w:szCs w:val="24"/>
          <w:highlight w:val="none"/>
        </w:rPr>
      </w:pPr>
      <w:bookmarkStart w:id="843" w:name="_Toc38296428"/>
      <w:bookmarkStart w:id="844" w:name="_Toc38545061"/>
      <w:bookmarkStart w:id="845" w:name="_Toc41655205"/>
      <w:bookmarkStart w:id="846" w:name="_Toc74812377"/>
      <w:bookmarkStart w:id="847" w:name="_Toc80105206"/>
      <w:bookmarkStart w:id="848" w:name="_Toc74812138"/>
      <w:bookmarkStart w:id="849" w:name="_Toc77667350"/>
      <w:bookmarkStart w:id="850" w:name="_Toc69690866"/>
      <w:r>
        <w:rPr>
          <w:b/>
          <w:color w:val="auto"/>
          <w:w w:val="99"/>
          <w:kern w:val="2"/>
          <w:sz w:val="24"/>
          <w:szCs w:val="24"/>
          <w:highlight w:val="none"/>
        </w:rPr>
        <w:t>4.4.1 大气污染源</w:t>
      </w:r>
      <w:bookmarkEnd w:id="843"/>
      <w:bookmarkEnd w:id="844"/>
      <w:bookmarkEnd w:id="845"/>
      <w:r>
        <w:rPr>
          <w:b/>
          <w:color w:val="auto"/>
          <w:w w:val="99"/>
          <w:kern w:val="2"/>
          <w:sz w:val="24"/>
          <w:szCs w:val="24"/>
          <w:highlight w:val="none"/>
        </w:rPr>
        <w:t>调查</w:t>
      </w:r>
      <w:bookmarkEnd w:id="846"/>
      <w:bookmarkEnd w:id="847"/>
      <w:bookmarkEnd w:id="848"/>
      <w:bookmarkEnd w:id="849"/>
      <w:bookmarkEnd w:id="850"/>
    </w:p>
    <w:p>
      <w:pPr>
        <w:spacing w:line="500" w:lineRule="exact"/>
        <w:ind w:firstLine="474" w:firstLineChars="200"/>
        <w:jc w:val="both"/>
        <w:rPr>
          <w:rFonts w:ascii="Times New Roman" w:hAnsi="Times New Roman" w:cs="Times New Roman"/>
          <w:color w:val="auto"/>
          <w:w w:val="99"/>
          <w:highlight w:val="none"/>
          <w:lang w:val="zh-CN" w:bidi="zh-CN"/>
        </w:rPr>
      </w:pPr>
      <w:bookmarkStart w:id="851" w:name="_Toc77667351"/>
      <w:bookmarkStart w:id="852" w:name="_Toc74812139"/>
      <w:bookmarkStart w:id="853" w:name="_Toc69690867"/>
      <w:bookmarkStart w:id="854" w:name="_Toc38545062"/>
      <w:bookmarkStart w:id="855" w:name="_Toc41655206"/>
      <w:bookmarkStart w:id="856" w:name="_Toc80105207"/>
      <w:bookmarkStart w:id="857" w:name="_Toc38296429"/>
      <w:bookmarkStart w:id="858" w:name="_Toc74812378"/>
      <w:r>
        <w:rPr>
          <w:rFonts w:ascii="Times New Roman" w:hAnsi="Times New Roman" w:cs="Times New Roman"/>
          <w:color w:val="auto"/>
          <w:w w:val="99"/>
          <w:highlight w:val="none"/>
          <w:lang w:val="zh-CN" w:bidi="zh-CN"/>
        </w:rPr>
        <w:t>（1）工业废气</w:t>
      </w:r>
    </w:p>
    <w:p>
      <w:pPr>
        <w:spacing w:line="500" w:lineRule="exact"/>
        <w:ind w:firstLine="474" w:firstLineChars="200"/>
        <w:jc w:val="both"/>
        <w:rPr>
          <w:rFonts w:ascii="Times New Roman" w:hAnsi="Times New Roman" w:cs="Times New Roman"/>
          <w:color w:val="auto"/>
          <w:w w:val="99"/>
          <w:highlight w:val="none"/>
          <w:lang w:val="zh-CN" w:bidi="zh-CN"/>
        </w:rPr>
      </w:pPr>
      <w:r>
        <w:rPr>
          <w:rFonts w:ascii="Times New Roman" w:hAnsi="Times New Roman" w:cs="Times New Roman"/>
          <w:color w:val="auto"/>
          <w:w w:val="99"/>
          <w:highlight w:val="none"/>
          <w:lang w:val="zh-CN" w:bidi="zh-CN"/>
        </w:rPr>
        <w:t>主要为场站场站及井场原油集输产生的工艺废气。产生的废气污染物主要为非甲烷总烃。</w:t>
      </w:r>
    </w:p>
    <w:p>
      <w:pPr>
        <w:spacing w:line="500" w:lineRule="exact"/>
        <w:ind w:firstLine="474" w:firstLineChars="200"/>
        <w:rPr>
          <w:rFonts w:ascii="Times New Roman" w:hAnsi="Times New Roman" w:cs="Times New Roman"/>
          <w:color w:val="auto"/>
          <w:w w:val="99"/>
          <w:highlight w:val="none"/>
          <w:lang w:val="zh-CN" w:bidi="zh-CN"/>
        </w:rPr>
      </w:pPr>
      <w:r>
        <w:rPr>
          <w:rFonts w:ascii="Times New Roman" w:hAnsi="Times New Roman" w:cs="Times New Roman"/>
          <w:color w:val="auto"/>
          <w:w w:val="99"/>
          <w:highlight w:val="none"/>
          <w:lang w:val="zh-CN" w:bidi="zh-CN"/>
        </w:rPr>
        <w:t>（2）汽车尾气</w:t>
      </w:r>
    </w:p>
    <w:p>
      <w:pPr>
        <w:spacing w:line="500" w:lineRule="exact"/>
        <w:ind w:firstLine="474" w:firstLineChars="200"/>
        <w:rPr>
          <w:rFonts w:ascii="Times New Roman" w:hAnsi="Times New Roman" w:cs="Times New Roman"/>
          <w:color w:val="auto"/>
          <w:w w:val="99"/>
          <w:highlight w:val="none"/>
          <w:lang w:val="zh-CN" w:bidi="zh-CN"/>
        </w:rPr>
      </w:pPr>
      <w:r>
        <w:rPr>
          <w:rFonts w:ascii="Times New Roman" w:hAnsi="Times New Roman" w:cs="Times New Roman"/>
          <w:color w:val="auto"/>
          <w:w w:val="99"/>
          <w:highlight w:val="none"/>
          <w:lang w:val="zh-CN" w:bidi="zh-CN"/>
        </w:rPr>
        <w:t>由于项目的开发建设导致区内车辆、交通量增加，导致排放尾气增多，主要特征污染物为CO、NO</w:t>
      </w:r>
      <w:r>
        <w:rPr>
          <w:rFonts w:ascii="Times New Roman" w:hAnsi="Times New Roman" w:cs="Times New Roman"/>
          <w:color w:val="auto"/>
          <w:w w:val="99"/>
          <w:highlight w:val="none"/>
          <w:vertAlign w:val="subscript"/>
          <w:lang w:val="zh-CN" w:bidi="zh-CN"/>
        </w:rPr>
        <w:t>x</w:t>
      </w:r>
      <w:r>
        <w:rPr>
          <w:rFonts w:ascii="Times New Roman" w:hAnsi="Times New Roman" w:cs="Times New Roman"/>
          <w:color w:val="auto"/>
          <w:w w:val="99"/>
          <w:highlight w:val="none"/>
          <w:lang w:val="zh-CN" w:bidi="zh-CN"/>
        </w:rPr>
        <w:t>和碳氢化合物，属于流动源。</w:t>
      </w:r>
    </w:p>
    <w:p>
      <w:pPr>
        <w:pStyle w:val="7"/>
        <w:keepNext w:val="0"/>
        <w:keepLines w:val="0"/>
        <w:widowControl w:val="0"/>
        <w:rPr>
          <w:b/>
          <w:color w:val="auto"/>
          <w:w w:val="99"/>
          <w:kern w:val="2"/>
          <w:sz w:val="24"/>
          <w:szCs w:val="24"/>
          <w:highlight w:val="none"/>
        </w:rPr>
      </w:pPr>
      <w:r>
        <w:rPr>
          <w:b/>
          <w:color w:val="auto"/>
          <w:w w:val="99"/>
          <w:kern w:val="2"/>
          <w:sz w:val="24"/>
          <w:szCs w:val="24"/>
          <w:highlight w:val="none"/>
        </w:rPr>
        <w:t>4.4.2 废水污染源调查</w:t>
      </w:r>
      <w:bookmarkEnd w:id="851"/>
      <w:bookmarkEnd w:id="852"/>
      <w:bookmarkEnd w:id="853"/>
      <w:bookmarkEnd w:id="854"/>
      <w:bookmarkEnd w:id="855"/>
      <w:bookmarkEnd w:id="856"/>
      <w:bookmarkEnd w:id="857"/>
      <w:bookmarkEnd w:id="858"/>
    </w:p>
    <w:p>
      <w:pPr>
        <w:spacing w:line="500" w:lineRule="exact"/>
        <w:ind w:firstLine="474" w:firstLineChars="200"/>
        <w:rPr>
          <w:rFonts w:ascii="Times New Roman" w:hAnsi="Times New Roman" w:cs="Times New Roman"/>
          <w:color w:val="auto"/>
          <w:w w:val="99"/>
          <w:highlight w:val="none"/>
          <w:lang w:val="zh-CN" w:bidi="zh-CN"/>
        </w:rPr>
      </w:pPr>
      <w:bookmarkStart w:id="859" w:name="_Toc38545063"/>
      <w:bookmarkStart w:id="860" w:name="_Toc69690868"/>
      <w:bookmarkStart w:id="861" w:name="_Toc38296430"/>
      <w:bookmarkStart w:id="862" w:name="_Toc41655207"/>
      <w:bookmarkStart w:id="863" w:name="_Toc74812140"/>
      <w:bookmarkStart w:id="864" w:name="_Toc80105208"/>
      <w:bookmarkStart w:id="865" w:name="_Toc74812379"/>
      <w:bookmarkStart w:id="866" w:name="_Toc77667352"/>
      <w:r>
        <w:rPr>
          <w:rFonts w:hint="eastAsia" w:ascii="Times New Roman" w:hAnsi="Times New Roman" w:cs="Times New Roman"/>
          <w:color w:val="auto"/>
          <w:w w:val="99"/>
          <w:highlight w:val="none"/>
          <w:lang w:val="zh-CN" w:bidi="zh-CN"/>
        </w:rPr>
        <w:t>（</w:t>
      </w:r>
      <w:r>
        <w:rPr>
          <w:rFonts w:ascii="Times New Roman" w:hAnsi="Times New Roman" w:cs="Times New Roman"/>
          <w:color w:val="auto"/>
          <w:w w:val="99"/>
          <w:highlight w:val="none"/>
          <w:lang w:val="zh-CN" w:bidi="zh-CN"/>
        </w:rPr>
        <w:t>1）生活污水污染源</w:t>
      </w:r>
    </w:p>
    <w:p>
      <w:pPr>
        <w:spacing w:line="500" w:lineRule="exact"/>
        <w:ind w:firstLine="474" w:firstLineChars="200"/>
        <w:rPr>
          <w:rFonts w:ascii="Times New Roman" w:hAnsi="Times New Roman" w:cs="Times New Roman"/>
          <w:color w:val="auto"/>
          <w:w w:val="99"/>
          <w:highlight w:val="none"/>
          <w:lang w:val="zh-CN" w:bidi="zh-CN"/>
        </w:rPr>
      </w:pPr>
      <w:r>
        <w:rPr>
          <w:rFonts w:hint="eastAsia" w:ascii="Times New Roman" w:hAnsi="Times New Roman" w:cs="Times New Roman"/>
          <w:color w:val="auto"/>
          <w:w w:val="99"/>
          <w:highlight w:val="none"/>
          <w:lang w:val="zh-CN" w:bidi="zh-CN"/>
        </w:rPr>
        <w:t>区域生活污水污染源主要来源于场站办公设施，其污染物主要为</w:t>
      </w:r>
      <w:r>
        <w:rPr>
          <w:rFonts w:ascii="Times New Roman" w:hAnsi="Times New Roman" w:cs="Times New Roman"/>
          <w:color w:val="auto"/>
          <w:w w:val="99"/>
          <w:highlight w:val="none"/>
          <w:lang w:val="zh-CN" w:bidi="zh-CN"/>
        </w:rPr>
        <w:t xml:space="preserve"> </w:t>
      </w:r>
      <w:r>
        <w:rPr>
          <w:rFonts w:hint="eastAsia" w:ascii="Times New Roman" w:hAnsi="Times New Roman" w:cs="Times New Roman"/>
          <w:color w:val="auto"/>
          <w:w w:val="99"/>
          <w:highlight w:val="none"/>
          <w:lang w:val="zh-CN" w:bidi="zh-CN"/>
        </w:rPr>
        <w:t>耗氧量</w:t>
      </w:r>
      <w:r>
        <w:rPr>
          <w:rFonts w:ascii="Times New Roman" w:hAnsi="Times New Roman" w:cs="Times New Roman"/>
          <w:color w:val="auto"/>
          <w:w w:val="99"/>
          <w:highlight w:val="none"/>
          <w:lang w:val="zh-CN" w:bidi="zh-CN"/>
        </w:rPr>
        <w:t>、BOD</w:t>
      </w:r>
      <w:r>
        <w:rPr>
          <w:rFonts w:ascii="Times New Roman" w:hAnsi="Times New Roman" w:cs="Times New Roman"/>
          <w:color w:val="auto"/>
          <w:w w:val="99"/>
          <w:highlight w:val="none"/>
          <w:vertAlign w:val="subscript"/>
          <w:lang w:val="zh-CN" w:bidi="zh-CN"/>
        </w:rPr>
        <w:t>5</w:t>
      </w:r>
      <w:r>
        <w:rPr>
          <w:rFonts w:ascii="Times New Roman" w:hAnsi="Times New Roman" w:cs="Times New Roman"/>
          <w:color w:val="auto"/>
          <w:w w:val="99"/>
          <w:highlight w:val="none"/>
          <w:lang w:val="zh-CN" w:bidi="zh-CN"/>
        </w:rPr>
        <w:t>、SS、NH</w:t>
      </w:r>
      <w:r>
        <w:rPr>
          <w:rFonts w:ascii="Times New Roman" w:hAnsi="Times New Roman" w:cs="Times New Roman"/>
          <w:color w:val="auto"/>
          <w:w w:val="99"/>
          <w:highlight w:val="none"/>
          <w:vertAlign w:val="subscript"/>
          <w:lang w:val="zh-CN" w:bidi="zh-CN"/>
        </w:rPr>
        <w:t>3</w:t>
      </w:r>
      <w:r>
        <w:rPr>
          <w:rFonts w:ascii="Times New Roman" w:hAnsi="Times New Roman" w:cs="Times New Roman"/>
          <w:color w:val="auto"/>
          <w:w w:val="99"/>
          <w:highlight w:val="none"/>
          <w:lang w:val="zh-CN" w:bidi="zh-CN"/>
        </w:rPr>
        <w:t>-N 等。</w:t>
      </w:r>
    </w:p>
    <w:p>
      <w:pPr>
        <w:spacing w:line="500" w:lineRule="exact"/>
        <w:ind w:firstLine="474" w:firstLineChars="200"/>
        <w:rPr>
          <w:rFonts w:ascii="Times New Roman" w:hAnsi="Times New Roman" w:cs="Times New Roman"/>
          <w:color w:val="auto"/>
          <w:w w:val="99"/>
          <w:highlight w:val="none"/>
          <w:lang w:val="zh-CN" w:bidi="zh-CN"/>
        </w:rPr>
      </w:pPr>
      <w:r>
        <w:rPr>
          <w:rFonts w:hint="eastAsia" w:ascii="Times New Roman" w:hAnsi="Times New Roman" w:cs="Times New Roman"/>
          <w:color w:val="auto"/>
          <w:w w:val="99"/>
          <w:highlight w:val="none"/>
          <w:lang w:val="zh-CN" w:bidi="zh-CN"/>
        </w:rPr>
        <w:t>（</w:t>
      </w:r>
      <w:r>
        <w:rPr>
          <w:rFonts w:ascii="Times New Roman" w:hAnsi="Times New Roman" w:cs="Times New Roman"/>
          <w:color w:val="auto"/>
          <w:w w:val="99"/>
          <w:highlight w:val="none"/>
          <w:lang w:val="zh-CN" w:bidi="zh-CN"/>
        </w:rPr>
        <w:t>2）工业污水污染源</w:t>
      </w:r>
    </w:p>
    <w:p>
      <w:pPr>
        <w:spacing w:line="500" w:lineRule="exact"/>
        <w:ind w:firstLine="474" w:firstLineChars="200"/>
        <w:rPr>
          <w:rFonts w:ascii="Times New Roman" w:hAnsi="Times New Roman" w:cs="Times New Roman"/>
          <w:color w:val="auto"/>
          <w:w w:val="99"/>
          <w:highlight w:val="none"/>
          <w:lang w:val="zh-CN" w:bidi="zh-CN"/>
        </w:rPr>
      </w:pPr>
      <w:r>
        <w:rPr>
          <w:rFonts w:hint="eastAsia" w:ascii="Times New Roman" w:hAnsi="Times New Roman" w:cs="Times New Roman"/>
          <w:color w:val="auto"/>
          <w:w w:val="99"/>
          <w:highlight w:val="none"/>
          <w:lang w:val="zh-CN" w:bidi="zh-CN"/>
        </w:rPr>
        <w:t>工业废水污染源主要为油田采出水、油水井作业污水、洗井污水，废水污染物为</w:t>
      </w:r>
      <w:r>
        <w:rPr>
          <w:rFonts w:ascii="Times New Roman" w:hAnsi="Times New Roman" w:cs="Times New Roman"/>
          <w:color w:val="auto"/>
          <w:w w:val="99"/>
          <w:highlight w:val="none"/>
          <w:lang w:val="zh-CN" w:bidi="zh-CN"/>
        </w:rPr>
        <w:t xml:space="preserve"> pH、SS、石油类等。</w:t>
      </w:r>
    </w:p>
    <w:p>
      <w:pPr>
        <w:pStyle w:val="7"/>
        <w:keepNext w:val="0"/>
        <w:keepLines w:val="0"/>
        <w:widowControl w:val="0"/>
        <w:rPr>
          <w:b/>
          <w:color w:val="auto"/>
          <w:w w:val="99"/>
          <w:kern w:val="2"/>
          <w:sz w:val="24"/>
          <w:szCs w:val="24"/>
          <w:highlight w:val="none"/>
        </w:rPr>
      </w:pPr>
      <w:r>
        <w:rPr>
          <w:b/>
          <w:color w:val="auto"/>
          <w:w w:val="99"/>
          <w:kern w:val="2"/>
          <w:sz w:val="24"/>
          <w:szCs w:val="24"/>
          <w:highlight w:val="none"/>
        </w:rPr>
        <w:t>4.4.3 噪声污染源调查</w:t>
      </w:r>
      <w:bookmarkEnd w:id="859"/>
      <w:bookmarkEnd w:id="860"/>
      <w:bookmarkEnd w:id="861"/>
      <w:bookmarkEnd w:id="862"/>
      <w:bookmarkEnd w:id="863"/>
      <w:bookmarkEnd w:id="864"/>
      <w:bookmarkEnd w:id="865"/>
      <w:bookmarkEnd w:id="866"/>
    </w:p>
    <w:p>
      <w:pPr>
        <w:spacing w:line="500" w:lineRule="exact"/>
        <w:ind w:firstLine="474" w:firstLineChars="200"/>
        <w:rPr>
          <w:rFonts w:ascii="Times New Roman" w:hAnsi="Times New Roman" w:cs="Times New Roman"/>
          <w:color w:val="auto"/>
          <w:w w:val="99"/>
          <w:highlight w:val="none"/>
          <w:lang w:val="zh-CN" w:bidi="zh-CN"/>
        </w:rPr>
      </w:pPr>
      <w:bookmarkStart w:id="867" w:name="_Toc41655208"/>
      <w:bookmarkStart w:id="868" w:name="_Toc38296431"/>
      <w:bookmarkStart w:id="869" w:name="_Toc38545064"/>
      <w:bookmarkStart w:id="870" w:name="_Toc69690869"/>
      <w:bookmarkStart w:id="871" w:name="_Toc74812141"/>
      <w:bookmarkStart w:id="872" w:name="_Toc77667353"/>
      <w:bookmarkStart w:id="873" w:name="_Toc74812380"/>
      <w:bookmarkStart w:id="874" w:name="_Toc80105209"/>
      <w:r>
        <w:rPr>
          <w:rFonts w:ascii="Times New Roman" w:hAnsi="Times New Roman" w:cs="Times New Roman"/>
          <w:color w:val="auto"/>
          <w:w w:val="99"/>
          <w:highlight w:val="none"/>
          <w:lang w:val="zh-CN" w:bidi="zh-CN"/>
        </w:rPr>
        <w:t>工业区工业噪声源主要分为2类，分别如下：</w:t>
      </w:r>
    </w:p>
    <w:p>
      <w:pPr>
        <w:widowControl w:val="0"/>
        <w:spacing w:line="500" w:lineRule="exact"/>
        <w:ind w:firstLine="474" w:firstLineChars="200"/>
        <w:rPr>
          <w:rFonts w:ascii="Times New Roman" w:hAnsi="Times New Roman" w:cs="Times New Roman"/>
          <w:color w:val="auto"/>
          <w:w w:val="99"/>
          <w:highlight w:val="none"/>
          <w:lang w:val="zh-CN" w:bidi="zh-CN"/>
        </w:rPr>
      </w:pPr>
      <w:r>
        <w:rPr>
          <w:rFonts w:ascii="Times New Roman" w:hAnsi="Times New Roman" w:cs="Times New Roman"/>
          <w:color w:val="auto"/>
          <w:w w:val="99"/>
          <w:highlight w:val="none"/>
          <w:lang w:val="zh-CN" w:bidi="zh-CN"/>
        </w:rPr>
        <w:t>第一类是工业企业噪声：主要为</w:t>
      </w:r>
      <w:r>
        <w:rPr>
          <w:rFonts w:hint="eastAsia" w:ascii="Times New Roman" w:hAnsi="Times New Roman" w:cs="Times New Roman"/>
          <w:color w:val="auto"/>
          <w:w w:val="99"/>
          <w:highlight w:val="none"/>
          <w:lang w:val="zh-CN" w:bidi="zh-CN"/>
        </w:rPr>
        <w:t>场站</w:t>
      </w:r>
      <w:r>
        <w:rPr>
          <w:rFonts w:ascii="Times New Roman" w:hAnsi="Times New Roman" w:cs="Times New Roman"/>
          <w:color w:val="auto"/>
          <w:w w:val="99"/>
          <w:highlight w:val="none"/>
          <w:lang w:val="zh-CN" w:bidi="zh-CN"/>
        </w:rPr>
        <w:t>内泵类、风机类</w:t>
      </w:r>
      <w:r>
        <w:rPr>
          <w:rFonts w:hint="eastAsia" w:ascii="Times New Roman" w:hAnsi="Times New Roman" w:cs="Times New Roman"/>
          <w:color w:val="auto"/>
          <w:w w:val="99"/>
          <w:highlight w:val="none"/>
          <w:lang w:val="zh-CN" w:bidi="zh-CN"/>
        </w:rPr>
        <w:t>及</w:t>
      </w:r>
      <w:r>
        <w:rPr>
          <w:rFonts w:ascii="Times New Roman" w:hAnsi="Times New Roman" w:cs="Times New Roman"/>
          <w:color w:val="auto"/>
          <w:w w:val="99"/>
          <w:highlight w:val="none"/>
          <w:lang w:val="zh-CN" w:bidi="zh-CN"/>
        </w:rPr>
        <w:t>抽油机井等设备噪声，声级值65～95dB(A)；</w:t>
      </w:r>
    </w:p>
    <w:p>
      <w:pPr>
        <w:widowControl w:val="0"/>
        <w:spacing w:line="500" w:lineRule="exact"/>
        <w:ind w:firstLine="474" w:firstLineChars="200"/>
        <w:rPr>
          <w:rFonts w:ascii="Times New Roman" w:hAnsi="Times New Roman" w:cs="Times New Roman"/>
          <w:color w:val="auto"/>
          <w:w w:val="99"/>
          <w:highlight w:val="none"/>
          <w:lang w:val="zh-CN" w:bidi="zh-CN"/>
        </w:rPr>
      </w:pPr>
      <w:r>
        <w:rPr>
          <w:rFonts w:ascii="Times New Roman" w:hAnsi="Times New Roman" w:cs="Times New Roman"/>
          <w:color w:val="auto"/>
          <w:w w:val="99"/>
          <w:highlight w:val="none"/>
          <w:lang w:val="zh-CN" w:bidi="zh-CN"/>
        </w:rPr>
        <w:t>第二类是交通噪声：主要是井排路、通井路的运输车辆产生的噪声，声级值75-80dB(A)。</w:t>
      </w:r>
    </w:p>
    <w:p>
      <w:pPr>
        <w:pStyle w:val="7"/>
        <w:keepNext w:val="0"/>
        <w:keepLines w:val="0"/>
        <w:widowControl w:val="0"/>
        <w:rPr>
          <w:b/>
          <w:color w:val="auto"/>
          <w:w w:val="99"/>
          <w:kern w:val="2"/>
          <w:sz w:val="24"/>
          <w:szCs w:val="24"/>
          <w:highlight w:val="none"/>
        </w:rPr>
      </w:pPr>
      <w:r>
        <w:rPr>
          <w:b/>
          <w:color w:val="auto"/>
          <w:w w:val="99"/>
          <w:kern w:val="2"/>
          <w:sz w:val="24"/>
          <w:szCs w:val="24"/>
          <w:highlight w:val="none"/>
        </w:rPr>
        <w:t>4.4.4 固体废物污染源分析</w:t>
      </w:r>
      <w:bookmarkEnd w:id="867"/>
      <w:bookmarkEnd w:id="868"/>
      <w:bookmarkEnd w:id="869"/>
      <w:bookmarkEnd w:id="870"/>
      <w:bookmarkEnd w:id="871"/>
      <w:bookmarkEnd w:id="872"/>
      <w:bookmarkEnd w:id="873"/>
      <w:bookmarkEnd w:id="874"/>
    </w:p>
    <w:p>
      <w:pPr>
        <w:spacing w:line="500" w:lineRule="exact"/>
        <w:ind w:firstLine="474" w:firstLineChars="200"/>
        <w:rPr>
          <w:rFonts w:ascii="Times New Roman" w:hAnsi="Times New Roman" w:cs="Times New Roman"/>
          <w:color w:val="auto"/>
          <w:w w:val="99"/>
          <w:highlight w:val="none"/>
          <w:lang w:val="zh-CN" w:bidi="zh-CN"/>
        </w:rPr>
      </w:pPr>
      <w:r>
        <w:rPr>
          <w:rFonts w:hint="eastAsia" w:ascii="Times New Roman" w:hAnsi="Times New Roman" w:cs="Times New Roman"/>
          <w:color w:val="auto"/>
          <w:w w:val="99"/>
          <w:highlight w:val="none"/>
          <w:lang w:val="zh-CN" w:bidi="zh-CN"/>
        </w:rPr>
        <w:t>根据现状调查和规划分析，区域排放的固体废弃物有一般工业固体废物、生活垃圾和危险废物。生活垃圾主要场站工作人员日常生活中产生的厨卫垃圾、废弃的日常用品等，统一收集后运至肇东市生活垃圾填埋场处理；工业固废和危险废物主要来自工业生产，均按相关规范处置利用。</w:t>
      </w:r>
    </w:p>
    <w:bookmarkEnd w:id="832"/>
    <w:bookmarkEnd w:id="833"/>
    <w:bookmarkEnd w:id="834"/>
    <w:bookmarkEnd w:id="835"/>
    <w:bookmarkEnd w:id="836"/>
    <w:bookmarkEnd w:id="837"/>
    <w:bookmarkEnd w:id="838"/>
    <w:p>
      <w:pPr>
        <w:pStyle w:val="4"/>
        <w:widowControl w:val="0"/>
        <w:spacing w:before="180" w:after="180" w:line="500" w:lineRule="exact"/>
        <w:rPr>
          <w:rFonts w:ascii="Times New Roman" w:hAnsi="Times New Roman"/>
          <w:b/>
          <w:snapToGrid w:val="0"/>
          <w:color w:val="auto"/>
          <w:w w:val="99"/>
          <w:sz w:val="30"/>
          <w:szCs w:val="30"/>
          <w:highlight w:val="none"/>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26" w:charSpace="0"/>
        </w:sectPr>
      </w:pPr>
      <w:bookmarkStart w:id="875" w:name="_Toc80105211"/>
      <w:bookmarkStart w:id="876" w:name="_Toc502736513"/>
      <w:bookmarkStart w:id="877" w:name="_Toc480447673"/>
    </w:p>
    <w:p>
      <w:pPr>
        <w:pStyle w:val="4"/>
        <w:widowControl w:val="0"/>
        <w:spacing w:before="180" w:after="180" w:line="500" w:lineRule="exact"/>
        <w:rPr>
          <w:rFonts w:ascii="Times New Roman" w:hAnsi="Times New Roman"/>
          <w:b/>
          <w:snapToGrid w:val="0"/>
          <w:color w:val="auto"/>
          <w:w w:val="99"/>
          <w:sz w:val="30"/>
          <w:szCs w:val="30"/>
          <w:highlight w:val="none"/>
        </w:rPr>
      </w:pPr>
      <w:r>
        <w:rPr>
          <w:rFonts w:ascii="Times New Roman" w:hAnsi="Times New Roman"/>
          <w:b/>
          <w:snapToGrid w:val="0"/>
          <w:color w:val="auto"/>
          <w:w w:val="99"/>
          <w:sz w:val="30"/>
          <w:szCs w:val="30"/>
          <w:highlight w:val="none"/>
        </w:rPr>
        <w:t>5环境影响预测与评价</w:t>
      </w:r>
      <w:bookmarkEnd w:id="875"/>
    </w:p>
    <w:p>
      <w:pPr>
        <w:pStyle w:val="5"/>
        <w:widowControl w:val="0"/>
        <w:spacing w:before="120" w:after="120"/>
        <w:rPr>
          <w:rFonts w:ascii="Times New Roman" w:hAnsi="Times New Roman"/>
          <w:b/>
          <w:snapToGrid w:val="0"/>
          <w:color w:val="auto"/>
          <w:w w:val="99"/>
          <w:highlight w:val="none"/>
        </w:rPr>
      </w:pPr>
      <w:bookmarkStart w:id="878" w:name="_Toc17898220"/>
      <w:bookmarkStart w:id="879" w:name="_Toc502736499"/>
      <w:bookmarkStart w:id="880" w:name="_Toc9760"/>
      <w:bookmarkStart w:id="881" w:name="_Toc57203297"/>
      <w:bookmarkStart w:id="882" w:name="_Toc57976719"/>
      <w:bookmarkStart w:id="883" w:name="_Toc80105212"/>
      <w:bookmarkStart w:id="884" w:name="_Toc57707967"/>
      <w:r>
        <w:rPr>
          <w:rFonts w:ascii="Times New Roman" w:hAnsi="Times New Roman"/>
          <w:b/>
          <w:snapToGrid w:val="0"/>
          <w:color w:val="auto"/>
          <w:w w:val="99"/>
          <w:highlight w:val="none"/>
        </w:rPr>
        <w:t>5.1大气环境影响预测分析</w:t>
      </w:r>
      <w:bookmarkEnd w:id="878"/>
      <w:bookmarkEnd w:id="879"/>
      <w:bookmarkEnd w:id="880"/>
      <w:bookmarkEnd w:id="881"/>
      <w:bookmarkEnd w:id="882"/>
      <w:bookmarkEnd w:id="883"/>
      <w:bookmarkEnd w:id="884"/>
    </w:p>
    <w:p>
      <w:pPr>
        <w:spacing w:line="500" w:lineRule="exact"/>
        <w:ind w:firstLine="474" w:firstLineChars="200"/>
        <w:jc w:val="both"/>
        <w:rPr>
          <w:rFonts w:ascii="Times New Roman" w:hAnsi="Times New Roman" w:cs="Times New Roman" w:eastAsiaTheme="minorEastAsia"/>
          <w:color w:val="auto"/>
          <w:w w:val="99"/>
          <w:kern w:val="21"/>
          <w:highlight w:val="none"/>
        </w:rPr>
      </w:pPr>
      <w:bookmarkStart w:id="885" w:name="_Toc11047899"/>
      <w:r>
        <w:rPr>
          <w:rFonts w:ascii="Times New Roman" w:hAnsi="Times New Roman" w:cs="Times New Roman" w:eastAsiaTheme="minorEastAsia"/>
          <w:color w:val="auto"/>
          <w:w w:val="99"/>
          <w:kern w:val="21"/>
          <w:highlight w:val="none"/>
        </w:rPr>
        <w:t>工程施工期间，施工场地的废气主要是柴油机产生的烟气、施工车辆尾气、施工扬尘。由于这些影响都是暂时性的，施工结束就随之消失，对周围空气环境影响较小。</w:t>
      </w:r>
      <w:bookmarkEnd w:id="885"/>
    </w:p>
    <w:p>
      <w:pPr>
        <w:pStyle w:val="7"/>
        <w:widowControl w:val="0"/>
        <w:spacing w:before="60" w:after="60"/>
        <w:jc w:val="both"/>
        <w:rPr>
          <w:b/>
          <w:color w:val="auto"/>
          <w:w w:val="99"/>
          <w:kern w:val="2"/>
          <w:sz w:val="24"/>
          <w:szCs w:val="24"/>
          <w:highlight w:val="none"/>
        </w:rPr>
      </w:pPr>
      <w:bookmarkStart w:id="886" w:name="_Toc74812383"/>
      <w:bookmarkStart w:id="887" w:name="_Toc67523654"/>
      <w:bookmarkStart w:id="888" w:name="_Toc61597283"/>
      <w:bookmarkStart w:id="889" w:name="_Toc74812144"/>
      <w:bookmarkStart w:id="890" w:name="_Toc71372001"/>
      <w:bookmarkStart w:id="891" w:name="_Toc80105213"/>
      <w:bookmarkStart w:id="892" w:name="_Toc69690872"/>
      <w:bookmarkStart w:id="893" w:name="_Toc77667357"/>
      <w:r>
        <w:rPr>
          <w:b/>
          <w:color w:val="auto"/>
          <w:w w:val="99"/>
          <w:kern w:val="2"/>
          <w:sz w:val="24"/>
          <w:szCs w:val="24"/>
          <w:highlight w:val="none"/>
        </w:rPr>
        <w:t>5.1.1柴油机燃烧排放的烟气</w:t>
      </w:r>
      <w:bookmarkEnd w:id="886"/>
      <w:bookmarkEnd w:id="887"/>
      <w:bookmarkEnd w:id="888"/>
      <w:bookmarkEnd w:id="889"/>
      <w:bookmarkEnd w:id="890"/>
      <w:bookmarkEnd w:id="891"/>
      <w:bookmarkEnd w:id="892"/>
      <w:bookmarkEnd w:id="893"/>
    </w:p>
    <w:p>
      <w:pPr>
        <w:widowControl w:val="0"/>
        <w:spacing w:line="500" w:lineRule="exact"/>
        <w:ind w:firstLine="480"/>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kern w:val="2"/>
          <w:szCs w:val="20"/>
          <w:highlight w:val="none"/>
        </w:rPr>
        <w:t>钻井时钻机和其他设备动力源均由发电机提供，而为发电机提供动能的是柴油机。</w:t>
      </w:r>
      <w:r>
        <w:rPr>
          <w:rFonts w:ascii="Times New Roman" w:hAnsi="Times New Roman" w:cs="Times New Roman" w:eastAsiaTheme="minorEastAsia"/>
          <w:color w:val="auto"/>
          <w:w w:val="99"/>
          <w:szCs w:val="20"/>
          <w:highlight w:val="none"/>
        </w:rPr>
        <w:t>本项目施工时使用低标号柴油，调节好柴油机运行工况。由于施工所在区域较开阔，柴油发电机烟气扩散较快，对附近环境影响较小。随着钻井工作的结束，柴油机排放的废气对环境空气的影响会逐渐消失。</w:t>
      </w:r>
    </w:p>
    <w:p>
      <w:pPr>
        <w:pStyle w:val="7"/>
        <w:widowControl w:val="0"/>
        <w:spacing w:before="60" w:after="60"/>
        <w:jc w:val="both"/>
        <w:rPr>
          <w:b/>
          <w:color w:val="auto"/>
          <w:w w:val="99"/>
          <w:kern w:val="2"/>
          <w:sz w:val="24"/>
          <w:szCs w:val="24"/>
          <w:highlight w:val="none"/>
        </w:rPr>
      </w:pPr>
      <w:bookmarkStart w:id="894" w:name="_Toc80105214"/>
      <w:bookmarkStart w:id="895" w:name="_Toc61597284"/>
      <w:bookmarkStart w:id="896" w:name="_Toc74812384"/>
      <w:bookmarkStart w:id="897" w:name="_Toc77667358"/>
      <w:bookmarkStart w:id="898" w:name="_Toc74812145"/>
      <w:bookmarkStart w:id="899" w:name="_Toc67523655"/>
      <w:bookmarkStart w:id="900" w:name="_Toc69690873"/>
      <w:bookmarkStart w:id="901" w:name="_Toc71372002"/>
      <w:r>
        <w:rPr>
          <w:b/>
          <w:color w:val="auto"/>
          <w:w w:val="99"/>
          <w:kern w:val="2"/>
          <w:sz w:val="24"/>
          <w:szCs w:val="24"/>
          <w:highlight w:val="none"/>
        </w:rPr>
        <w:t>5.1.2施工车辆扬尘</w:t>
      </w:r>
      <w:bookmarkEnd w:id="894"/>
      <w:bookmarkEnd w:id="895"/>
      <w:bookmarkEnd w:id="896"/>
      <w:bookmarkEnd w:id="897"/>
      <w:bookmarkEnd w:id="898"/>
      <w:bookmarkEnd w:id="899"/>
      <w:bookmarkEnd w:id="900"/>
      <w:bookmarkEnd w:id="901"/>
    </w:p>
    <w:p>
      <w:pPr>
        <w:widowControl w:val="0"/>
        <w:spacing w:line="500" w:lineRule="exact"/>
        <w:ind w:firstLine="51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各种施工材料的运输给运输道路的沿线带来扬尘污染，运输车辆行驶扬尘与车辆行驶速度、风速、路面积尘量和积尘湿度等因素有关。当车辆通过干燥且路况较差路段时，在行车道两侧扬尘的TSP浓度短期内可达8～10mg/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运输物料的车辆必须封盖严密，严禁散落；运输车辆驶出工地前须除泥降尘，严禁泥土尘沙带出工地；施工场地干燥时适当洒水抑尘，物料堆放应定点，并采取防尘、抑尘措施，如设置挡风板、上覆遮盖材料等；拉运固井水泥车辆采用罐装。施工场地洒水抑尘的试验结果见表5.1-1。</w:t>
      </w:r>
    </w:p>
    <w:p>
      <w:pPr>
        <w:widowControl w:val="0"/>
        <w:spacing w:line="500" w:lineRule="exact"/>
        <w:ind w:firstLine="476" w:firstLineChars="200"/>
        <w:jc w:val="both"/>
        <w:rPr>
          <w:rFonts w:ascii="Times New Roman" w:hAnsi="Times New Roman" w:cs="Times New Roman" w:eastAsiaTheme="minorEastAsia"/>
          <w:b/>
          <w:bCs/>
          <w:color w:val="auto"/>
          <w:w w:val="99"/>
          <w:kern w:val="2"/>
          <w:highlight w:val="none"/>
        </w:rPr>
      </w:pPr>
      <w:r>
        <w:rPr>
          <w:rFonts w:ascii="Times New Roman" w:hAnsi="Times New Roman" w:cs="Times New Roman" w:eastAsiaTheme="minorEastAsia"/>
          <w:b/>
          <w:bCs/>
          <w:color w:val="auto"/>
          <w:w w:val="99"/>
          <w:kern w:val="2"/>
          <w:highlight w:val="none"/>
        </w:rPr>
        <w:t>表</w:t>
      </w:r>
      <w:r>
        <w:rPr>
          <w:rFonts w:ascii="Times New Roman" w:hAnsi="Times New Roman" w:cs="Times New Roman" w:eastAsiaTheme="minorEastAsia"/>
          <w:b/>
          <w:bCs/>
          <w:color w:val="auto"/>
          <w:w w:val="99"/>
          <w:kern w:val="2"/>
          <w:szCs w:val="20"/>
          <w:highlight w:val="none"/>
        </w:rPr>
        <w:t>5.1-</w:t>
      </w:r>
      <w:r>
        <w:rPr>
          <w:rFonts w:ascii="Times New Roman" w:hAnsi="Times New Roman" w:cs="Times New Roman" w:eastAsiaTheme="minorEastAsia"/>
          <w:b/>
          <w:bCs/>
          <w:color w:val="auto"/>
          <w:w w:val="99"/>
          <w:kern w:val="2"/>
          <w:highlight w:val="none"/>
        </w:rPr>
        <w:t>1               施工场地洒水抑尘试验结果              单位：mg/m</w:t>
      </w:r>
      <w:r>
        <w:rPr>
          <w:rFonts w:ascii="Times New Roman" w:hAnsi="Times New Roman" w:cs="Times New Roman" w:eastAsiaTheme="minorEastAsia"/>
          <w:b/>
          <w:bCs/>
          <w:color w:val="auto"/>
          <w:w w:val="99"/>
          <w:kern w:val="2"/>
          <w:highlight w:val="none"/>
          <w:vertAlign w:val="superscript"/>
        </w:rPr>
        <w:t>3</w:t>
      </w:r>
    </w:p>
    <w:tbl>
      <w:tblPr>
        <w:tblStyle w:val="8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542"/>
        <w:gridCol w:w="1276"/>
        <w:gridCol w:w="1274"/>
        <w:gridCol w:w="1486"/>
        <w:gridCol w:w="1274"/>
        <w:gridCol w:w="12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092" w:type="pct"/>
            <w:gridSpan w:val="2"/>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距离</w:t>
            </w:r>
          </w:p>
        </w:tc>
        <w:tc>
          <w:tcPr>
            <w:tcW w:w="698"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5m</w:t>
            </w:r>
          </w:p>
        </w:tc>
        <w:tc>
          <w:tcPr>
            <w:tcW w:w="814"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20m</w:t>
            </w:r>
          </w:p>
        </w:tc>
        <w:tc>
          <w:tcPr>
            <w:tcW w:w="698"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50m</w:t>
            </w:r>
          </w:p>
        </w:tc>
        <w:tc>
          <w:tcPr>
            <w:tcW w:w="698"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100m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393" w:type="pct"/>
            <w:vMerge w:val="restar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TSP小时平均浓度</w:t>
            </w:r>
          </w:p>
        </w:tc>
        <w:tc>
          <w:tcPr>
            <w:tcW w:w="699"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不洒水</w:t>
            </w:r>
          </w:p>
        </w:tc>
        <w:tc>
          <w:tcPr>
            <w:tcW w:w="698"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10.14</w:t>
            </w:r>
          </w:p>
        </w:tc>
        <w:tc>
          <w:tcPr>
            <w:tcW w:w="814"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2.89</w:t>
            </w:r>
          </w:p>
        </w:tc>
        <w:tc>
          <w:tcPr>
            <w:tcW w:w="698"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1.15</w:t>
            </w:r>
          </w:p>
        </w:tc>
        <w:tc>
          <w:tcPr>
            <w:tcW w:w="698"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0.86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393"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699"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洒水</w:t>
            </w:r>
          </w:p>
        </w:tc>
        <w:tc>
          <w:tcPr>
            <w:tcW w:w="698"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2.01</w:t>
            </w:r>
          </w:p>
        </w:tc>
        <w:tc>
          <w:tcPr>
            <w:tcW w:w="814"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1.40</w:t>
            </w:r>
          </w:p>
        </w:tc>
        <w:tc>
          <w:tcPr>
            <w:tcW w:w="698"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0.67</w:t>
            </w:r>
          </w:p>
        </w:tc>
        <w:tc>
          <w:tcPr>
            <w:tcW w:w="698"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0.60</w:t>
            </w:r>
          </w:p>
        </w:tc>
      </w:tr>
    </w:tbl>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szCs w:val="20"/>
          <w:highlight w:val="none"/>
          <w:lang w:val="zh-CN"/>
        </w:rPr>
        <w:t>由该表数据可看出对施工场地实施每天洒水4-5次进行抑尘，可将TSP污染距离缩小到20-50m范围。</w:t>
      </w:r>
    </w:p>
    <w:p>
      <w:pPr>
        <w:pStyle w:val="7"/>
        <w:widowControl w:val="0"/>
        <w:spacing w:before="60" w:after="60"/>
        <w:jc w:val="both"/>
        <w:rPr>
          <w:b/>
          <w:color w:val="auto"/>
          <w:w w:val="99"/>
          <w:kern w:val="2"/>
          <w:sz w:val="24"/>
          <w:szCs w:val="24"/>
          <w:highlight w:val="none"/>
        </w:rPr>
      </w:pPr>
      <w:bookmarkStart w:id="902" w:name="_Toc74812146"/>
      <w:bookmarkStart w:id="903" w:name="_Toc74812385"/>
      <w:bookmarkStart w:id="904" w:name="_Toc71372003"/>
      <w:bookmarkStart w:id="905" w:name="_Toc67523656"/>
      <w:bookmarkStart w:id="906" w:name="_Toc69690874"/>
      <w:bookmarkStart w:id="907" w:name="_Toc77667359"/>
      <w:bookmarkStart w:id="908" w:name="_Toc80105215"/>
      <w:bookmarkStart w:id="909" w:name="_Toc61597285"/>
      <w:r>
        <w:rPr>
          <w:b/>
          <w:color w:val="auto"/>
          <w:w w:val="99"/>
          <w:kern w:val="2"/>
          <w:sz w:val="24"/>
          <w:szCs w:val="24"/>
          <w:highlight w:val="none"/>
        </w:rPr>
        <w:t>5.1.3场地扬尘</w:t>
      </w:r>
      <w:bookmarkEnd w:id="902"/>
      <w:bookmarkEnd w:id="903"/>
      <w:bookmarkEnd w:id="904"/>
      <w:bookmarkEnd w:id="905"/>
      <w:bookmarkEnd w:id="906"/>
      <w:bookmarkEnd w:id="907"/>
      <w:bookmarkEnd w:id="908"/>
      <w:bookmarkEnd w:id="909"/>
    </w:p>
    <w:p>
      <w:pPr>
        <w:widowControl w:val="0"/>
        <w:spacing w:line="500" w:lineRule="exact"/>
        <w:ind w:firstLine="474" w:firstLineChars="200"/>
        <w:jc w:val="both"/>
        <w:rPr>
          <w:rFonts w:ascii="Times New Roman" w:hAnsi="Times New Roman" w:cs="Times New Roman" w:eastAsiaTheme="minorEastAsia"/>
          <w:bCs/>
          <w:color w:val="auto"/>
          <w:w w:val="99"/>
          <w:highlight w:val="none"/>
        </w:rPr>
      </w:pPr>
      <w:r>
        <w:rPr>
          <w:rFonts w:ascii="Times New Roman" w:hAnsi="Times New Roman" w:cs="Times New Roman" w:eastAsiaTheme="minorEastAsia"/>
          <w:bCs/>
          <w:color w:val="auto"/>
          <w:w w:val="99"/>
          <w:highlight w:val="none"/>
        </w:rPr>
        <w:t>本工程前期准备施工时，物料搬运存储、平整场地和进出施工场地的运输车辆会造成施工作业场所和道路沿线近地面粉尘浓度的升高，一股情况下，场地、道路在自然风作用下产生的扬尘仅对路边 30m范围以内影响较大，且成线型污染；钻井期间，使用的大量膨润土、重品石粉、水泥、水泥外加剂等钻井材料堆放在井场，易产生扬尘，根据相关工程的现场模拟数据调查，施工场地产生的场界扬尘约为1.15mg/m</w:t>
      </w:r>
      <w:r>
        <w:rPr>
          <w:rFonts w:ascii="Times New Roman" w:hAnsi="Times New Roman" w:cs="Times New Roman" w:eastAsiaTheme="minorEastAsia"/>
          <w:bCs/>
          <w:color w:val="auto"/>
          <w:w w:val="99"/>
          <w:highlight w:val="none"/>
          <w:vertAlign w:val="superscript"/>
        </w:rPr>
        <w:t>3</w:t>
      </w:r>
      <w:r>
        <w:rPr>
          <w:rFonts w:ascii="Times New Roman" w:hAnsi="Times New Roman" w:cs="Times New Roman" w:eastAsiaTheme="minorEastAsia"/>
          <w:bCs/>
          <w:color w:val="auto"/>
          <w:w w:val="99"/>
          <w:highlight w:val="none"/>
        </w:rPr>
        <w:t>，通过采取施工运输车辆密闭措施或加盖防尘布、控制车速、施工场地设置围挡、</w:t>
      </w:r>
      <w:r>
        <w:rPr>
          <w:rFonts w:hint="eastAsia" w:ascii="Times New Roman" w:hAnsi="Times New Roman" w:cs="Times New Roman" w:eastAsiaTheme="minorEastAsia"/>
          <w:bCs/>
          <w:color w:val="auto"/>
          <w:w w:val="99"/>
          <w:highlight w:val="none"/>
        </w:rPr>
        <w:t>井场设置材料房、表土上覆盖</w:t>
      </w:r>
      <w:r>
        <w:rPr>
          <w:rFonts w:ascii="Times New Roman" w:hAnsi="Times New Roman" w:cs="Times New Roman" w:eastAsiaTheme="minorEastAsia"/>
          <w:bCs/>
          <w:color w:val="auto"/>
          <w:w w:val="99"/>
          <w:highlight w:val="none"/>
        </w:rPr>
        <w:t>防尘网等措施，可以防止刮风扬尘弥漫，降低钻井扬对区域空气环境的影响，产生的场界颗粒物可降至1.0mg/m</w:t>
      </w:r>
      <w:r>
        <w:rPr>
          <w:rFonts w:ascii="Times New Roman" w:hAnsi="Times New Roman" w:cs="Times New Roman" w:eastAsiaTheme="minorEastAsia"/>
          <w:bCs/>
          <w:color w:val="auto"/>
          <w:w w:val="99"/>
          <w:highlight w:val="none"/>
          <w:vertAlign w:val="superscript"/>
        </w:rPr>
        <w:t>3</w:t>
      </w:r>
      <w:r>
        <w:rPr>
          <w:rFonts w:ascii="Times New Roman" w:hAnsi="Times New Roman" w:cs="Times New Roman" w:eastAsiaTheme="minorEastAsia"/>
          <w:bCs/>
          <w:color w:val="auto"/>
          <w:w w:val="99"/>
          <w:highlight w:val="none"/>
        </w:rPr>
        <w:t>，满足《大气污染物综合排放标准》(GB16297-1996）表2中无组织排放监控浓度限值。本工程各项施工活动在采取洒水抑尘、物料苫盖等大气保护措施后，钻井扬尘对区域空气环境及环保目标的影响较小，且施工期的影响是暂时的，施工结束后影响即消除。</w:t>
      </w:r>
    </w:p>
    <w:p>
      <w:pPr>
        <w:pStyle w:val="7"/>
        <w:widowControl w:val="0"/>
        <w:spacing w:before="60" w:after="60"/>
        <w:jc w:val="both"/>
        <w:rPr>
          <w:b/>
          <w:color w:val="auto"/>
          <w:w w:val="99"/>
          <w:kern w:val="2"/>
          <w:sz w:val="24"/>
          <w:szCs w:val="24"/>
          <w:highlight w:val="none"/>
        </w:rPr>
      </w:pPr>
      <w:bookmarkStart w:id="910" w:name="_Toc74812147"/>
      <w:bookmarkStart w:id="911" w:name="_Toc67523657"/>
      <w:bookmarkStart w:id="912" w:name="_Toc74812386"/>
      <w:bookmarkStart w:id="913" w:name="_Toc69690875"/>
      <w:bookmarkStart w:id="914" w:name="_Toc80105216"/>
      <w:bookmarkStart w:id="915" w:name="_Toc71372004"/>
      <w:bookmarkStart w:id="916" w:name="_Toc77667360"/>
      <w:bookmarkStart w:id="917" w:name="_Toc61597286"/>
      <w:r>
        <w:rPr>
          <w:b/>
          <w:color w:val="auto"/>
          <w:w w:val="99"/>
          <w:kern w:val="2"/>
          <w:sz w:val="24"/>
          <w:szCs w:val="24"/>
          <w:highlight w:val="none"/>
        </w:rPr>
        <w:t>5.1.4施工车辆尾气</w:t>
      </w:r>
      <w:bookmarkEnd w:id="910"/>
      <w:bookmarkEnd w:id="911"/>
      <w:bookmarkEnd w:id="912"/>
      <w:bookmarkEnd w:id="913"/>
      <w:bookmarkEnd w:id="914"/>
      <w:bookmarkEnd w:id="915"/>
      <w:bookmarkEnd w:id="916"/>
      <w:bookmarkEnd w:id="917"/>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本项目施工期各类工程及运输车辆排放的尾气会对大气环境造成一定污染，排放主要污染物为NOx、CO、</w:t>
      </w:r>
      <w:r>
        <w:rPr>
          <w:rFonts w:ascii="Times New Roman" w:hAnsi="Times New Roman" w:cs="Times New Roman" w:eastAsiaTheme="minorEastAsia"/>
          <w:bCs/>
          <w:color w:val="auto"/>
          <w:w w:val="99"/>
          <w:kern w:val="21"/>
          <w:highlight w:val="none"/>
        </w:rPr>
        <w:t>SO</w:t>
      </w:r>
      <w:r>
        <w:rPr>
          <w:rFonts w:ascii="Times New Roman" w:hAnsi="Times New Roman" w:cs="Times New Roman" w:eastAsiaTheme="minorEastAsia"/>
          <w:bCs/>
          <w:color w:val="auto"/>
          <w:w w:val="99"/>
          <w:kern w:val="21"/>
          <w:highlight w:val="none"/>
          <w:vertAlign w:val="subscript"/>
        </w:rPr>
        <w:t>2</w:t>
      </w:r>
      <w:r>
        <w:rPr>
          <w:rFonts w:ascii="Times New Roman" w:hAnsi="Times New Roman" w:cs="Times New Roman" w:eastAsiaTheme="minorEastAsia"/>
          <w:color w:val="auto"/>
          <w:w w:val="99"/>
          <w:kern w:val="21"/>
          <w:highlight w:val="none"/>
        </w:rPr>
        <w:t>、TSP等，均属于无组织排放，施工所处地区宽阔，地形简单，污染物在大气中可快速扩散，由于车辆排放的尾气为流动的线源，影响范围较大，但其污染不集中且扩散能力相对较快，因此对环境的空气的影响不是很大。</w:t>
      </w:r>
    </w:p>
    <w:p>
      <w:pPr>
        <w:pStyle w:val="7"/>
        <w:widowControl w:val="0"/>
        <w:spacing w:before="60" w:after="60"/>
        <w:jc w:val="both"/>
        <w:rPr>
          <w:b/>
          <w:color w:val="auto"/>
          <w:w w:val="99"/>
          <w:kern w:val="2"/>
          <w:sz w:val="24"/>
          <w:szCs w:val="24"/>
          <w:highlight w:val="none"/>
        </w:rPr>
      </w:pPr>
      <w:bookmarkStart w:id="918" w:name="_Toc77667361"/>
      <w:bookmarkStart w:id="919" w:name="_Toc74812387"/>
      <w:bookmarkStart w:id="920" w:name="_Toc80105217"/>
      <w:bookmarkStart w:id="921" w:name="_Toc71372005"/>
      <w:bookmarkStart w:id="922" w:name="_Toc74812148"/>
      <w:bookmarkStart w:id="923" w:name="_Toc61597287"/>
      <w:bookmarkStart w:id="924" w:name="_Toc67523658"/>
      <w:bookmarkStart w:id="925" w:name="_Toc69690876"/>
      <w:r>
        <w:rPr>
          <w:b/>
          <w:color w:val="auto"/>
          <w:w w:val="99"/>
          <w:kern w:val="2"/>
          <w:sz w:val="24"/>
          <w:szCs w:val="24"/>
          <w:highlight w:val="none"/>
        </w:rPr>
        <w:t>5.1.5非甲烷总烃</w:t>
      </w:r>
      <w:bookmarkEnd w:id="918"/>
      <w:bookmarkEnd w:id="919"/>
      <w:bookmarkEnd w:id="920"/>
      <w:bookmarkEnd w:id="921"/>
      <w:bookmarkEnd w:id="922"/>
      <w:bookmarkEnd w:id="923"/>
      <w:bookmarkEnd w:id="924"/>
      <w:bookmarkEnd w:id="925"/>
    </w:p>
    <w:p>
      <w:pPr>
        <w:widowControl w:val="0"/>
        <w:spacing w:line="500" w:lineRule="exact"/>
        <w:ind w:firstLine="482"/>
        <w:jc w:val="both"/>
        <w:rPr>
          <w:rFonts w:ascii="Times New Roman" w:hAnsi="Times New Roman" w:cs="Times New Roman" w:eastAsiaTheme="minorEastAsia"/>
          <w:bCs/>
          <w:color w:val="auto"/>
          <w:w w:val="99"/>
          <w:highlight w:val="none"/>
        </w:rPr>
      </w:pPr>
      <w:r>
        <w:rPr>
          <w:rFonts w:ascii="Times New Roman" w:hAnsi="Times New Roman" w:cs="Times New Roman" w:eastAsiaTheme="minorEastAsia"/>
          <w:bCs/>
          <w:color w:val="auto"/>
          <w:w w:val="99"/>
          <w:highlight w:val="none"/>
        </w:rPr>
        <w:t>根据《大气挥发性有机物源排放清单编制技术指南》附录 B 中“工艺过程源—石油开采”的推荐值，排放系数为 1.4175g/kg 原油，油气集输过程烃类气体挥发主要来自采油井场、集油间、转油站、联合站、集输系统等。本项目评价的内容是钻井工程，会产生极少量的非甲烷总烃，因此本项目不进行定量评价。</w:t>
      </w:r>
    </w:p>
    <w:p>
      <w:pPr>
        <w:pStyle w:val="5"/>
        <w:widowControl w:val="0"/>
        <w:spacing w:before="120" w:after="120"/>
        <w:rPr>
          <w:rFonts w:ascii="Times New Roman" w:hAnsi="Times New Roman"/>
          <w:b/>
          <w:snapToGrid w:val="0"/>
          <w:color w:val="auto"/>
          <w:w w:val="99"/>
          <w:highlight w:val="none"/>
        </w:rPr>
      </w:pPr>
      <w:bookmarkStart w:id="926" w:name="_Toc80105219"/>
      <w:r>
        <w:rPr>
          <w:rFonts w:ascii="Times New Roman" w:hAnsi="Times New Roman"/>
          <w:b/>
          <w:snapToGrid w:val="0"/>
          <w:color w:val="auto"/>
          <w:w w:val="99"/>
          <w:highlight w:val="none"/>
        </w:rPr>
        <w:t>5.2声环境影响预测分析</w:t>
      </w:r>
      <w:bookmarkEnd w:id="926"/>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本工程对声环境的影响主要是由施工机械、车辆造成的，主要噪声源包括钻机、推土机、运输车辆等。</w:t>
      </w:r>
    </w:p>
    <w:p>
      <w:pPr>
        <w:widowControl w:val="0"/>
        <w:spacing w:line="500" w:lineRule="exact"/>
        <w:ind w:firstLine="474" w:firstLineChars="200"/>
        <w:jc w:val="both"/>
        <w:rPr>
          <w:rFonts w:ascii="Times New Roman" w:hAnsi="Times New Roman" w:cs="Times New Roman" w:eastAsiaTheme="minorEastAsia"/>
          <w:bCs/>
          <w:color w:val="auto"/>
          <w:w w:val="99"/>
          <w:szCs w:val="20"/>
          <w:highlight w:val="none"/>
        </w:rPr>
      </w:pPr>
      <w:r>
        <w:rPr>
          <w:rFonts w:ascii="Times New Roman" w:hAnsi="Times New Roman" w:cs="Times New Roman" w:eastAsiaTheme="minorEastAsia"/>
          <w:bCs/>
          <w:color w:val="auto"/>
          <w:w w:val="99"/>
          <w:highlight w:val="none"/>
        </w:rPr>
        <w:t>（1）预测模式</w:t>
      </w:r>
    </w:p>
    <w:p>
      <w:pPr>
        <w:widowControl w:val="0"/>
        <w:spacing w:line="500" w:lineRule="exact"/>
        <w:ind w:firstLine="474" w:firstLineChars="200"/>
        <w:jc w:val="both"/>
        <w:rPr>
          <w:rFonts w:ascii="Times New Roman" w:hAnsi="Times New Roman" w:cs="Times New Roman" w:eastAsiaTheme="minorEastAsia"/>
          <w:bCs/>
          <w:color w:val="auto"/>
          <w:w w:val="99"/>
          <w:szCs w:val="20"/>
          <w:highlight w:val="none"/>
        </w:rPr>
      </w:pPr>
      <w:r>
        <w:rPr>
          <w:rFonts w:hint="eastAsia"/>
          <w:bCs/>
          <w:color w:val="auto"/>
          <w:w w:val="99"/>
          <w:highlight w:val="none"/>
        </w:rPr>
        <w:t>①</w:t>
      </w:r>
      <w:r>
        <w:rPr>
          <w:rFonts w:ascii="Times New Roman" w:hAnsi="Times New Roman" w:cs="Times New Roman" w:eastAsiaTheme="minorEastAsia"/>
          <w:bCs/>
          <w:color w:val="auto"/>
          <w:w w:val="99"/>
          <w:highlight w:val="none"/>
        </w:rPr>
        <w:t>距离衰减公式</w:t>
      </w:r>
    </w:p>
    <w:p>
      <w:pPr>
        <w:widowControl w:val="0"/>
        <w:jc w:val="center"/>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object>
          <v:shape id="_x0000_i1025" o:spt="75" type="#_x0000_t75" style="height:38.05pt;width:116.85pt;" o:ole="t" filled="f" o:preferrelative="t" stroked="f" coordsize="21600,21600">
            <v:path/>
            <v:fill on="f" focussize="0,0"/>
            <v:stroke on="f" joinstyle="miter"/>
            <v:imagedata r:id="rId34" croptop="175f" o:title=""/>
            <o:lock v:ext="edit" aspectratio="t"/>
            <w10:wrap type="none"/>
            <w10:anchorlock/>
          </v:shape>
          <o:OLEObject Type="Embed" ProgID="Equation.3" ShapeID="_x0000_i1025" DrawAspect="Content" ObjectID="_1468075725" r:id="rId33">
            <o:LockedField>false</o:LockedField>
          </o:OLEObject>
        </w:objec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式中：L</w:t>
      </w:r>
      <w:r>
        <w:rPr>
          <w:rFonts w:ascii="Times New Roman" w:hAnsi="Times New Roman" w:cs="Times New Roman" w:eastAsiaTheme="minorEastAsia"/>
          <w:color w:val="auto"/>
          <w:w w:val="99"/>
          <w:kern w:val="2"/>
          <w:highlight w:val="none"/>
          <w:vertAlign w:val="subscript"/>
        </w:rPr>
        <w:t xml:space="preserve">PA </w:t>
      </w:r>
      <w:r>
        <w:rPr>
          <w:rFonts w:ascii="Times New Roman" w:hAnsi="Times New Roman" w:cs="Times New Roman" w:eastAsiaTheme="minorEastAsia"/>
          <w:color w:val="auto"/>
          <w:w w:val="99"/>
          <w:kern w:val="2"/>
          <w:highlight w:val="none"/>
        </w:rPr>
        <w:t>-预测点距声源A处的声压级，dB(A)；</w:t>
      </w:r>
    </w:p>
    <w:p>
      <w:pPr>
        <w:widowControl w:val="0"/>
        <w:spacing w:line="500" w:lineRule="exact"/>
        <w:ind w:firstLine="1185" w:firstLineChars="5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L</w:t>
      </w:r>
      <w:r>
        <w:rPr>
          <w:rFonts w:ascii="Times New Roman" w:hAnsi="Times New Roman" w:cs="Times New Roman" w:eastAsiaTheme="minorEastAsia"/>
          <w:color w:val="auto"/>
          <w:w w:val="99"/>
          <w:kern w:val="2"/>
          <w:highlight w:val="none"/>
          <w:vertAlign w:val="subscript"/>
        </w:rPr>
        <w:t xml:space="preserve">PB </w:t>
      </w:r>
      <w:r>
        <w:rPr>
          <w:rFonts w:ascii="Times New Roman" w:hAnsi="Times New Roman" w:cs="Times New Roman" w:eastAsiaTheme="minorEastAsia"/>
          <w:color w:val="auto"/>
          <w:w w:val="99"/>
          <w:kern w:val="2"/>
          <w:highlight w:val="none"/>
        </w:rPr>
        <w:t>-声源B处的声压级，dB(A)；</w:t>
      </w:r>
    </w:p>
    <w:p>
      <w:pPr>
        <w:widowControl w:val="0"/>
        <w:spacing w:line="500" w:lineRule="exact"/>
        <w:ind w:firstLine="1185" w:firstLineChars="5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r</w:t>
      </w:r>
      <w:r>
        <w:rPr>
          <w:rFonts w:ascii="Times New Roman" w:hAnsi="Times New Roman" w:cs="Times New Roman" w:eastAsiaTheme="minorEastAsia"/>
          <w:color w:val="auto"/>
          <w:w w:val="99"/>
          <w:kern w:val="2"/>
          <w:highlight w:val="none"/>
          <w:vertAlign w:val="subscript"/>
        </w:rPr>
        <w:t>a</w:t>
      </w:r>
      <w:r>
        <w:rPr>
          <w:rFonts w:ascii="Times New Roman" w:hAnsi="Times New Roman" w:cs="Times New Roman" w:eastAsiaTheme="minorEastAsia"/>
          <w:color w:val="auto"/>
          <w:w w:val="99"/>
          <w:kern w:val="2"/>
          <w:highlight w:val="none"/>
        </w:rPr>
        <w:t>-预测点距声源A处的距离，m；</w:t>
      </w:r>
    </w:p>
    <w:p>
      <w:pPr>
        <w:widowControl w:val="0"/>
        <w:spacing w:line="500" w:lineRule="exact"/>
        <w:ind w:firstLine="1185" w:firstLineChars="5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r</w:t>
      </w:r>
      <w:r>
        <w:rPr>
          <w:rFonts w:ascii="Times New Roman" w:hAnsi="Times New Roman" w:cs="Times New Roman" w:eastAsiaTheme="minorEastAsia"/>
          <w:color w:val="auto"/>
          <w:w w:val="99"/>
          <w:kern w:val="2"/>
          <w:highlight w:val="none"/>
          <w:vertAlign w:val="subscript"/>
        </w:rPr>
        <w:t>b</w:t>
      </w:r>
      <w:r>
        <w:rPr>
          <w:rFonts w:ascii="Times New Roman" w:hAnsi="Times New Roman" w:cs="Times New Roman" w:eastAsiaTheme="minorEastAsia"/>
          <w:color w:val="auto"/>
          <w:w w:val="99"/>
          <w:kern w:val="2"/>
          <w:highlight w:val="none"/>
        </w:rPr>
        <w:t>-测点距声源B处的距离，m；</w:t>
      </w:r>
    </w:p>
    <w:p>
      <w:pPr>
        <w:widowControl w:val="0"/>
        <w:spacing w:line="500" w:lineRule="exact"/>
        <w:ind w:firstLine="1185" w:firstLineChars="5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A</w:t>
      </w:r>
      <w:r>
        <w:rPr>
          <w:rFonts w:ascii="Times New Roman" w:hAnsi="Times New Roman" w:cs="Times New Roman" w:eastAsiaTheme="minorEastAsia"/>
          <w:color w:val="auto"/>
          <w:w w:val="99"/>
          <w:kern w:val="2"/>
          <w:highlight w:val="none"/>
          <w:vertAlign w:val="subscript"/>
        </w:rPr>
        <w:t>e</w:t>
      </w:r>
      <w:r>
        <w:rPr>
          <w:rFonts w:ascii="Times New Roman" w:hAnsi="Times New Roman" w:cs="Times New Roman" w:eastAsiaTheme="minorEastAsia"/>
          <w:color w:val="auto"/>
          <w:w w:val="99"/>
          <w:kern w:val="2"/>
          <w:highlight w:val="none"/>
        </w:rPr>
        <w:t>-环境衰减值，dB(A)。</w:t>
      </w:r>
    </w:p>
    <w:p>
      <w:pPr>
        <w:widowControl w:val="0"/>
        <w:spacing w:line="500" w:lineRule="exact"/>
        <w:ind w:firstLine="1185" w:firstLineChars="5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A</w:t>
      </w:r>
      <w:r>
        <w:rPr>
          <w:rFonts w:ascii="Times New Roman" w:hAnsi="Times New Roman" w:cs="Times New Roman" w:eastAsiaTheme="minorEastAsia"/>
          <w:color w:val="auto"/>
          <w:w w:val="99"/>
          <w:kern w:val="2"/>
          <w:highlight w:val="none"/>
          <w:vertAlign w:val="subscript"/>
        </w:rPr>
        <w:t>e</w:t>
      </w:r>
      <w:r>
        <w:rPr>
          <w:rFonts w:ascii="Times New Roman" w:hAnsi="Times New Roman" w:cs="Times New Roman" w:eastAsiaTheme="minorEastAsia"/>
          <w:color w:val="auto"/>
          <w:w w:val="99"/>
          <w:kern w:val="2"/>
          <w:highlight w:val="none"/>
        </w:rPr>
        <w:t>取值受地面吸收、空气温度、物体阻挡的屏蔽等环境因素影响。</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hint="eastAsia"/>
          <w:color w:val="auto"/>
          <w:w w:val="99"/>
          <w:kern w:val="2"/>
          <w:highlight w:val="none"/>
        </w:rPr>
        <w:t>②</w:t>
      </w:r>
      <w:r>
        <w:rPr>
          <w:rFonts w:ascii="Times New Roman" w:hAnsi="Times New Roman" w:cs="Times New Roman" w:eastAsiaTheme="minorEastAsia"/>
          <w:color w:val="auto"/>
          <w:w w:val="99"/>
          <w:kern w:val="2"/>
          <w:highlight w:val="none"/>
        </w:rPr>
        <w:t>多声源理论叠加公式</w:t>
      </w:r>
    </w:p>
    <w:p>
      <w:pPr>
        <w:widowControl w:val="0"/>
        <w:spacing w:line="360" w:lineRule="auto"/>
        <w:ind w:firstLine="482"/>
        <w:jc w:val="center"/>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object>
          <v:shape id="_x0000_i1026" o:spt="75" type="#_x0000_t75" style="height:38.05pt;width:99.85pt;" o:ole="t" filled="f" o:preferrelative="t" stroked="f" coordsize="21600,21600">
            <v:path/>
            <v:fill on="f" focussize="0,0"/>
            <v:stroke on="f" joinstyle="miter"/>
            <v:imagedata r:id="rId36" o:title=""/>
            <o:lock v:ext="edit" aspectratio="t"/>
            <w10:wrap type="none"/>
            <w10:anchorlock/>
          </v:shape>
          <o:OLEObject Type="Embed" ProgID="Equation.3" ShapeID="_x0000_i1026" DrawAspect="Content" ObjectID="_1468075726" r:id="rId35">
            <o:LockedField>false</o:LockedField>
          </o:OLEObject>
        </w:object>
      </w:r>
    </w:p>
    <w:p>
      <w:pPr>
        <w:widowControl w:val="0"/>
        <w:spacing w:line="500" w:lineRule="exact"/>
        <w:ind w:firstLine="482"/>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式中：  L</w:t>
      </w:r>
      <w:r>
        <w:rPr>
          <w:rFonts w:ascii="Times New Roman" w:hAnsi="Times New Roman" w:cs="Times New Roman" w:eastAsiaTheme="minorEastAsia"/>
          <w:color w:val="auto"/>
          <w:w w:val="99"/>
          <w:kern w:val="2"/>
          <w:highlight w:val="none"/>
          <w:vertAlign w:val="subscript"/>
        </w:rPr>
        <w:t>P</w:t>
      </w:r>
      <w:r>
        <w:rPr>
          <w:rFonts w:ascii="Times New Roman" w:hAnsi="Times New Roman" w:cs="Times New Roman" w:eastAsiaTheme="minorEastAsia"/>
          <w:color w:val="auto"/>
          <w:w w:val="99"/>
          <w:kern w:val="2"/>
          <w:highlight w:val="none"/>
        </w:rPr>
        <w:t xml:space="preserve"> -n个声源叠加后的总声源级，dB(A)；</w:t>
      </w:r>
    </w:p>
    <w:p>
      <w:pPr>
        <w:widowControl w:val="0"/>
        <w:spacing w:line="500" w:lineRule="exact"/>
        <w:ind w:firstLine="1422" w:firstLineChars="6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L</w:t>
      </w:r>
      <w:r>
        <w:rPr>
          <w:rFonts w:ascii="Times New Roman" w:hAnsi="Times New Roman" w:cs="Times New Roman" w:eastAsiaTheme="minorEastAsia"/>
          <w:color w:val="auto"/>
          <w:w w:val="99"/>
          <w:kern w:val="2"/>
          <w:highlight w:val="none"/>
          <w:vertAlign w:val="subscript"/>
        </w:rPr>
        <w:t>i</w:t>
      </w:r>
      <w:r>
        <w:rPr>
          <w:rFonts w:ascii="Times New Roman" w:hAnsi="Times New Roman" w:cs="Times New Roman" w:eastAsiaTheme="minorEastAsia"/>
          <w:color w:val="auto"/>
          <w:w w:val="99"/>
          <w:kern w:val="2"/>
          <w:highlight w:val="none"/>
        </w:rPr>
        <w:t xml:space="preserve"> -第个声源对某点的声压级，dB(A)；</w:t>
      </w:r>
    </w:p>
    <w:p>
      <w:pPr>
        <w:widowControl w:val="0"/>
        <w:spacing w:line="500" w:lineRule="exact"/>
        <w:ind w:firstLine="1422" w:firstLineChars="6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n-声源个数。</w:t>
      </w:r>
    </w:p>
    <w:p>
      <w:pPr>
        <w:widowControl w:val="0"/>
        <w:spacing w:line="500" w:lineRule="exact"/>
        <w:ind w:firstLine="482"/>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对于多台施工机械对某个预测点的影响，应进行声级迭加。</w:t>
      </w:r>
    </w:p>
    <w:p>
      <w:pPr>
        <w:widowControl w:val="0"/>
        <w:spacing w:line="440" w:lineRule="exact"/>
        <w:ind w:firstLine="474" w:firstLineChars="200"/>
        <w:rPr>
          <w:rFonts w:ascii="Times New Roman" w:hAnsi="Times New Roman" w:cs="Times New Roman" w:eastAsiaTheme="minorEastAsia"/>
          <w:bCs/>
          <w:color w:val="auto"/>
          <w:w w:val="99"/>
          <w:kern w:val="2"/>
          <w:highlight w:val="none"/>
        </w:rPr>
      </w:pPr>
      <w:r>
        <w:rPr>
          <w:rFonts w:ascii="Times New Roman" w:hAnsi="Times New Roman" w:cs="Times New Roman" w:eastAsiaTheme="minorEastAsia"/>
          <w:bCs/>
          <w:color w:val="auto"/>
          <w:w w:val="99"/>
          <w:kern w:val="2"/>
          <w:highlight w:val="none"/>
        </w:rPr>
        <w:t>（2）预测结果</w:t>
      </w:r>
    </w:p>
    <w:p>
      <w:pPr>
        <w:widowControl w:val="0"/>
        <w:spacing w:line="44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本工程施工机械噪声预测结果见下表。</w:t>
      </w:r>
    </w:p>
    <w:p>
      <w:pPr>
        <w:widowControl w:val="0"/>
        <w:spacing w:line="440" w:lineRule="exact"/>
        <w:ind w:firstLine="476" w:firstLineChars="200"/>
        <w:jc w:val="both"/>
        <w:rPr>
          <w:rFonts w:ascii="Times New Roman" w:hAnsi="Times New Roman" w:cs="Times New Roman" w:eastAsiaTheme="minorEastAsia"/>
          <w:b/>
          <w:bCs w:val="0"/>
          <w:color w:val="auto"/>
          <w:w w:val="99"/>
          <w:kern w:val="2"/>
          <w:highlight w:val="none"/>
        </w:rPr>
      </w:pPr>
      <w:r>
        <w:rPr>
          <w:rFonts w:ascii="Times New Roman" w:hAnsi="Times New Roman" w:cs="Times New Roman" w:eastAsiaTheme="minorEastAsia"/>
          <w:b/>
          <w:bCs w:val="0"/>
          <w:color w:val="auto"/>
          <w:w w:val="99"/>
          <w:kern w:val="2"/>
          <w:highlight w:val="none"/>
        </w:rPr>
        <w:t>表5.2-1    施工期施工机械噪声统计表    单位：dB(A)</w:t>
      </w:r>
    </w:p>
    <w:tbl>
      <w:tblPr>
        <w:tblStyle w:val="8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366"/>
        <w:gridCol w:w="1523"/>
        <w:gridCol w:w="1285"/>
        <w:gridCol w:w="1337"/>
        <w:gridCol w:w="1395"/>
        <w:gridCol w:w="138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tblHeader/>
          <w:jc w:val="center"/>
        </w:trPr>
        <w:tc>
          <w:tcPr>
            <w:tcW w:w="1274" w:type="pct"/>
            <w:vMerge w:val="restar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机械名称</w:t>
            </w:r>
          </w:p>
        </w:tc>
        <w:tc>
          <w:tcPr>
            <w:tcW w:w="3726" w:type="pct"/>
            <w:gridSpan w:val="5"/>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离施工点距离不同处的噪声值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tblHeader/>
          <w:jc w:val="center"/>
        </w:trPr>
        <w:tc>
          <w:tcPr>
            <w:tcW w:w="1274" w:type="pct"/>
            <w:vMerge w:val="continue"/>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p>
        </w:tc>
        <w:tc>
          <w:tcPr>
            <w:tcW w:w="8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10m</w:t>
            </w:r>
          </w:p>
        </w:tc>
        <w:tc>
          <w:tcPr>
            <w:tcW w:w="692"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40m</w:t>
            </w:r>
          </w:p>
        </w:tc>
        <w:tc>
          <w:tcPr>
            <w:tcW w:w="7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50m</w:t>
            </w:r>
          </w:p>
        </w:tc>
        <w:tc>
          <w:tcPr>
            <w:tcW w:w="751"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100m</w:t>
            </w:r>
          </w:p>
        </w:tc>
        <w:tc>
          <w:tcPr>
            <w:tcW w:w="74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150m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274"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钻机</w:t>
            </w:r>
          </w:p>
        </w:tc>
        <w:tc>
          <w:tcPr>
            <w:tcW w:w="8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65.0</w:t>
            </w:r>
          </w:p>
        </w:tc>
        <w:tc>
          <w:tcPr>
            <w:tcW w:w="692"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53.0</w:t>
            </w:r>
          </w:p>
        </w:tc>
        <w:tc>
          <w:tcPr>
            <w:tcW w:w="7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51.0</w:t>
            </w:r>
          </w:p>
        </w:tc>
        <w:tc>
          <w:tcPr>
            <w:tcW w:w="751"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45</w:t>
            </w:r>
          </w:p>
        </w:tc>
        <w:tc>
          <w:tcPr>
            <w:tcW w:w="74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274"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运输车</w:t>
            </w:r>
          </w:p>
        </w:tc>
        <w:tc>
          <w:tcPr>
            <w:tcW w:w="8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65.0</w:t>
            </w:r>
          </w:p>
        </w:tc>
        <w:tc>
          <w:tcPr>
            <w:tcW w:w="692"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53.0</w:t>
            </w:r>
          </w:p>
        </w:tc>
        <w:tc>
          <w:tcPr>
            <w:tcW w:w="7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51.0</w:t>
            </w:r>
          </w:p>
        </w:tc>
        <w:tc>
          <w:tcPr>
            <w:tcW w:w="751"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45</w:t>
            </w:r>
          </w:p>
        </w:tc>
        <w:tc>
          <w:tcPr>
            <w:tcW w:w="74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274"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推土机</w:t>
            </w:r>
          </w:p>
        </w:tc>
        <w:tc>
          <w:tcPr>
            <w:tcW w:w="8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65.0</w:t>
            </w:r>
          </w:p>
        </w:tc>
        <w:tc>
          <w:tcPr>
            <w:tcW w:w="692"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53.0</w:t>
            </w:r>
          </w:p>
        </w:tc>
        <w:tc>
          <w:tcPr>
            <w:tcW w:w="7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51.0</w:t>
            </w:r>
          </w:p>
        </w:tc>
        <w:tc>
          <w:tcPr>
            <w:tcW w:w="751"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45</w:t>
            </w:r>
          </w:p>
        </w:tc>
        <w:tc>
          <w:tcPr>
            <w:tcW w:w="74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274"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挖掘机</w:t>
            </w:r>
          </w:p>
        </w:tc>
        <w:tc>
          <w:tcPr>
            <w:tcW w:w="8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65.0</w:t>
            </w:r>
          </w:p>
        </w:tc>
        <w:tc>
          <w:tcPr>
            <w:tcW w:w="692"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53.0</w:t>
            </w:r>
          </w:p>
        </w:tc>
        <w:tc>
          <w:tcPr>
            <w:tcW w:w="7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51.0</w:t>
            </w:r>
          </w:p>
        </w:tc>
        <w:tc>
          <w:tcPr>
            <w:tcW w:w="751"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45</w:t>
            </w:r>
          </w:p>
        </w:tc>
        <w:tc>
          <w:tcPr>
            <w:tcW w:w="74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274"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泥浆泵</w:t>
            </w:r>
          </w:p>
        </w:tc>
        <w:tc>
          <w:tcPr>
            <w:tcW w:w="8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65.0</w:t>
            </w:r>
          </w:p>
        </w:tc>
        <w:tc>
          <w:tcPr>
            <w:tcW w:w="692"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53.0</w:t>
            </w:r>
          </w:p>
        </w:tc>
        <w:tc>
          <w:tcPr>
            <w:tcW w:w="7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51.0</w:t>
            </w:r>
          </w:p>
        </w:tc>
        <w:tc>
          <w:tcPr>
            <w:tcW w:w="751"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45</w:t>
            </w:r>
          </w:p>
        </w:tc>
        <w:tc>
          <w:tcPr>
            <w:tcW w:w="74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274"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空压机</w:t>
            </w:r>
          </w:p>
        </w:tc>
        <w:tc>
          <w:tcPr>
            <w:tcW w:w="8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60.0</w:t>
            </w:r>
          </w:p>
        </w:tc>
        <w:tc>
          <w:tcPr>
            <w:tcW w:w="692"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48.0</w:t>
            </w:r>
          </w:p>
        </w:tc>
        <w:tc>
          <w:tcPr>
            <w:tcW w:w="7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46.0</w:t>
            </w:r>
          </w:p>
        </w:tc>
        <w:tc>
          <w:tcPr>
            <w:tcW w:w="751"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40</w:t>
            </w:r>
          </w:p>
        </w:tc>
        <w:tc>
          <w:tcPr>
            <w:tcW w:w="74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38.5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274"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振动筛</w:t>
            </w:r>
          </w:p>
        </w:tc>
        <w:tc>
          <w:tcPr>
            <w:tcW w:w="8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55.0</w:t>
            </w:r>
          </w:p>
        </w:tc>
        <w:tc>
          <w:tcPr>
            <w:tcW w:w="692"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43.0</w:t>
            </w:r>
          </w:p>
        </w:tc>
        <w:tc>
          <w:tcPr>
            <w:tcW w:w="7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41.0</w:t>
            </w:r>
          </w:p>
        </w:tc>
        <w:tc>
          <w:tcPr>
            <w:tcW w:w="751"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35</w:t>
            </w:r>
          </w:p>
        </w:tc>
        <w:tc>
          <w:tcPr>
            <w:tcW w:w="74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31.5</w:t>
            </w:r>
          </w:p>
        </w:tc>
      </w:tr>
    </w:tbl>
    <w:p>
      <w:pPr>
        <w:widowControl w:val="0"/>
        <w:spacing w:line="440" w:lineRule="exact"/>
        <w:ind w:firstLine="474" w:firstLineChars="200"/>
        <w:jc w:val="both"/>
        <w:rPr>
          <w:rFonts w:ascii="Times New Roman" w:hAnsi="Times New Roman" w:cs="Times New Roman" w:eastAsiaTheme="minorEastAsia"/>
          <w:color w:val="auto"/>
          <w:w w:val="99"/>
          <w:kern w:val="2"/>
          <w:szCs w:val="20"/>
          <w:highlight w:val="none"/>
        </w:rPr>
      </w:pPr>
      <w:r>
        <w:rPr>
          <w:rFonts w:hint="eastAsia" w:ascii="Times New Roman" w:hAnsi="Times New Roman" w:cs="Times New Roman" w:eastAsiaTheme="minorEastAsia"/>
          <w:color w:val="auto"/>
          <w:w w:val="99"/>
          <w:kern w:val="2"/>
          <w:szCs w:val="20"/>
          <w:highlight w:val="none"/>
        </w:rPr>
        <w:t>本项目</w:t>
      </w:r>
      <w:r>
        <w:rPr>
          <w:rFonts w:ascii="Times New Roman" w:hAnsi="Times New Roman" w:cs="Times New Roman" w:eastAsiaTheme="minorEastAsia"/>
          <w:color w:val="auto"/>
          <w:w w:val="99"/>
          <w:kern w:val="2"/>
          <w:szCs w:val="20"/>
          <w:highlight w:val="none"/>
        </w:rPr>
        <w:t>单井</w:t>
      </w:r>
      <w:r>
        <w:rPr>
          <w:rFonts w:hint="eastAsia" w:ascii="Times New Roman" w:hAnsi="Times New Roman" w:cs="Times New Roman" w:eastAsiaTheme="minorEastAsia"/>
          <w:color w:val="auto"/>
          <w:w w:val="99"/>
          <w:kern w:val="2"/>
          <w:szCs w:val="20"/>
          <w:highlight w:val="none"/>
        </w:rPr>
        <w:t>施工场界为80</w:t>
      </w:r>
      <w:r>
        <w:rPr>
          <w:rFonts w:ascii="Times New Roman" w:hAnsi="Times New Roman" w:cs="Times New Roman" w:eastAsiaTheme="minorEastAsia"/>
          <w:color w:val="auto"/>
          <w:w w:val="99"/>
          <w:kern w:val="2"/>
          <w:szCs w:val="20"/>
          <w:highlight w:val="none"/>
        </w:rPr>
        <w:t>m×80m，</w:t>
      </w:r>
      <w:r>
        <w:rPr>
          <w:rFonts w:hint="eastAsia" w:ascii="Times New Roman" w:hAnsi="Times New Roman" w:cs="Times New Roman" w:eastAsiaTheme="minorEastAsia"/>
          <w:color w:val="auto"/>
          <w:w w:val="99"/>
          <w:kern w:val="2"/>
          <w:szCs w:val="20"/>
          <w:highlight w:val="none"/>
        </w:rPr>
        <w:t>施工期场界预测结果</w:t>
      </w:r>
      <w:r>
        <w:rPr>
          <w:rFonts w:ascii="Times New Roman" w:hAnsi="Times New Roman" w:cs="Times New Roman" w:eastAsiaTheme="minorEastAsia"/>
          <w:color w:val="auto"/>
          <w:w w:val="99"/>
          <w:kern w:val="2"/>
          <w:szCs w:val="20"/>
          <w:highlight w:val="none"/>
        </w:rPr>
        <w:t>见表</w:t>
      </w:r>
      <w:r>
        <w:rPr>
          <w:rFonts w:hint="eastAsia" w:ascii="Times New Roman" w:hAnsi="Times New Roman" w:cs="Times New Roman" w:eastAsiaTheme="minorEastAsia"/>
          <w:color w:val="auto"/>
          <w:w w:val="99"/>
          <w:kern w:val="2"/>
          <w:szCs w:val="20"/>
          <w:highlight w:val="none"/>
        </w:rPr>
        <w:t>5.2-2。</w:t>
      </w:r>
    </w:p>
    <w:p>
      <w:pPr>
        <w:widowControl w:val="0"/>
        <w:spacing w:line="440" w:lineRule="exact"/>
        <w:ind w:firstLine="476" w:firstLineChars="200"/>
        <w:jc w:val="both"/>
        <w:rPr>
          <w:rFonts w:ascii="Times New Roman" w:hAnsi="Times New Roman" w:cs="Times New Roman" w:eastAsiaTheme="minorEastAsia"/>
          <w:b/>
          <w:color w:val="auto"/>
          <w:w w:val="99"/>
          <w:kern w:val="2"/>
          <w:highlight w:val="none"/>
        </w:rPr>
      </w:pPr>
      <w:r>
        <w:rPr>
          <w:rFonts w:ascii="Times New Roman" w:hAnsi="Times New Roman" w:cs="Times New Roman" w:eastAsiaTheme="minorEastAsia"/>
          <w:b/>
          <w:color w:val="auto"/>
          <w:w w:val="99"/>
          <w:kern w:val="2"/>
          <w:highlight w:val="none"/>
        </w:rPr>
        <w:t>表5.2-2    施工期</w:t>
      </w:r>
      <w:r>
        <w:rPr>
          <w:rFonts w:hint="eastAsia" w:ascii="Times New Roman" w:hAnsi="Times New Roman" w:cs="Times New Roman" w:eastAsiaTheme="minorEastAsia"/>
          <w:b/>
          <w:color w:val="auto"/>
          <w:w w:val="99"/>
          <w:kern w:val="2"/>
          <w:highlight w:val="none"/>
        </w:rPr>
        <w:t>井场</w:t>
      </w:r>
      <w:r>
        <w:rPr>
          <w:rFonts w:ascii="Times New Roman" w:hAnsi="Times New Roman" w:cs="Times New Roman" w:eastAsiaTheme="minorEastAsia"/>
          <w:b/>
          <w:color w:val="auto"/>
          <w:w w:val="99"/>
          <w:kern w:val="2"/>
          <w:highlight w:val="none"/>
        </w:rPr>
        <w:t>场界噪声</w:t>
      </w:r>
      <w:r>
        <w:rPr>
          <w:rFonts w:hint="eastAsia" w:ascii="Times New Roman" w:hAnsi="Times New Roman" w:cs="Times New Roman" w:eastAsiaTheme="minorEastAsia"/>
          <w:b/>
          <w:color w:val="auto"/>
          <w:w w:val="99"/>
          <w:kern w:val="2"/>
          <w:highlight w:val="none"/>
        </w:rPr>
        <w:t>预测结果</w:t>
      </w:r>
      <w:r>
        <w:rPr>
          <w:rFonts w:ascii="Times New Roman" w:hAnsi="Times New Roman" w:cs="Times New Roman" w:eastAsiaTheme="minorEastAsia"/>
          <w:b/>
          <w:color w:val="auto"/>
          <w:w w:val="99"/>
          <w:kern w:val="2"/>
          <w:highlight w:val="none"/>
        </w:rPr>
        <w:t xml:space="preserve">    单位：dB(A)</w:t>
      </w:r>
    </w:p>
    <w:tbl>
      <w:tblPr>
        <w:tblStyle w:val="8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857"/>
        <w:gridCol w:w="1857"/>
        <w:gridCol w:w="1857"/>
        <w:gridCol w:w="1857"/>
        <w:gridCol w:w="185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blHeader/>
          <w:jc w:val="center"/>
        </w:trPr>
        <w:tc>
          <w:tcPr>
            <w:tcW w:w="100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预测井场</w:t>
            </w:r>
          </w:p>
        </w:tc>
        <w:tc>
          <w:tcPr>
            <w:tcW w:w="1000" w:type="pct"/>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东场界</w:t>
            </w:r>
          </w:p>
        </w:tc>
        <w:tc>
          <w:tcPr>
            <w:tcW w:w="1000" w:type="pct"/>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南场界</w:t>
            </w:r>
          </w:p>
        </w:tc>
        <w:tc>
          <w:tcPr>
            <w:tcW w:w="1000" w:type="pct"/>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西场</w:t>
            </w:r>
            <w:r>
              <w:rPr>
                <w:rFonts w:ascii="Times New Roman" w:hAnsi="Times New Roman" w:cs="Times New Roman" w:eastAsiaTheme="minorEastAsia"/>
                <w:color w:val="auto"/>
                <w:w w:val="99"/>
                <w:kern w:val="2"/>
                <w:sz w:val="21"/>
                <w:szCs w:val="21"/>
                <w:highlight w:val="none"/>
              </w:rPr>
              <w:t>界</w:t>
            </w:r>
          </w:p>
        </w:tc>
        <w:tc>
          <w:tcPr>
            <w:tcW w:w="1000" w:type="pct"/>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北场界</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00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井场</w:t>
            </w:r>
          </w:p>
        </w:tc>
        <w:tc>
          <w:tcPr>
            <w:tcW w:w="1000" w:type="pct"/>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53</w:t>
            </w:r>
          </w:p>
        </w:tc>
        <w:tc>
          <w:tcPr>
            <w:tcW w:w="1000" w:type="pct"/>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51.6</w:t>
            </w:r>
          </w:p>
        </w:tc>
        <w:tc>
          <w:tcPr>
            <w:tcW w:w="1000" w:type="pct"/>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53</w:t>
            </w:r>
          </w:p>
        </w:tc>
        <w:tc>
          <w:tcPr>
            <w:tcW w:w="1000" w:type="pct"/>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51.6</w:t>
            </w:r>
          </w:p>
        </w:tc>
      </w:tr>
    </w:tbl>
    <w:p>
      <w:pPr>
        <w:widowControl w:val="0"/>
        <w:spacing w:line="44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由</w:t>
      </w:r>
      <w:r>
        <w:rPr>
          <w:rFonts w:hint="eastAsia" w:ascii="Times New Roman" w:hAnsi="Times New Roman" w:cs="Times New Roman" w:eastAsiaTheme="minorEastAsia"/>
          <w:color w:val="auto"/>
          <w:w w:val="99"/>
          <w:kern w:val="2"/>
          <w:szCs w:val="20"/>
          <w:highlight w:val="none"/>
        </w:rPr>
        <w:t>上表</w:t>
      </w:r>
      <w:r>
        <w:rPr>
          <w:rFonts w:ascii="Times New Roman" w:hAnsi="Times New Roman" w:cs="Times New Roman" w:eastAsiaTheme="minorEastAsia"/>
          <w:color w:val="auto"/>
          <w:w w:val="99"/>
          <w:kern w:val="2"/>
          <w:szCs w:val="20"/>
          <w:highlight w:val="none"/>
        </w:rPr>
        <w:t>可以看出，主要施工机械在40m以外均能够达到《建筑施工场界环境噪声排放标准》（GB 12523-2011）中昼间限值不超过70dB（A）</w:t>
      </w:r>
      <w:r>
        <w:rPr>
          <w:rFonts w:hint="eastAsia" w:ascii="Times New Roman" w:hAnsi="Times New Roman" w:cs="Times New Roman" w:eastAsiaTheme="minorEastAsia"/>
          <w:color w:val="auto"/>
          <w:w w:val="99"/>
          <w:kern w:val="2"/>
          <w:szCs w:val="20"/>
          <w:highlight w:val="none"/>
        </w:rPr>
        <w:t>、</w:t>
      </w:r>
      <w:r>
        <w:rPr>
          <w:rFonts w:ascii="Times New Roman" w:hAnsi="Times New Roman" w:cs="Times New Roman" w:eastAsiaTheme="minorEastAsia"/>
          <w:color w:val="auto"/>
          <w:w w:val="99"/>
          <w:kern w:val="2"/>
          <w:szCs w:val="20"/>
          <w:highlight w:val="none"/>
        </w:rPr>
        <w:t>夜间不超过55dB（A）</w:t>
      </w:r>
      <w:r>
        <w:rPr>
          <w:rFonts w:hint="eastAsia" w:ascii="Times New Roman" w:hAnsi="Times New Roman" w:cs="Times New Roman" w:eastAsiaTheme="minorEastAsia"/>
          <w:color w:val="auto"/>
          <w:w w:val="99"/>
          <w:kern w:val="2"/>
          <w:szCs w:val="20"/>
          <w:highlight w:val="none"/>
        </w:rPr>
        <w:t>要求</w:t>
      </w:r>
      <w:r>
        <w:rPr>
          <w:rFonts w:ascii="Times New Roman" w:hAnsi="Times New Roman" w:cs="Times New Roman" w:eastAsiaTheme="minorEastAsia"/>
          <w:color w:val="auto"/>
          <w:w w:val="99"/>
          <w:kern w:val="2"/>
          <w:szCs w:val="20"/>
          <w:highlight w:val="none"/>
        </w:rPr>
        <w:t>，所以本工程的施工噪声的主要影响区域在40m范围内。本项目最近的目标是</w:t>
      </w:r>
      <w:r>
        <w:rPr>
          <w:rFonts w:hint="eastAsia" w:ascii="Times New Roman" w:hAnsi="Times New Roman" w:cs="Times New Roman" w:eastAsiaTheme="minorEastAsia"/>
          <w:color w:val="auto"/>
          <w:w w:val="99"/>
          <w:kern w:val="2"/>
          <w:szCs w:val="20"/>
          <w:highlight w:val="none"/>
        </w:rPr>
        <w:t>拟钻井源252-134西</w:t>
      </w:r>
      <w:r>
        <w:rPr>
          <w:rFonts w:ascii="Times New Roman" w:hAnsi="Times New Roman" w:cs="Times New Roman" w:eastAsiaTheme="minorEastAsia"/>
          <w:color w:val="auto"/>
          <w:w w:val="99"/>
          <w:kern w:val="2"/>
          <w:szCs w:val="20"/>
          <w:highlight w:val="none"/>
        </w:rPr>
        <w:t>侧</w:t>
      </w:r>
      <w:r>
        <w:rPr>
          <w:rFonts w:hint="eastAsia" w:ascii="Times New Roman" w:hAnsi="Times New Roman" w:cs="Times New Roman" w:eastAsiaTheme="minorEastAsia"/>
          <w:color w:val="auto"/>
          <w:w w:val="99"/>
          <w:kern w:val="2"/>
          <w:szCs w:val="20"/>
          <w:highlight w:val="none"/>
        </w:rPr>
        <w:t>234m</w:t>
      </w:r>
      <w:r>
        <w:rPr>
          <w:rFonts w:ascii="Times New Roman" w:hAnsi="Times New Roman" w:cs="Times New Roman" w:eastAsiaTheme="minorEastAsia"/>
          <w:color w:val="auto"/>
          <w:w w:val="99"/>
          <w:kern w:val="2"/>
          <w:szCs w:val="20"/>
          <w:highlight w:val="none"/>
        </w:rPr>
        <w:t>的</w:t>
      </w:r>
      <w:r>
        <w:rPr>
          <w:rFonts w:hint="eastAsia" w:ascii="Times New Roman" w:hAnsi="Times New Roman" w:cs="Times New Roman" w:eastAsiaTheme="minorEastAsia"/>
          <w:color w:val="auto"/>
          <w:w w:val="99"/>
          <w:kern w:val="2"/>
          <w:szCs w:val="20"/>
          <w:highlight w:val="none"/>
        </w:rPr>
        <w:t>厢房屯</w:t>
      </w:r>
      <w:r>
        <w:rPr>
          <w:rFonts w:ascii="Times New Roman" w:hAnsi="Times New Roman" w:cs="Times New Roman" w:eastAsiaTheme="minorEastAsia"/>
          <w:color w:val="auto"/>
          <w:w w:val="99"/>
          <w:kern w:val="2"/>
          <w:szCs w:val="20"/>
          <w:highlight w:val="none"/>
        </w:rPr>
        <w:t>，井场钻井施工期不会对附近居民区产生影响。</w:t>
      </w:r>
    </w:p>
    <w:p>
      <w:pPr>
        <w:pStyle w:val="5"/>
        <w:keepNext w:val="0"/>
        <w:keepLines w:val="0"/>
        <w:widowControl w:val="0"/>
        <w:rPr>
          <w:rFonts w:ascii="Times New Roman" w:hAnsi="Times New Roman"/>
          <w:b/>
          <w:snapToGrid w:val="0"/>
          <w:color w:val="auto"/>
          <w:w w:val="99"/>
          <w:highlight w:val="none"/>
        </w:rPr>
      </w:pPr>
      <w:bookmarkStart w:id="927" w:name="_Toc80105220"/>
      <w:r>
        <w:rPr>
          <w:rFonts w:ascii="Times New Roman" w:hAnsi="Times New Roman"/>
          <w:b/>
          <w:snapToGrid w:val="0"/>
          <w:color w:val="auto"/>
          <w:w w:val="99"/>
          <w:highlight w:val="none"/>
        </w:rPr>
        <w:t>5.3固体废物环境影响预测分析</w:t>
      </w:r>
      <w:bookmarkEnd w:id="927"/>
    </w:p>
    <w:p>
      <w:pPr>
        <w:pStyle w:val="7"/>
        <w:keepNext w:val="0"/>
        <w:keepLines w:val="0"/>
        <w:widowControl w:val="0"/>
        <w:jc w:val="both"/>
        <w:rPr>
          <w:b/>
          <w:color w:val="auto"/>
          <w:w w:val="99"/>
          <w:kern w:val="2"/>
          <w:sz w:val="24"/>
          <w:szCs w:val="24"/>
          <w:highlight w:val="none"/>
        </w:rPr>
      </w:pPr>
      <w:bookmarkStart w:id="928" w:name="_Toc61597290"/>
      <w:bookmarkStart w:id="929" w:name="_Toc69690879"/>
      <w:bookmarkStart w:id="930" w:name="_Toc77667365"/>
      <w:bookmarkStart w:id="931" w:name="_Toc74812152"/>
      <w:bookmarkStart w:id="932" w:name="_Toc67523661"/>
      <w:bookmarkStart w:id="933" w:name="_Toc71372008"/>
      <w:bookmarkStart w:id="934" w:name="_Toc74812391"/>
      <w:bookmarkStart w:id="935" w:name="_Toc80105221"/>
      <w:r>
        <w:rPr>
          <w:b/>
          <w:color w:val="auto"/>
          <w:w w:val="99"/>
          <w:kern w:val="2"/>
          <w:sz w:val="24"/>
          <w:szCs w:val="24"/>
          <w:highlight w:val="none"/>
        </w:rPr>
        <w:t>5.3.1废钻井液、钻井岩屑、废射孔液</w:t>
      </w:r>
      <w:bookmarkEnd w:id="928"/>
      <w:bookmarkEnd w:id="929"/>
      <w:bookmarkEnd w:id="930"/>
      <w:bookmarkEnd w:id="931"/>
      <w:bookmarkEnd w:id="932"/>
      <w:bookmarkEnd w:id="933"/>
      <w:bookmarkEnd w:id="934"/>
      <w:bookmarkEnd w:id="935"/>
    </w:p>
    <w:p>
      <w:pPr>
        <w:widowControl w:val="0"/>
        <w:spacing w:line="500" w:lineRule="exact"/>
        <w:ind w:firstLine="48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根据《大庆油田开发建设对环境影响研究》课题研究成果，废弃泥浆如果不处理，长期以自然状态积存于井场，对土壤中有机物含量影响不大，但会对土壤理化性质如pH、总碱度、总盐产生一定影响。本项目在钻井过程中在每口井场设置一个100m</w:t>
      </w:r>
      <w:r>
        <w:rPr>
          <w:rFonts w:ascii="Times New Roman" w:hAnsi="Times New Roman" w:cs="Times New Roman" w:eastAsiaTheme="minorEastAsia"/>
          <w:color w:val="auto"/>
          <w:w w:val="99"/>
          <w:kern w:val="2"/>
          <w:highlight w:val="none"/>
          <w:vertAlign w:val="superscript"/>
        </w:rPr>
        <w:t>3</w:t>
      </w:r>
      <w:r>
        <w:rPr>
          <w:rFonts w:ascii="Times New Roman" w:hAnsi="Times New Roman" w:cs="Times New Roman" w:eastAsiaTheme="minorEastAsia"/>
          <w:color w:val="auto"/>
          <w:w w:val="99"/>
          <w:kern w:val="2"/>
          <w:highlight w:val="none"/>
        </w:rPr>
        <w:t>钢制泥浆槽，废钻井液与钻井废水、钻井岩屑、废射孔液等废弃物暂存于井场泥浆槽中形成废弃泥浆，</w:t>
      </w:r>
      <w:r>
        <w:rPr>
          <w:rFonts w:ascii="Times New Roman" w:hAnsi="Times New Roman" w:cs="Times New Roman" w:eastAsiaTheme="minorEastAsia"/>
          <w:color w:val="auto"/>
          <w:w w:val="99"/>
          <w:highlight w:val="none"/>
        </w:rPr>
        <w:t>由罐车拉运至</w:t>
      </w:r>
      <w:r>
        <w:rPr>
          <w:rFonts w:hint="eastAsia" w:ascii="Times New Roman" w:hAnsi="Times New Roman" w:cs="Times New Roman" w:eastAsiaTheme="minorEastAsia"/>
          <w:color w:val="auto"/>
          <w:w w:val="99"/>
          <w:highlight w:val="none"/>
        </w:rPr>
        <w:t>大庆油田昆仑集团有限公司环保分公司</w:t>
      </w:r>
      <w:r>
        <w:rPr>
          <w:rFonts w:ascii="Times New Roman" w:hAnsi="Times New Roman" w:cs="Times New Roman" w:eastAsiaTheme="minorEastAsia"/>
          <w:color w:val="auto"/>
          <w:w w:val="99"/>
          <w:highlight w:val="none"/>
        </w:rPr>
        <w:t>处理</w:t>
      </w:r>
      <w:r>
        <w:rPr>
          <w:rFonts w:ascii="Times New Roman" w:hAnsi="Times New Roman" w:cs="Times New Roman" w:eastAsiaTheme="minorEastAsia"/>
          <w:color w:val="auto"/>
          <w:w w:val="99"/>
          <w:kern w:val="2"/>
          <w:highlight w:val="none"/>
        </w:rPr>
        <w:t>。</w:t>
      </w:r>
    </w:p>
    <w:p>
      <w:pPr>
        <w:widowControl w:val="0"/>
        <w:spacing w:line="500" w:lineRule="exact"/>
        <w:ind w:firstLine="48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highlight w:val="none"/>
        </w:rPr>
        <w:t>本项目单井</w:t>
      </w:r>
      <w:r>
        <w:rPr>
          <w:rFonts w:ascii="Times New Roman" w:hAnsi="Times New Roman" w:cs="Times New Roman" w:eastAsiaTheme="minorEastAsia"/>
          <w:color w:val="auto"/>
          <w:w w:val="99"/>
          <w:kern w:val="2"/>
          <w:szCs w:val="20"/>
          <w:highlight w:val="none"/>
        </w:rPr>
        <w:t>钻井废水产生量为</w:t>
      </w:r>
      <w:r>
        <w:rPr>
          <w:rFonts w:hint="eastAsia" w:ascii="Times New Roman" w:hAnsi="Times New Roman" w:cs="Times New Roman" w:eastAsiaTheme="minorEastAsia"/>
          <w:color w:val="auto"/>
          <w:w w:val="99"/>
          <w:kern w:val="2"/>
          <w:szCs w:val="20"/>
          <w:highlight w:val="none"/>
        </w:rPr>
        <w:t>1</w:t>
      </w:r>
      <w:r>
        <w:rPr>
          <w:rFonts w:hint="eastAsia" w:ascii="Times New Roman" w:hAnsi="Times New Roman" w:cs="Times New Roman" w:eastAsiaTheme="minorEastAsia"/>
          <w:color w:val="auto"/>
          <w:w w:val="99"/>
          <w:kern w:val="2"/>
          <w:szCs w:val="20"/>
          <w:highlight w:val="none"/>
          <w:lang w:val="en-US" w:eastAsia="zh-CN"/>
        </w:rPr>
        <w:t>0</w:t>
      </w:r>
      <w:r>
        <w:rPr>
          <w:rFonts w:ascii="Times New Roman" w:hAnsi="Times New Roman" w:cs="Times New Roman" w:eastAsiaTheme="minorEastAsia"/>
          <w:color w:val="auto"/>
          <w:w w:val="99"/>
          <w:kern w:val="2"/>
          <w:szCs w:val="20"/>
          <w:highlight w:val="none"/>
        </w:rPr>
        <w:t>m</w:t>
      </w:r>
      <w:r>
        <w:rPr>
          <w:rFonts w:ascii="Times New Roman" w:hAnsi="Times New Roman" w:cs="Times New Roman" w:eastAsiaTheme="minorEastAsia"/>
          <w:color w:val="auto"/>
          <w:w w:val="99"/>
          <w:kern w:val="2"/>
          <w:szCs w:val="20"/>
          <w:highlight w:val="none"/>
          <w:vertAlign w:val="superscript"/>
        </w:rPr>
        <w:t>3</w:t>
      </w:r>
      <w:r>
        <w:rPr>
          <w:rFonts w:hint="eastAsia" w:ascii="Times New Roman" w:hAnsi="Times New Roman" w:cs="Times New Roman" w:eastAsiaTheme="minorEastAsia"/>
          <w:color w:val="auto"/>
          <w:w w:val="99"/>
          <w:kern w:val="2"/>
          <w:szCs w:val="20"/>
          <w:highlight w:val="none"/>
        </w:rPr>
        <w:t>/</w:t>
      </w:r>
      <w:r>
        <w:rPr>
          <w:rFonts w:ascii="Times New Roman" w:hAnsi="Times New Roman" w:cs="Times New Roman" w:eastAsiaTheme="minorEastAsia"/>
          <w:color w:val="auto"/>
          <w:w w:val="99"/>
          <w:kern w:val="2"/>
          <w:szCs w:val="20"/>
          <w:highlight w:val="none"/>
        </w:rPr>
        <w:t>d，废钻井液</w:t>
      </w:r>
      <w:r>
        <w:rPr>
          <w:rFonts w:hint="eastAsia" w:ascii="Times New Roman" w:hAnsi="Times New Roman" w:cs="Times New Roman" w:eastAsiaTheme="minorEastAsia"/>
          <w:color w:val="auto"/>
          <w:w w:val="99"/>
          <w:kern w:val="2"/>
          <w:szCs w:val="20"/>
          <w:highlight w:val="none"/>
          <w:lang w:val="en-US" w:eastAsia="zh-CN"/>
        </w:rPr>
        <w:t>17.23</w:t>
      </w:r>
      <w:r>
        <w:rPr>
          <w:rFonts w:ascii="Times New Roman" w:hAnsi="Times New Roman" w:cs="Times New Roman" w:eastAsiaTheme="minorEastAsia"/>
          <w:color w:val="auto"/>
          <w:w w:val="99"/>
          <w:kern w:val="2"/>
          <w:szCs w:val="20"/>
          <w:highlight w:val="none"/>
        </w:rPr>
        <w:t>m</w:t>
      </w:r>
      <w:r>
        <w:rPr>
          <w:rFonts w:ascii="Times New Roman" w:hAnsi="Times New Roman" w:cs="Times New Roman" w:eastAsiaTheme="minorEastAsia"/>
          <w:color w:val="auto"/>
          <w:w w:val="99"/>
          <w:kern w:val="2"/>
          <w:szCs w:val="20"/>
          <w:highlight w:val="none"/>
          <w:vertAlign w:val="superscript"/>
        </w:rPr>
        <w:t>3</w:t>
      </w:r>
      <w:r>
        <w:rPr>
          <w:rFonts w:hint="eastAsia" w:ascii="Times New Roman" w:hAnsi="Times New Roman" w:cs="Times New Roman" w:eastAsiaTheme="minorEastAsia"/>
          <w:color w:val="auto"/>
          <w:w w:val="99"/>
          <w:kern w:val="2"/>
          <w:szCs w:val="20"/>
          <w:highlight w:val="none"/>
        </w:rPr>
        <w:t>/</w:t>
      </w:r>
      <w:r>
        <w:rPr>
          <w:rFonts w:ascii="Times New Roman" w:hAnsi="Times New Roman" w:cs="Times New Roman" w:eastAsiaTheme="minorEastAsia"/>
          <w:color w:val="auto"/>
          <w:w w:val="99"/>
          <w:kern w:val="2"/>
          <w:szCs w:val="20"/>
          <w:highlight w:val="none"/>
        </w:rPr>
        <w:t>d，</w:t>
      </w:r>
      <w:r>
        <w:rPr>
          <w:rFonts w:ascii="Times New Roman" w:hAnsi="Times New Roman" w:cs="Times New Roman" w:eastAsiaTheme="minorEastAsia"/>
          <w:color w:val="auto"/>
          <w:w w:val="99"/>
          <w:kern w:val="2"/>
          <w:highlight w:val="none"/>
        </w:rPr>
        <w:t>钻井岩屑</w:t>
      </w:r>
      <w:r>
        <w:rPr>
          <w:rFonts w:hint="eastAsia" w:ascii="Times New Roman" w:hAnsi="Times New Roman" w:cs="Times New Roman" w:eastAsiaTheme="minorEastAsia"/>
          <w:color w:val="auto"/>
          <w:w w:val="99"/>
          <w:kern w:val="2"/>
          <w:szCs w:val="20"/>
          <w:highlight w:val="none"/>
          <w:lang w:val="en-US" w:eastAsia="zh-CN"/>
        </w:rPr>
        <w:t>16.6</w:t>
      </w:r>
      <w:r>
        <w:rPr>
          <w:rFonts w:ascii="Times New Roman" w:hAnsi="Times New Roman" w:cs="Times New Roman" w:eastAsiaTheme="minorEastAsia"/>
          <w:color w:val="auto"/>
          <w:w w:val="99"/>
          <w:kern w:val="2"/>
          <w:szCs w:val="20"/>
          <w:highlight w:val="none"/>
        </w:rPr>
        <w:t>m</w:t>
      </w:r>
      <w:r>
        <w:rPr>
          <w:rFonts w:ascii="Times New Roman" w:hAnsi="Times New Roman" w:cs="Times New Roman" w:eastAsiaTheme="minorEastAsia"/>
          <w:color w:val="auto"/>
          <w:w w:val="99"/>
          <w:kern w:val="2"/>
          <w:szCs w:val="20"/>
          <w:highlight w:val="none"/>
          <w:vertAlign w:val="superscript"/>
        </w:rPr>
        <w:t>3</w:t>
      </w:r>
      <w:r>
        <w:rPr>
          <w:rFonts w:hint="eastAsia" w:ascii="Times New Roman" w:hAnsi="Times New Roman" w:cs="Times New Roman" w:eastAsiaTheme="minorEastAsia"/>
          <w:color w:val="auto"/>
          <w:w w:val="99"/>
          <w:kern w:val="2"/>
          <w:szCs w:val="20"/>
          <w:highlight w:val="none"/>
        </w:rPr>
        <w:t>/</w:t>
      </w:r>
      <w:r>
        <w:rPr>
          <w:rFonts w:ascii="Times New Roman" w:hAnsi="Times New Roman" w:cs="Times New Roman" w:eastAsiaTheme="minorEastAsia"/>
          <w:color w:val="auto"/>
          <w:w w:val="99"/>
          <w:kern w:val="2"/>
          <w:szCs w:val="20"/>
          <w:highlight w:val="none"/>
        </w:rPr>
        <w:t>d</w:t>
      </w:r>
      <w:r>
        <w:rPr>
          <w:rFonts w:ascii="Times New Roman" w:hAnsi="Times New Roman" w:cs="Times New Roman" w:eastAsiaTheme="minorEastAsia"/>
          <w:color w:val="auto"/>
          <w:w w:val="99"/>
          <w:kern w:val="2"/>
          <w:highlight w:val="none"/>
        </w:rPr>
        <w:t>，废射孔液</w:t>
      </w:r>
      <w:r>
        <w:rPr>
          <w:rFonts w:hint="eastAsia" w:ascii="Times New Roman" w:hAnsi="Times New Roman" w:cs="Times New Roman" w:eastAsiaTheme="minorEastAsia"/>
          <w:color w:val="auto"/>
          <w:w w:val="99"/>
          <w:kern w:val="2"/>
          <w:szCs w:val="20"/>
          <w:highlight w:val="none"/>
          <w:lang w:val="en-US" w:eastAsia="zh-CN"/>
        </w:rPr>
        <w:t>80</w:t>
      </w:r>
      <w:r>
        <w:rPr>
          <w:rFonts w:ascii="Times New Roman" w:hAnsi="Times New Roman" w:cs="Times New Roman" w:eastAsiaTheme="minorEastAsia"/>
          <w:color w:val="auto"/>
          <w:w w:val="99"/>
          <w:kern w:val="2"/>
          <w:szCs w:val="20"/>
          <w:highlight w:val="none"/>
        </w:rPr>
        <w:t>m</w:t>
      </w:r>
      <w:r>
        <w:rPr>
          <w:rFonts w:ascii="Times New Roman" w:hAnsi="Times New Roman" w:cs="Times New Roman" w:eastAsiaTheme="minorEastAsia"/>
          <w:color w:val="auto"/>
          <w:w w:val="99"/>
          <w:kern w:val="2"/>
          <w:szCs w:val="20"/>
          <w:highlight w:val="none"/>
          <w:vertAlign w:val="superscript"/>
        </w:rPr>
        <w:t>3</w:t>
      </w:r>
      <w:r>
        <w:rPr>
          <w:rFonts w:hint="eastAsia" w:ascii="Times New Roman" w:hAnsi="Times New Roman" w:cs="Times New Roman" w:eastAsiaTheme="minorEastAsia"/>
          <w:color w:val="auto"/>
          <w:w w:val="99"/>
          <w:kern w:val="2"/>
          <w:szCs w:val="20"/>
          <w:highlight w:val="none"/>
        </w:rPr>
        <w:t>/</w:t>
      </w:r>
      <w:r>
        <w:rPr>
          <w:rFonts w:ascii="Times New Roman" w:hAnsi="Times New Roman" w:cs="Times New Roman" w:eastAsiaTheme="minorEastAsia"/>
          <w:color w:val="auto"/>
          <w:w w:val="99"/>
          <w:kern w:val="2"/>
          <w:szCs w:val="20"/>
          <w:highlight w:val="none"/>
        </w:rPr>
        <w:t>d</w:t>
      </w:r>
      <w:r>
        <w:rPr>
          <w:rFonts w:ascii="Times New Roman" w:hAnsi="Times New Roman" w:cs="Times New Roman" w:eastAsiaTheme="minorEastAsia"/>
          <w:color w:val="auto"/>
          <w:w w:val="99"/>
          <w:kern w:val="2"/>
          <w:highlight w:val="none"/>
        </w:rPr>
        <w:t>，</w:t>
      </w:r>
      <w:r>
        <w:rPr>
          <w:rFonts w:hint="eastAsia" w:ascii="Times New Roman" w:hAnsi="Times New Roman" w:cs="Times New Roman" w:eastAsiaTheme="minorEastAsia"/>
          <w:color w:val="auto"/>
          <w:w w:val="99"/>
          <w:kern w:val="2"/>
          <w:highlight w:val="none"/>
        </w:rPr>
        <w:t>由于钻井后射孔</w:t>
      </w:r>
      <w:r>
        <w:rPr>
          <w:rFonts w:ascii="Times New Roman" w:hAnsi="Times New Roman" w:cs="Times New Roman" w:eastAsiaTheme="minorEastAsia"/>
          <w:color w:val="auto"/>
          <w:w w:val="99"/>
          <w:kern w:val="2"/>
          <w:highlight w:val="none"/>
        </w:rPr>
        <w:t>完井，射孔</w:t>
      </w:r>
      <w:r>
        <w:rPr>
          <w:rFonts w:hint="eastAsia" w:ascii="Times New Roman" w:hAnsi="Times New Roman" w:cs="Times New Roman" w:eastAsiaTheme="minorEastAsia"/>
          <w:color w:val="auto"/>
          <w:w w:val="99"/>
          <w:kern w:val="2"/>
          <w:highlight w:val="none"/>
        </w:rPr>
        <w:t>仅为1</w:t>
      </w:r>
      <w:r>
        <w:rPr>
          <w:rFonts w:ascii="Times New Roman" w:hAnsi="Times New Roman" w:cs="Times New Roman" w:eastAsiaTheme="minorEastAsia"/>
          <w:color w:val="auto"/>
          <w:w w:val="99"/>
          <w:kern w:val="2"/>
          <w:highlight w:val="none"/>
        </w:rPr>
        <w:t>d，</w:t>
      </w:r>
      <w:r>
        <w:rPr>
          <w:rFonts w:hint="eastAsia" w:ascii="Times New Roman" w:hAnsi="Times New Roman" w:cs="Times New Roman" w:eastAsiaTheme="minorEastAsia"/>
          <w:color w:val="auto"/>
          <w:w w:val="99"/>
          <w:kern w:val="2"/>
          <w:highlight w:val="none"/>
        </w:rPr>
        <w:t>因此</w:t>
      </w:r>
      <w:r>
        <w:rPr>
          <w:rFonts w:ascii="Times New Roman" w:hAnsi="Times New Roman" w:cs="Times New Roman" w:eastAsiaTheme="minorEastAsia"/>
          <w:color w:val="auto"/>
          <w:w w:val="99"/>
          <w:kern w:val="2"/>
          <w:highlight w:val="none"/>
        </w:rPr>
        <w:t>施工期间废弃泥浆产生量</w:t>
      </w:r>
      <w:r>
        <w:rPr>
          <w:rFonts w:hint="eastAsia" w:ascii="Times New Roman" w:hAnsi="Times New Roman" w:cs="Times New Roman" w:eastAsiaTheme="minorEastAsia"/>
          <w:color w:val="auto"/>
          <w:w w:val="99"/>
          <w:kern w:val="2"/>
          <w:highlight w:val="none"/>
        </w:rPr>
        <w:t>最大</w:t>
      </w:r>
      <w:r>
        <w:rPr>
          <w:rFonts w:ascii="Times New Roman" w:hAnsi="Times New Roman" w:cs="Times New Roman" w:eastAsiaTheme="minorEastAsia"/>
          <w:color w:val="auto"/>
          <w:w w:val="99"/>
          <w:kern w:val="2"/>
          <w:highlight w:val="none"/>
        </w:rPr>
        <w:t>约为</w:t>
      </w:r>
      <w:r>
        <w:rPr>
          <w:rFonts w:hint="eastAsia" w:ascii="Times New Roman" w:hAnsi="Times New Roman" w:cs="Times New Roman" w:eastAsiaTheme="minorEastAsia"/>
          <w:color w:val="auto"/>
          <w:w w:val="99"/>
          <w:kern w:val="2"/>
          <w:highlight w:val="none"/>
        </w:rPr>
        <w:t>123.83</w:t>
      </w:r>
      <w:r>
        <w:rPr>
          <w:rFonts w:ascii="Times New Roman" w:hAnsi="Times New Roman" w:cs="Times New Roman" w:eastAsiaTheme="minorEastAsia"/>
          <w:color w:val="auto"/>
          <w:w w:val="99"/>
          <w:kern w:val="2"/>
          <w:szCs w:val="20"/>
          <w:highlight w:val="none"/>
        </w:rPr>
        <w:t>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/d，</w:t>
      </w:r>
      <w:r>
        <w:rPr>
          <w:rFonts w:ascii="Times New Roman" w:hAnsi="Times New Roman" w:cs="Times New Roman" w:eastAsiaTheme="minorEastAsia"/>
          <w:color w:val="auto"/>
          <w:w w:val="99"/>
          <w:kern w:val="2"/>
          <w:highlight w:val="none"/>
        </w:rPr>
        <w:t>本项目单个井场设置一个100m</w:t>
      </w:r>
      <w:r>
        <w:rPr>
          <w:rFonts w:ascii="Times New Roman" w:hAnsi="Times New Roman" w:cs="Times New Roman" w:eastAsiaTheme="minorEastAsia"/>
          <w:color w:val="auto"/>
          <w:w w:val="99"/>
          <w:kern w:val="2"/>
          <w:highlight w:val="none"/>
          <w:vertAlign w:val="superscript"/>
        </w:rPr>
        <w:t>3</w:t>
      </w:r>
      <w:r>
        <w:rPr>
          <w:rFonts w:ascii="Times New Roman" w:hAnsi="Times New Roman" w:cs="Times New Roman" w:eastAsiaTheme="minorEastAsia"/>
          <w:color w:val="auto"/>
          <w:w w:val="99"/>
          <w:kern w:val="2"/>
          <w:highlight w:val="none"/>
        </w:rPr>
        <w:t>防渗泥浆槽用于暂存废弃泥浆，泥浆槽容积满足废弃泥浆2d暂存需求，本项目泥浆槽清理周期为2d，井场泥浆槽中的废弃泥浆及时由罐车送至</w:t>
      </w:r>
      <w:r>
        <w:rPr>
          <w:rFonts w:hint="eastAsia" w:ascii="Times New Roman" w:hAnsi="Times New Roman" w:cs="Times New Roman" w:eastAsiaTheme="minorEastAsia"/>
          <w:color w:val="auto"/>
          <w:w w:val="99"/>
          <w:kern w:val="2"/>
          <w:highlight w:val="none"/>
        </w:rPr>
        <w:t>大庆油田昆仑集团有限公司环保分公司</w:t>
      </w:r>
      <w:r>
        <w:rPr>
          <w:rFonts w:ascii="Times New Roman" w:hAnsi="Times New Roman" w:cs="Times New Roman" w:eastAsiaTheme="minorEastAsia"/>
          <w:color w:val="auto"/>
          <w:w w:val="99"/>
          <w:kern w:val="2"/>
          <w:highlight w:val="none"/>
        </w:rPr>
        <w:t>处理。</w:t>
      </w:r>
      <w:r>
        <w:rPr>
          <w:rFonts w:hint="eastAsia" w:ascii="Times New Roman" w:hAnsi="Times New Roman" w:cs="Times New Roman" w:eastAsiaTheme="minorEastAsia"/>
          <w:color w:val="auto"/>
          <w:w w:val="99"/>
          <w:kern w:val="2"/>
          <w:highlight w:val="none"/>
        </w:rPr>
        <w:t>大庆油田昆仑集团有限公司环保分公司废弃</w:t>
      </w:r>
      <w:r>
        <w:rPr>
          <w:rFonts w:ascii="Times New Roman" w:hAnsi="Times New Roman" w:cs="Times New Roman" w:eastAsiaTheme="minorEastAsia"/>
          <w:color w:val="auto"/>
          <w:w w:val="99"/>
          <w:kern w:val="2"/>
          <w:highlight w:val="none"/>
        </w:rPr>
        <w:t>泥浆</w:t>
      </w:r>
      <w:r>
        <w:rPr>
          <w:rFonts w:ascii="Times New Roman" w:hAnsi="Times New Roman" w:cs="Times New Roman" w:eastAsiaTheme="minorEastAsia"/>
          <w:color w:val="auto"/>
          <w:w w:val="99"/>
          <w:kern w:val="2"/>
          <w:szCs w:val="20"/>
          <w:highlight w:val="none"/>
          <w:lang w:val="zh-CN"/>
        </w:rPr>
        <w:t>处理装置</w:t>
      </w:r>
      <w:r>
        <w:rPr>
          <w:rFonts w:ascii="Times New Roman" w:hAnsi="Times New Roman" w:cs="Times New Roman" w:eastAsiaTheme="minorEastAsia"/>
          <w:color w:val="auto"/>
          <w:w w:val="99"/>
          <w:kern w:val="2"/>
          <w:szCs w:val="20"/>
          <w:highlight w:val="none"/>
        </w:rPr>
        <w:t>设计处理能力500m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/d</w:t>
      </w:r>
      <w:r>
        <w:rPr>
          <w:rFonts w:ascii="Times New Roman" w:hAnsi="Times New Roman" w:cs="Times New Roman" w:eastAsiaTheme="minorEastAsia"/>
          <w:color w:val="auto"/>
          <w:w w:val="99"/>
          <w:kern w:val="2"/>
          <w:szCs w:val="20"/>
          <w:highlight w:val="none"/>
          <w:lang w:val="zh-CN"/>
        </w:rPr>
        <w:t>，</w:t>
      </w:r>
      <w:r>
        <w:rPr>
          <w:rFonts w:ascii="Times New Roman" w:hAnsi="Times New Roman" w:cs="Times New Roman" w:eastAsiaTheme="minorEastAsia"/>
          <w:bCs/>
          <w:color w:val="auto"/>
          <w:w w:val="99"/>
          <w:kern w:val="2"/>
          <w:szCs w:val="20"/>
          <w:highlight w:val="none"/>
        </w:rPr>
        <w:t>现实际处理量为150m</w:t>
      </w:r>
      <w:r>
        <w:rPr>
          <w:rFonts w:ascii="Times New Roman" w:hAnsi="Times New Roman" w:cs="Times New Roman" w:eastAsiaTheme="minorEastAsia"/>
          <w:bCs/>
          <w:color w:val="auto"/>
          <w:w w:val="99"/>
          <w:kern w:val="2"/>
          <w:szCs w:val="20"/>
          <w:highlight w:val="none"/>
          <w:vertAlign w:val="superscript"/>
        </w:rPr>
        <w:t>3</w:t>
      </w:r>
      <w:r>
        <w:rPr>
          <w:rFonts w:ascii="Times New Roman" w:hAnsi="Times New Roman" w:cs="Times New Roman" w:eastAsiaTheme="minorEastAsia"/>
          <w:bCs/>
          <w:color w:val="auto"/>
          <w:w w:val="99"/>
          <w:kern w:val="2"/>
          <w:szCs w:val="20"/>
          <w:highlight w:val="none"/>
        </w:rPr>
        <w:t>/d</w:t>
      </w:r>
      <w:r>
        <w:rPr>
          <w:rFonts w:ascii="Times New Roman" w:hAnsi="Times New Roman" w:cs="Times New Roman" w:eastAsiaTheme="minorEastAsia"/>
          <w:bCs/>
          <w:color w:val="auto"/>
          <w:w w:val="99"/>
          <w:kern w:val="2"/>
          <w:szCs w:val="20"/>
          <w:highlight w:val="none"/>
          <w:lang w:val="zh-CN"/>
        </w:rPr>
        <w:t>，</w:t>
      </w:r>
      <w:r>
        <w:rPr>
          <w:rFonts w:hint="eastAsia" w:ascii="Times New Roman" w:hAnsi="Times New Roman" w:cs="Times New Roman" w:eastAsiaTheme="minorEastAsia"/>
          <w:bCs/>
          <w:color w:val="auto"/>
          <w:w w:val="99"/>
          <w:kern w:val="2"/>
          <w:szCs w:val="20"/>
          <w:highlight w:val="none"/>
          <w:lang w:val="zh-CN"/>
        </w:rPr>
        <w:t>本项目</w:t>
      </w:r>
      <w:r>
        <w:rPr>
          <w:rFonts w:hint="eastAsia" w:ascii="Times New Roman" w:hAnsi="Times New Roman" w:cs="Times New Roman" w:eastAsiaTheme="minorEastAsia"/>
          <w:bCs/>
          <w:color w:val="auto"/>
          <w:w w:val="99"/>
          <w:kern w:val="2"/>
          <w:szCs w:val="20"/>
          <w:highlight w:val="none"/>
          <w:lang w:eastAsia="zh-CN"/>
        </w:rPr>
        <w:t>2个钻井队</w:t>
      </w:r>
      <w:r>
        <w:rPr>
          <w:rFonts w:hint="eastAsia" w:ascii="Times New Roman" w:hAnsi="Times New Roman" w:cs="Times New Roman" w:eastAsiaTheme="minorEastAsia"/>
          <w:bCs/>
          <w:color w:val="auto"/>
          <w:w w:val="99"/>
          <w:kern w:val="2"/>
          <w:szCs w:val="20"/>
          <w:highlight w:val="none"/>
          <w:lang w:val="zh-CN"/>
        </w:rPr>
        <w:t>同时</w:t>
      </w:r>
      <w:r>
        <w:rPr>
          <w:rFonts w:ascii="Times New Roman" w:hAnsi="Times New Roman" w:cs="Times New Roman" w:eastAsiaTheme="minorEastAsia"/>
          <w:bCs/>
          <w:color w:val="auto"/>
          <w:w w:val="99"/>
          <w:kern w:val="2"/>
          <w:szCs w:val="20"/>
          <w:highlight w:val="none"/>
          <w:lang w:val="zh-CN"/>
        </w:rPr>
        <w:t>施工，</w:t>
      </w:r>
      <w:r>
        <w:rPr>
          <w:rFonts w:hint="eastAsia" w:ascii="Times New Roman" w:hAnsi="Times New Roman" w:cs="Times New Roman" w:eastAsiaTheme="minorEastAsia"/>
          <w:bCs/>
          <w:color w:val="auto"/>
          <w:w w:val="99"/>
          <w:kern w:val="2"/>
          <w:szCs w:val="20"/>
          <w:highlight w:val="none"/>
          <w:lang w:val="zh-CN"/>
        </w:rPr>
        <w:t>废弃</w:t>
      </w:r>
      <w:r>
        <w:rPr>
          <w:rFonts w:ascii="Times New Roman" w:hAnsi="Times New Roman" w:cs="Times New Roman" w:eastAsiaTheme="minorEastAsia"/>
          <w:bCs/>
          <w:color w:val="auto"/>
          <w:w w:val="99"/>
          <w:kern w:val="2"/>
          <w:szCs w:val="20"/>
          <w:highlight w:val="none"/>
          <w:lang w:val="zh-CN"/>
        </w:rPr>
        <w:t>泥浆最大产生量为</w:t>
      </w:r>
      <w:r>
        <w:rPr>
          <w:rFonts w:hint="eastAsia" w:ascii="Times New Roman" w:hAnsi="Times New Roman" w:cs="Times New Roman" w:eastAsiaTheme="minorEastAsia"/>
          <w:bCs/>
          <w:color w:val="auto"/>
          <w:w w:val="99"/>
          <w:kern w:val="2"/>
          <w:szCs w:val="20"/>
          <w:highlight w:val="none"/>
          <w:lang w:val="zh-CN"/>
        </w:rPr>
        <w:t>123.83</w:t>
      </w:r>
      <w:r>
        <w:rPr>
          <w:rFonts w:ascii="Times New Roman" w:hAnsi="Times New Roman" w:cs="Times New Roman" w:eastAsiaTheme="minorEastAsia"/>
          <w:bCs/>
          <w:color w:val="auto"/>
          <w:w w:val="99"/>
          <w:kern w:val="2"/>
          <w:szCs w:val="20"/>
          <w:highlight w:val="none"/>
          <w:lang w:val="zh-CN"/>
        </w:rPr>
        <w:t>m</w:t>
      </w:r>
      <w:r>
        <w:rPr>
          <w:rFonts w:ascii="Times New Roman" w:hAnsi="Times New Roman" w:cs="Times New Roman" w:eastAsiaTheme="minorEastAsia"/>
          <w:bCs/>
          <w:color w:val="auto"/>
          <w:w w:val="99"/>
          <w:kern w:val="2"/>
          <w:szCs w:val="20"/>
          <w:highlight w:val="none"/>
          <w:vertAlign w:val="superscript"/>
          <w:lang w:val="zh-CN"/>
        </w:rPr>
        <w:t>3</w:t>
      </w:r>
      <w:r>
        <w:rPr>
          <w:rFonts w:ascii="Times New Roman" w:hAnsi="Times New Roman" w:cs="Times New Roman" w:eastAsiaTheme="minorEastAsia"/>
          <w:bCs/>
          <w:color w:val="auto"/>
          <w:w w:val="99"/>
          <w:kern w:val="2"/>
          <w:szCs w:val="20"/>
          <w:highlight w:val="none"/>
          <w:lang w:val="zh-CN"/>
        </w:rPr>
        <w:t>/d，新增本项目处理量后负荷率为</w:t>
      </w:r>
      <w:r>
        <w:rPr>
          <w:rFonts w:hint="eastAsia" w:ascii="Times New Roman" w:hAnsi="Times New Roman" w:cs="Times New Roman" w:eastAsiaTheme="minorEastAsia"/>
          <w:bCs/>
          <w:color w:val="auto"/>
          <w:w w:val="99"/>
          <w:kern w:val="2"/>
          <w:szCs w:val="20"/>
          <w:highlight w:val="none"/>
          <w:lang w:val="en-US" w:eastAsia="zh-CN"/>
        </w:rPr>
        <w:t>54.77</w:t>
      </w:r>
      <w:r>
        <w:rPr>
          <w:rFonts w:ascii="Times New Roman" w:hAnsi="Times New Roman" w:cs="Times New Roman" w:eastAsiaTheme="minorEastAsia"/>
          <w:bCs/>
          <w:color w:val="auto"/>
          <w:w w:val="99"/>
          <w:kern w:val="2"/>
          <w:szCs w:val="20"/>
          <w:highlight w:val="none"/>
          <w:lang w:val="zh-CN"/>
        </w:rPr>
        <w:t>%，</w:t>
      </w:r>
      <w:r>
        <w:rPr>
          <w:rFonts w:ascii="Times New Roman" w:hAnsi="Times New Roman" w:cs="Times New Roman" w:eastAsiaTheme="minorEastAsia"/>
          <w:color w:val="auto"/>
          <w:w w:val="99"/>
          <w:kern w:val="2"/>
          <w:szCs w:val="20"/>
          <w:highlight w:val="none"/>
        </w:rPr>
        <w:t>完全</w:t>
      </w:r>
      <w:r>
        <w:rPr>
          <w:rFonts w:ascii="Times New Roman" w:hAnsi="Times New Roman" w:cs="Times New Roman" w:eastAsiaTheme="minorEastAsia"/>
          <w:color w:val="auto"/>
          <w:w w:val="99"/>
          <w:kern w:val="2"/>
          <w:szCs w:val="20"/>
          <w:highlight w:val="none"/>
          <w:lang w:val="zh-CN"/>
        </w:rPr>
        <w:t>能够满足本工程废弃泥浆处理要求，废钻井液、钻井岩屑、废射孔液经处理后不会对环境产生影响</w:t>
      </w:r>
    </w:p>
    <w:p>
      <w:pPr>
        <w:pStyle w:val="7"/>
        <w:keepNext w:val="0"/>
        <w:keepLines w:val="0"/>
        <w:widowControl w:val="0"/>
        <w:jc w:val="both"/>
        <w:rPr>
          <w:b/>
          <w:color w:val="auto"/>
          <w:w w:val="99"/>
          <w:kern w:val="2"/>
          <w:sz w:val="24"/>
          <w:szCs w:val="24"/>
          <w:highlight w:val="none"/>
        </w:rPr>
      </w:pPr>
      <w:bookmarkStart w:id="936" w:name="_Toc67523662"/>
      <w:bookmarkStart w:id="937" w:name="_Toc74812392"/>
      <w:bookmarkStart w:id="938" w:name="_Toc77667366"/>
      <w:bookmarkStart w:id="939" w:name="_Toc61597291"/>
      <w:bookmarkStart w:id="940" w:name="_Toc71372009"/>
      <w:bookmarkStart w:id="941" w:name="_Toc74812153"/>
      <w:bookmarkStart w:id="942" w:name="_Toc80105222"/>
      <w:bookmarkStart w:id="943" w:name="_Toc69690880"/>
      <w:r>
        <w:rPr>
          <w:b/>
          <w:color w:val="auto"/>
          <w:w w:val="99"/>
          <w:kern w:val="2"/>
          <w:sz w:val="24"/>
          <w:szCs w:val="24"/>
          <w:highlight w:val="none"/>
        </w:rPr>
        <w:t>5.3.2膨润土等废包装袋、废防渗布和生活垃圾</w:t>
      </w:r>
      <w:bookmarkEnd w:id="936"/>
      <w:bookmarkEnd w:id="937"/>
      <w:bookmarkEnd w:id="938"/>
      <w:bookmarkEnd w:id="939"/>
      <w:bookmarkEnd w:id="940"/>
      <w:bookmarkEnd w:id="941"/>
      <w:bookmarkEnd w:id="942"/>
      <w:bookmarkEnd w:id="943"/>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施工期使用的膨润土、纯碱、重晶石粉均不属于危险化学品，所以废弃包装袋和废弃防渗布也均不属于危废，废弃防渗布</w:t>
      </w:r>
      <w:r>
        <w:rPr>
          <w:rFonts w:hint="eastAsia" w:ascii="Times New Roman" w:hAnsi="Times New Roman" w:cs="Times New Roman" w:eastAsiaTheme="minorEastAsia"/>
          <w:color w:val="auto"/>
          <w:w w:val="99"/>
          <w:kern w:val="2"/>
          <w:highlight w:val="none"/>
        </w:rPr>
        <w:t>及</w:t>
      </w:r>
      <w:r>
        <w:rPr>
          <w:rFonts w:ascii="Times New Roman" w:hAnsi="Times New Roman" w:cs="Times New Roman" w:eastAsiaTheme="minorEastAsia"/>
          <w:color w:val="auto"/>
          <w:w w:val="99"/>
          <w:kern w:val="2"/>
          <w:highlight w:val="none"/>
        </w:rPr>
        <w:t>膨润土、纯碱、重晶石粉废包装袋</w:t>
      </w:r>
      <w:r>
        <w:rPr>
          <w:rFonts w:hint="eastAsia" w:ascii="Times New Roman" w:hAnsi="Times New Roman" w:cs="Times New Roman" w:eastAsiaTheme="minorEastAsia"/>
          <w:color w:val="auto"/>
          <w:w w:val="99"/>
          <w:kern w:val="2"/>
          <w:highlight w:val="none"/>
        </w:rPr>
        <w:t>由施工单位统一收集后拉运至第八采油厂工业固废填埋场处理</w:t>
      </w:r>
      <w:r>
        <w:rPr>
          <w:rFonts w:ascii="Times New Roman" w:hAnsi="Times New Roman" w:cs="Times New Roman" w:eastAsiaTheme="minorEastAsia"/>
          <w:color w:val="auto"/>
          <w:w w:val="99"/>
          <w:kern w:val="2"/>
          <w:highlight w:val="none"/>
        </w:rPr>
        <w:t>。</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生活垃圾</w:t>
      </w:r>
      <w:r>
        <w:rPr>
          <w:rFonts w:hint="eastAsia" w:ascii="Times New Roman" w:hAnsi="Times New Roman" w:cs="Times New Roman" w:eastAsiaTheme="minorEastAsia"/>
          <w:color w:val="auto"/>
          <w:w w:val="99"/>
          <w:kern w:val="2"/>
          <w:highlight w:val="none"/>
        </w:rPr>
        <w:t>统一收集后运至</w:t>
      </w:r>
      <w:r>
        <w:rPr>
          <w:rFonts w:hint="eastAsia" w:ascii="Times New Roman" w:hAnsi="Times New Roman" w:cs="Times New Roman" w:eastAsiaTheme="minorEastAsia"/>
          <w:color w:val="auto"/>
          <w:w w:val="99"/>
          <w:kern w:val="2"/>
          <w:highlight w:val="none"/>
          <w:lang w:eastAsia="zh-CN"/>
        </w:rPr>
        <w:t>肇东市生活垃圾填埋场</w:t>
      </w:r>
      <w:r>
        <w:rPr>
          <w:rFonts w:hint="eastAsia" w:ascii="Times New Roman" w:hAnsi="Times New Roman" w:cs="Times New Roman" w:eastAsiaTheme="minorEastAsia"/>
          <w:color w:val="auto"/>
          <w:w w:val="99"/>
          <w:kern w:val="2"/>
          <w:highlight w:val="none"/>
        </w:rPr>
        <w:t>处理</w:t>
      </w:r>
      <w:r>
        <w:rPr>
          <w:rFonts w:ascii="Times New Roman" w:hAnsi="Times New Roman" w:cs="Times New Roman" w:eastAsiaTheme="minorEastAsia"/>
          <w:color w:val="auto"/>
          <w:w w:val="99"/>
          <w:kern w:val="2"/>
          <w:highlight w:val="none"/>
        </w:rPr>
        <w:t>。</w:t>
      </w:r>
    </w:p>
    <w:p>
      <w:pPr>
        <w:pStyle w:val="7"/>
        <w:keepNext w:val="0"/>
        <w:keepLines w:val="0"/>
        <w:widowControl w:val="0"/>
        <w:jc w:val="both"/>
        <w:rPr>
          <w:b/>
          <w:color w:val="auto"/>
          <w:w w:val="99"/>
          <w:kern w:val="2"/>
          <w:sz w:val="24"/>
          <w:szCs w:val="24"/>
          <w:highlight w:val="none"/>
        </w:rPr>
      </w:pPr>
      <w:bookmarkStart w:id="944" w:name="_Toc69690881"/>
      <w:bookmarkStart w:id="945" w:name="_Toc77667367"/>
      <w:bookmarkStart w:id="946" w:name="_Toc71372010"/>
      <w:bookmarkStart w:id="947" w:name="_Toc61597292"/>
      <w:bookmarkStart w:id="948" w:name="_Toc80105223"/>
      <w:bookmarkStart w:id="949" w:name="_Toc74812154"/>
      <w:bookmarkStart w:id="950" w:name="_Toc74812393"/>
      <w:bookmarkStart w:id="951" w:name="_Toc67523663"/>
      <w:r>
        <w:rPr>
          <w:b/>
          <w:color w:val="auto"/>
          <w:w w:val="99"/>
          <w:kern w:val="2"/>
          <w:sz w:val="24"/>
          <w:szCs w:val="24"/>
          <w:highlight w:val="none"/>
        </w:rPr>
        <w:t>5.3.3KOH包装袋</w:t>
      </w:r>
      <w:bookmarkEnd w:id="944"/>
      <w:bookmarkEnd w:id="945"/>
      <w:bookmarkEnd w:id="946"/>
      <w:bookmarkEnd w:id="947"/>
      <w:bookmarkEnd w:id="948"/>
      <w:bookmarkEnd w:id="949"/>
      <w:bookmarkEnd w:id="950"/>
      <w:bookmarkEnd w:id="951"/>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根据</w:t>
      </w:r>
      <w:r>
        <w:rPr>
          <w:rFonts w:ascii="Times New Roman" w:hAnsi="Times New Roman" w:cs="Times New Roman" w:eastAsiaTheme="minorEastAsia"/>
          <w:snapToGrid w:val="0"/>
          <w:color w:val="auto"/>
          <w:w w:val="99"/>
          <w:highlight w:val="none"/>
        </w:rPr>
        <w:t>《国家危险废物名录（2021年版）》（部令第15号）</w:t>
      </w:r>
      <w:r>
        <w:rPr>
          <w:rFonts w:ascii="Times New Roman" w:hAnsi="Times New Roman" w:cs="Times New Roman" w:eastAsiaTheme="minorEastAsia"/>
          <w:color w:val="auto"/>
          <w:w w:val="99"/>
          <w:kern w:val="2"/>
          <w:highlight w:val="none"/>
        </w:rPr>
        <w:t>，KOH废包装袋属于HW49 其他废物，危险废物编号为900-041-49含有或沾染毒性、感染性危险废物的废弃包装物、容器、过滤吸附介质。根据《建设项目危险废物环境影响评价指南》（环境保护部公告2017年第43号）相关规定，“环评阶段已签订利用或者委托处置意向的，应分析危险废物利用或者处置途径的可行性。暂未委托利用或者处置单位的，应根据建设项目周边有资质的危险废物处置单位的分布情况、处置能力、资质类别等，给出建设项目产生危险废物的委托利用或处置途径建议”。</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本项目施工单位尚未签订KOH废包装袋委托协议，根据黑龙江省核发的危险废物处理资质单位名单，有能力处理该危险废物的企业基本情况如下表5.3-1。</w:t>
      </w:r>
    </w:p>
    <w:p>
      <w:pPr>
        <w:widowControl w:val="0"/>
        <w:spacing w:line="500" w:lineRule="exact"/>
        <w:ind w:firstLine="476" w:firstLineChars="200"/>
        <w:rPr>
          <w:rFonts w:ascii="Times New Roman" w:hAnsi="Times New Roman" w:cs="Times New Roman" w:eastAsiaTheme="minorEastAsia"/>
          <w:b/>
          <w:bCs/>
          <w:color w:val="auto"/>
          <w:w w:val="99"/>
          <w:kern w:val="2"/>
          <w:highlight w:val="none"/>
        </w:rPr>
      </w:pPr>
      <w:r>
        <w:rPr>
          <w:rFonts w:ascii="Times New Roman" w:hAnsi="Times New Roman" w:cs="Times New Roman" w:eastAsiaTheme="minorEastAsia"/>
          <w:b/>
          <w:bCs/>
          <w:color w:val="auto"/>
          <w:w w:val="99"/>
          <w:kern w:val="2"/>
          <w:highlight w:val="none"/>
        </w:rPr>
        <w:t>表5.3-1          具有危险废物处理资质企业的情况表</w:t>
      </w:r>
    </w:p>
    <w:tbl>
      <w:tblPr>
        <w:tblStyle w:val="82"/>
        <w:tblW w:w="883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4"/>
        <w:gridCol w:w="981"/>
        <w:gridCol w:w="2995"/>
        <w:gridCol w:w="1682"/>
        <w:gridCol w:w="1560"/>
        <w:gridCol w:w="10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4"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序号</w:t>
            </w:r>
          </w:p>
        </w:tc>
        <w:tc>
          <w:tcPr>
            <w:tcW w:w="981"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名称</w:t>
            </w:r>
          </w:p>
        </w:tc>
        <w:tc>
          <w:tcPr>
            <w:tcW w:w="2995"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资质类别</w:t>
            </w:r>
          </w:p>
        </w:tc>
        <w:tc>
          <w:tcPr>
            <w:tcW w:w="1682"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核准经营方式</w:t>
            </w:r>
          </w:p>
        </w:tc>
        <w:tc>
          <w:tcPr>
            <w:tcW w:w="1560"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核准经营规模（t/a）</w:t>
            </w:r>
          </w:p>
        </w:tc>
        <w:tc>
          <w:tcPr>
            <w:tcW w:w="1038"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实际处理量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4"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w:t>
            </w:r>
          </w:p>
        </w:tc>
        <w:tc>
          <w:tcPr>
            <w:tcW w:w="981" w:type="dxa"/>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大庆圣德雷特化工有限公司</w:t>
            </w:r>
          </w:p>
        </w:tc>
        <w:tc>
          <w:tcPr>
            <w:tcW w:w="2995" w:type="dxa"/>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HW08、HW49 其他废物（900-041-49）</w:t>
            </w:r>
          </w:p>
        </w:tc>
        <w:tc>
          <w:tcPr>
            <w:tcW w:w="168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收集、 贮存、 利用</w:t>
            </w:r>
          </w:p>
        </w:tc>
        <w:tc>
          <w:tcPr>
            <w:tcW w:w="1560"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HW08类50000t/a，HW49类25万只/年</w:t>
            </w:r>
          </w:p>
        </w:tc>
        <w:tc>
          <w:tcPr>
            <w:tcW w:w="1038"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4"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w:t>
            </w:r>
          </w:p>
        </w:tc>
        <w:tc>
          <w:tcPr>
            <w:tcW w:w="981" w:type="dxa"/>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大庆蓝星环保工程有限公司</w:t>
            </w:r>
          </w:p>
        </w:tc>
        <w:tc>
          <w:tcPr>
            <w:tcW w:w="2995" w:type="dxa"/>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HW49其他废物（900-041-49）</w:t>
            </w:r>
          </w:p>
        </w:tc>
        <w:tc>
          <w:tcPr>
            <w:tcW w:w="1682"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收集、 贮存、 利用</w:t>
            </w:r>
          </w:p>
        </w:tc>
        <w:tc>
          <w:tcPr>
            <w:tcW w:w="156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30000t/a</w:t>
            </w:r>
          </w:p>
        </w:tc>
        <w:tc>
          <w:tcPr>
            <w:tcW w:w="1038"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18000t/a</w:t>
            </w:r>
          </w:p>
        </w:tc>
      </w:tr>
    </w:tbl>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bookmarkStart w:id="952" w:name="_Toc80105224"/>
      <w:r>
        <w:rPr>
          <w:rFonts w:ascii="Times New Roman" w:hAnsi="Times New Roman" w:cs="Times New Roman" w:eastAsiaTheme="minorEastAsia"/>
          <w:color w:val="auto"/>
          <w:w w:val="99"/>
          <w:kern w:val="2"/>
          <w:highlight w:val="none"/>
        </w:rPr>
        <w:t>以上企业可处理危险废物类别为HW49的危险废物，能够满足本项目处理需求。最终委托处置危险废物的企业以建设单位最终签订协议单位为准。</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项目施工期间产生的KOH废包装袋</w:t>
      </w:r>
      <w:r>
        <w:rPr>
          <w:rFonts w:hint="eastAsia" w:ascii="Times New Roman" w:hAnsi="Times New Roman" w:cs="Times New Roman" w:eastAsiaTheme="minorEastAsia"/>
          <w:color w:val="auto"/>
          <w:w w:val="99"/>
          <w:kern w:val="2"/>
          <w:highlight w:val="none"/>
        </w:rPr>
        <w:t>经收集后暂存于KOH材料房设置的加盖钢制桶内，施工结束后由施工单位委托有资质单位处理</w:t>
      </w:r>
      <w:r>
        <w:rPr>
          <w:rFonts w:ascii="Times New Roman" w:hAnsi="Times New Roman" w:cs="Times New Roman" w:eastAsiaTheme="minorEastAsia"/>
          <w:color w:val="auto"/>
          <w:w w:val="99"/>
          <w:kern w:val="2"/>
          <w:highlight w:val="none"/>
        </w:rPr>
        <w:t>。施工单位及资质单位应加强对KOH废包装袋转移和处置的管理，实行危险废物转移联单制度。</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本项目危废的运输应按照《危险废物收集贮存运输技术规范》要求进行运输管理，危废的转移过程应按照《危险废物转移联单管理办法》执行，运输路线的选择过程中尽量避开环境敏感点，一旦运输过程发生意外事故，运输单位及相关部门应根据风险程度采取如下措施：</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（1）设立事故警戒线，启动应急预案，并按《环境保护行政主管部突发环境事件信息报告办法》（环发[2006]50号）要求进行报告；</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（2）应立即疏散人群，并请求环境保护、消防、医疗、公安等相关部门支援；</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（3）对事故现场受到污染的土壤和水体等环境介质应进行相的清理和恢复；</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（4）清理过程中产生的所有废物均应按危险废物进行管理和处置；</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（5）进入现场清理和包装危险废物的人员应受过专业培训，并佩戴相应的防护工具。</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综上所述，本项目施工期产生的固体废物均得到有效处置，不会对周围环境产生不良影响。</w:t>
      </w:r>
    </w:p>
    <w:p>
      <w:pPr>
        <w:pStyle w:val="5"/>
        <w:keepNext w:val="0"/>
        <w:keepLines w:val="0"/>
        <w:widowControl w:val="0"/>
        <w:rPr>
          <w:rFonts w:ascii="Times New Roman" w:hAnsi="Times New Roman"/>
          <w:b/>
          <w:snapToGrid w:val="0"/>
          <w:color w:val="auto"/>
          <w:w w:val="99"/>
          <w:highlight w:val="none"/>
        </w:rPr>
      </w:pPr>
      <w:r>
        <w:rPr>
          <w:rFonts w:ascii="Times New Roman" w:hAnsi="Times New Roman"/>
          <w:b/>
          <w:snapToGrid w:val="0"/>
          <w:color w:val="auto"/>
          <w:w w:val="99"/>
          <w:highlight w:val="none"/>
        </w:rPr>
        <w:t>5.4地表水环境影响预测分析</w:t>
      </w:r>
      <w:bookmarkEnd w:id="952"/>
    </w:p>
    <w:p>
      <w:pPr>
        <w:pStyle w:val="7"/>
        <w:keepNext w:val="0"/>
        <w:keepLines w:val="0"/>
        <w:widowControl w:val="0"/>
        <w:jc w:val="both"/>
        <w:rPr>
          <w:b/>
          <w:color w:val="auto"/>
          <w:w w:val="99"/>
          <w:kern w:val="2"/>
          <w:sz w:val="24"/>
          <w:szCs w:val="24"/>
          <w:highlight w:val="none"/>
        </w:rPr>
      </w:pPr>
      <w:bookmarkStart w:id="953" w:name="_Toc74812156"/>
      <w:bookmarkStart w:id="954" w:name="_Toc69690883"/>
      <w:bookmarkStart w:id="955" w:name="_Toc77667369"/>
      <w:bookmarkStart w:id="956" w:name="_Toc67523665"/>
      <w:bookmarkStart w:id="957" w:name="_Toc74812395"/>
      <w:bookmarkStart w:id="958" w:name="_Toc80105225"/>
      <w:bookmarkStart w:id="959" w:name="_Toc71372012"/>
      <w:bookmarkStart w:id="960" w:name="_Toc61597294"/>
      <w:bookmarkStart w:id="961" w:name="_Toc11047919"/>
      <w:r>
        <w:rPr>
          <w:b/>
          <w:color w:val="auto"/>
          <w:w w:val="99"/>
          <w:kern w:val="2"/>
          <w:sz w:val="24"/>
          <w:szCs w:val="24"/>
          <w:highlight w:val="none"/>
        </w:rPr>
        <w:t>5.4.1本项目井场与地表水体位置关系</w:t>
      </w:r>
      <w:bookmarkEnd w:id="953"/>
      <w:bookmarkEnd w:id="954"/>
      <w:bookmarkEnd w:id="955"/>
      <w:bookmarkEnd w:id="956"/>
      <w:bookmarkEnd w:id="957"/>
      <w:bookmarkEnd w:id="958"/>
      <w:bookmarkEnd w:id="959"/>
      <w:bookmarkEnd w:id="960"/>
      <w:bookmarkEnd w:id="961"/>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default" w:ascii="Times New Roman" w:hAnsi="Times New Roman" w:eastAsia="宋体" w:cs="Times New Roman"/>
          <w:color w:val="auto"/>
          <w:w w:val="99"/>
          <w:kern w:val="2"/>
          <w:highlight w:val="none"/>
        </w:rPr>
        <w:t>本项目地表水评价范围为环境影响范围所及的水环境保护目标，本工程开发区块周边</w:t>
      </w:r>
      <w:r>
        <w:rPr>
          <w:rFonts w:hint="default" w:ascii="Times New Roman" w:hAnsi="Times New Roman" w:eastAsia="宋体" w:cs="Times New Roman"/>
          <w:color w:val="auto"/>
          <w:w w:val="99"/>
          <w:kern w:val="2"/>
          <w:highlight w:val="none"/>
          <w:lang w:eastAsia="zh-CN"/>
        </w:rPr>
        <w:t>无</w:t>
      </w:r>
      <w:r>
        <w:rPr>
          <w:rFonts w:hint="default" w:ascii="Times New Roman" w:hAnsi="Times New Roman" w:eastAsia="宋体" w:cs="Times New Roman"/>
          <w:color w:val="auto"/>
          <w:w w:val="99"/>
          <w:kern w:val="2"/>
          <w:highlight w:val="none"/>
        </w:rPr>
        <w:t>地表水体</w:t>
      </w:r>
      <w:r>
        <w:rPr>
          <w:rFonts w:hint="eastAsia" w:ascii="Times New Roman" w:hAnsi="Times New Roman" w:cs="Times New Roman" w:eastAsiaTheme="minorEastAsia"/>
          <w:color w:val="auto"/>
          <w:w w:val="99"/>
          <w:kern w:val="21"/>
          <w:szCs w:val="20"/>
          <w:highlight w:val="none"/>
        </w:rPr>
        <w:t>。区域</w:t>
      </w:r>
      <w:r>
        <w:rPr>
          <w:rFonts w:ascii="Times New Roman" w:hAnsi="Times New Roman" w:cs="Times New Roman" w:eastAsiaTheme="minorEastAsia"/>
          <w:color w:val="auto"/>
          <w:w w:val="99"/>
          <w:kern w:val="21"/>
          <w:szCs w:val="20"/>
          <w:highlight w:val="none"/>
        </w:rPr>
        <w:t>内地表水系图见</w:t>
      </w:r>
      <w:r>
        <w:rPr>
          <w:rFonts w:hint="eastAsia" w:ascii="Times New Roman" w:hAnsi="Times New Roman" w:cs="Times New Roman" w:eastAsiaTheme="minorEastAsia"/>
          <w:color w:val="auto"/>
          <w:w w:val="99"/>
          <w:kern w:val="21"/>
          <w:szCs w:val="20"/>
          <w:highlight w:val="none"/>
          <w:lang w:eastAsia="zh-CN"/>
        </w:rPr>
        <w:t>附图14</w:t>
      </w:r>
      <w:r>
        <w:rPr>
          <w:rFonts w:hint="eastAsia" w:ascii="Times New Roman" w:hAnsi="Times New Roman" w:cs="Times New Roman" w:eastAsiaTheme="minorEastAsia"/>
          <w:color w:val="auto"/>
          <w:w w:val="99"/>
          <w:kern w:val="21"/>
          <w:szCs w:val="20"/>
          <w:highlight w:val="none"/>
        </w:rPr>
        <w:t>。</w:t>
      </w:r>
    </w:p>
    <w:p>
      <w:pPr>
        <w:pStyle w:val="7"/>
        <w:keepNext w:val="0"/>
        <w:keepLines w:val="0"/>
        <w:widowControl w:val="0"/>
        <w:jc w:val="both"/>
        <w:rPr>
          <w:b/>
          <w:color w:val="auto"/>
          <w:w w:val="99"/>
          <w:kern w:val="2"/>
          <w:sz w:val="24"/>
          <w:szCs w:val="24"/>
          <w:highlight w:val="none"/>
        </w:rPr>
      </w:pPr>
      <w:bookmarkStart w:id="962" w:name="_Toc61597295"/>
      <w:bookmarkStart w:id="963" w:name="_Toc69690884"/>
      <w:bookmarkStart w:id="964" w:name="_Toc67523666"/>
      <w:bookmarkStart w:id="965" w:name="_Toc71372013"/>
      <w:bookmarkStart w:id="966" w:name="_Toc74812396"/>
      <w:bookmarkStart w:id="967" w:name="_Toc80105226"/>
      <w:bookmarkStart w:id="968" w:name="_Toc77667370"/>
      <w:bookmarkStart w:id="969" w:name="_Toc74812157"/>
      <w:r>
        <w:rPr>
          <w:b/>
          <w:color w:val="auto"/>
          <w:w w:val="99"/>
          <w:kern w:val="2"/>
          <w:sz w:val="24"/>
          <w:szCs w:val="24"/>
          <w:highlight w:val="none"/>
        </w:rPr>
        <w:t>5.4.2</w:t>
      </w:r>
      <w:bookmarkEnd w:id="962"/>
      <w:bookmarkEnd w:id="963"/>
      <w:bookmarkEnd w:id="964"/>
      <w:bookmarkEnd w:id="965"/>
      <w:r>
        <w:rPr>
          <w:rFonts w:hint="eastAsia"/>
          <w:b/>
          <w:color w:val="auto"/>
          <w:w w:val="99"/>
          <w:kern w:val="2"/>
          <w:sz w:val="24"/>
          <w:szCs w:val="24"/>
          <w:highlight w:val="none"/>
        </w:rPr>
        <w:t>地表水环境影响分析</w:t>
      </w:r>
      <w:bookmarkEnd w:id="966"/>
      <w:bookmarkEnd w:id="967"/>
      <w:bookmarkEnd w:id="968"/>
      <w:bookmarkEnd w:id="969"/>
    </w:p>
    <w:p>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color w:val="auto"/>
          <w:w w:val="99"/>
          <w:kern w:val="2"/>
          <w:highlight w:val="none"/>
        </w:rPr>
      </w:pPr>
      <w:r>
        <w:rPr>
          <w:rFonts w:hint="default" w:ascii="Times New Roman" w:hAnsi="Times New Roman" w:eastAsia="宋体" w:cs="Times New Roman"/>
          <w:color w:val="auto"/>
          <w:w w:val="99"/>
          <w:kern w:val="2"/>
          <w:highlight w:val="none"/>
        </w:rPr>
        <w:t>（1）钻井废水</w:t>
      </w:r>
    </w:p>
    <w:p>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color w:val="auto"/>
          <w:w w:val="99"/>
          <w:kern w:val="2"/>
          <w:highlight w:val="none"/>
        </w:rPr>
      </w:pPr>
      <w:r>
        <w:rPr>
          <w:rFonts w:hint="default" w:ascii="Times New Roman" w:hAnsi="Times New Roman" w:eastAsia="宋体" w:cs="Times New Roman"/>
          <w:color w:val="auto"/>
          <w:w w:val="99"/>
          <w:kern w:val="2"/>
          <w:highlight w:val="none"/>
        </w:rPr>
        <w:t>钻井废水是油田开发初期在油井钻进过程中起降钻具带出的部分地层水、不定期冲洗钻井设备等排放的废水，水基钻井泥浆主要是由膨润土、纯碱、碳酸钾、氧化钙等添加剂组成，泥浆中含有大量的还原性物质，</w:t>
      </w:r>
      <w:r>
        <w:rPr>
          <w:rFonts w:hint="eastAsia" w:ascii="Times New Roman" w:hAnsi="Times New Roman" w:cs="Times New Roman"/>
          <w:color w:val="auto"/>
          <w:w w:val="99"/>
          <w:kern w:val="2"/>
          <w:highlight w:val="none"/>
          <w:lang w:eastAsia="zh-CN"/>
        </w:rPr>
        <w:t>耗氧量</w:t>
      </w:r>
      <w:r>
        <w:rPr>
          <w:rFonts w:hint="default" w:ascii="Times New Roman" w:hAnsi="Times New Roman" w:eastAsia="宋体" w:cs="Times New Roman"/>
          <w:color w:val="auto"/>
          <w:w w:val="99"/>
          <w:kern w:val="2"/>
          <w:highlight w:val="none"/>
        </w:rPr>
        <w:t>浓度较高，在钻井过程中，钻井泥浆主要起到润滑钻头、将碎岩屑带出等作用，结合钻井区域地层压力，钻井过程中钻井泥浆不会触及油层，不会混有石油类等物质。</w:t>
      </w:r>
    </w:p>
    <w:p>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color w:val="auto"/>
          <w:w w:val="99"/>
          <w:kern w:val="2"/>
          <w:highlight w:val="none"/>
        </w:rPr>
      </w:pPr>
      <w:r>
        <w:rPr>
          <w:rFonts w:hint="default" w:ascii="Times New Roman" w:hAnsi="Times New Roman" w:eastAsia="宋体" w:cs="Times New Roman"/>
          <w:color w:val="auto"/>
          <w:w w:val="99"/>
          <w:kern w:val="2"/>
          <w:highlight w:val="none"/>
        </w:rPr>
        <w:t>钻井废水进入井场钢制泥浆槽中沉淀澄清，沉淀物与废钻井液、岩屑一并由罐车拉运至</w:t>
      </w:r>
      <w:r>
        <w:rPr>
          <w:rFonts w:hint="default" w:ascii="Times New Roman" w:hAnsi="Times New Roman" w:eastAsia="宋体" w:cs="Times New Roman"/>
          <w:color w:val="auto"/>
          <w:w w:val="99"/>
          <w:kern w:val="2"/>
          <w:highlight w:val="none"/>
          <w:lang w:eastAsia="zh-CN"/>
        </w:rPr>
        <w:t>采油十厂废弃钻井液无害化处理装置</w:t>
      </w:r>
      <w:r>
        <w:rPr>
          <w:rFonts w:hint="default" w:ascii="Times New Roman" w:hAnsi="Times New Roman" w:eastAsia="宋体" w:cs="Times New Roman"/>
          <w:color w:val="auto"/>
          <w:w w:val="99"/>
          <w:kern w:val="2"/>
          <w:highlight w:val="none"/>
        </w:rPr>
        <w:t>处理，处理后的水进入</w:t>
      </w:r>
      <w:r>
        <w:rPr>
          <w:rFonts w:hint="default" w:ascii="Times New Roman" w:hAnsi="Times New Roman" w:eastAsia="宋体" w:cs="Times New Roman"/>
          <w:color w:val="auto"/>
          <w:w w:val="99"/>
          <w:kern w:val="2"/>
          <w:highlight w:val="none"/>
          <w:lang w:eastAsia="zh-CN"/>
        </w:rPr>
        <w:t>朝一联合站</w:t>
      </w:r>
      <w:r>
        <w:rPr>
          <w:rFonts w:hint="default" w:ascii="Times New Roman" w:hAnsi="Times New Roman" w:eastAsia="宋体" w:cs="Times New Roman"/>
          <w:color w:val="auto"/>
          <w:w w:val="99"/>
          <w:kern w:val="2"/>
          <w:highlight w:val="none"/>
        </w:rPr>
        <w:t>处理，产生的泥饼用于</w:t>
      </w:r>
      <w:r>
        <w:rPr>
          <w:rFonts w:hint="default" w:ascii="Times New Roman" w:hAnsi="Times New Roman" w:eastAsia="宋体" w:cs="Times New Roman"/>
          <w:color w:val="auto"/>
          <w:w w:val="99"/>
          <w:kern w:val="2"/>
          <w:highlight w:val="none"/>
          <w:lang w:eastAsia="zh-CN"/>
        </w:rPr>
        <w:t>第十采油厂</w:t>
      </w:r>
      <w:r>
        <w:rPr>
          <w:rFonts w:hint="default" w:ascii="Times New Roman" w:hAnsi="Times New Roman" w:eastAsia="宋体" w:cs="Times New Roman"/>
          <w:color w:val="auto"/>
          <w:w w:val="99"/>
          <w:kern w:val="2"/>
          <w:highlight w:val="none"/>
        </w:rPr>
        <w:t>垫高井场或通井路。钢制泥浆槽位于井场内，确保本项目产生的废弃钻井液不落地。</w:t>
      </w:r>
    </w:p>
    <w:p>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color w:val="auto"/>
          <w:w w:val="99"/>
          <w:kern w:val="2"/>
          <w:highlight w:val="none"/>
        </w:rPr>
      </w:pPr>
      <w:r>
        <w:rPr>
          <w:rFonts w:hint="default" w:ascii="Times New Roman" w:hAnsi="Times New Roman" w:eastAsia="宋体" w:cs="Times New Roman"/>
          <w:color w:val="auto"/>
          <w:w w:val="99"/>
          <w:kern w:val="2"/>
          <w:highlight w:val="none"/>
        </w:rPr>
        <w:t>本项目对地表水可能产生的污染途径主要是在钻井过程中产生的废钻井液及岩屑、钻井废水排入钢制泥浆槽，若钢制泥浆槽冒漏会污染周围土壤，由降雨形成的地表径流将受污染的土壤带入水体，将会对水体造成污染。还应采取以下污染防治措施：</w:t>
      </w:r>
    </w:p>
    <w:p>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color w:val="auto"/>
          <w:w w:val="99"/>
          <w:kern w:val="2"/>
          <w:highlight w:val="none"/>
        </w:rPr>
      </w:pPr>
      <w:r>
        <w:rPr>
          <w:rFonts w:hint="default" w:ascii="Times New Roman" w:hAnsi="Times New Roman" w:eastAsia="宋体" w:cs="Times New Roman"/>
          <w:color w:val="auto"/>
          <w:w w:val="99"/>
          <w:kern w:val="2"/>
          <w:highlight w:val="none"/>
        </w:rPr>
        <w:t>①合理规划：施工单位严格按照有关规定安排施工作业；合理进行施工组织和场地布置；对施工运输合理规划、布局，利用既有道路，运输车辆按指定路线运行；施工运输车辆加盖棚布，防止运输材料洒落，产生扬尘，影响区域内环境。</w:t>
      </w:r>
    </w:p>
    <w:p>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color w:val="auto"/>
          <w:w w:val="99"/>
          <w:kern w:val="2"/>
          <w:highlight w:val="none"/>
        </w:rPr>
      </w:pPr>
      <w:r>
        <w:rPr>
          <w:rFonts w:hint="default" w:ascii="Times New Roman" w:hAnsi="Times New Roman" w:eastAsia="宋体" w:cs="Times New Roman"/>
          <w:color w:val="auto"/>
          <w:w w:val="99"/>
          <w:kern w:val="2"/>
          <w:highlight w:val="none"/>
        </w:rPr>
        <w:t>②施工期间各类固体废物应及时清运，施工期间严禁将生活污水直接排入水体。</w:t>
      </w:r>
    </w:p>
    <w:p>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color w:val="auto"/>
          <w:w w:val="99"/>
          <w:kern w:val="2"/>
          <w:highlight w:val="none"/>
        </w:rPr>
      </w:pPr>
      <w:r>
        <w:rPr>
          <w:rFonts w:hint="default" w:ascii="Times New Roman" w:hAnsi="Times New Roman" w:eastAsia="宋体" w:cs="Times New Roman"/>
          <w:color w:val="auto"/>
          <w:w w:val="99"/>
          <w:kern w:val="2"/>
          <w:highlight w:val="none"/>
        </w:rPr>
        <w:t>③宣传教育：施工单位应加强对施工人员爱护环境防止地表水体破坏的宣传教育活动，在施工过程中，应做到井然有序的实施组织设计，做到文明施工。</w:t>
      </w:r>
    </w:p>
    <w:p>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color w:val="auto"/>
          <w:w w:val="99"/>
          <w:kern w:val="2"/>
          <w:highlight w:val="none"/>
        </w:rPr>
      </w:pPr>
      <w:r>
        <w:rPr>
          <w:rFonts w:hint="default" w:ascii="Times New Roman" w:hAnsi="Times New Roman" w:eastAsia="宋体" w:cs="Times New Roman"/>
          <w:color w:val="auto"/>
          <w:w w:val="99"/>
          <w:kern w:val="2"/>
          <w:highlight w:val="none"/>
        </w:rPr>
        <w:t>④每座施工井场泥浆泵、泥浆槽、钻机底座、井控远程控制台，砂泵坑等处设置铁质围堰，上铺防渗布，围堰高度为0.1m。</w:t>
      </w:r>
    </w:p>
    <w:p>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color w:val="auto"/>
          <w:w w:val="99"/>
          <w:kern w:val="2"/>
          <w:highlight w:val="none"/>
        </w:rPr>
      </w:pPr>
      <w:r>
        <w:rPr>
          <w:rFonts w:hint="default" w:ascii="Times New Roman" w:hAnsi="Times New Roman" w:eastAsia="宋体" w:cs="Times New Roman"/>
          <w:color w:val="auto"/>
          <w:w w:val="99"/>
          <w:kern w:val="2"/>
          <w:highlight w:val="none"/>
        </w:rPr>
        <w:t>（2）生活污水</w:t>
      </w:r>
    </w:p>
    <w:p>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color w:val="auto"/>
          <w:w w:val="99"/>
          <w:kern w:val="2"/>
          <w:highlight w:val="none"/>
        </w:rPr>
      </w:pPr>
      <w:r>
        <w:rPr>
          <w:rFonts w:hint="default" w:ascii="Times New Roman" w:hAnsi="Times New Roman" w:eastAsia="宋体" w:cs="Times New Roman"/>
          <w:color w:val="auto"/>
          <w:w w:val="99"/>
          <w:kern w:val="2"/>
          <w:highlight w:val="none"/>
        </w:rPr>
        <w:t>由于施工现场分散，施工期生活污水中主要污染物浓度较低，无有毒有害物质，排入排入</w:t>
      </w:r>
      <w:r>
        <w:rPr>
          <w:rFonts w:hint="eastAsia" w:ascii="Times New Roman" w:hAnsi="Times New Roman" w:eastAsia="宋体" w:cs="Times New Roman"/>
          <w:color w:val="auto"/>
          <w:w w:val="99"/>
          <w:kern w:val="2"/>
          <w:highlight w:val="none"/>
          <w:lang w:eastAsia="zh-CN"/>
        </w:rPr>
        <w:t>井场</w:t>
      </w:r>
      <w:r>
        <w:rPr>
          <w:rFonts w:hint="eastAsia" w:ascii="Times New Roman" w:hAnsi="Times New Roman" w:eastAsia="宋体" w:cs="Times New Roman"/>
          <w:color w:val="auto"/>
          <w:w w:val="99"/>
          <w:kern w:val="2"/>
          <w:highlight w:val="none"/>
          <w:lang w:val="en-US" w:eastAsia="zh-CN"/>
        </w:rPr>
        <w:t>新建临时防渗旱厕</w:t>
      </w:r>
      <w:r>
        <w:rPr>
          <w:rFonts w:hint="default" w:ascii="Times New Roman" w:hAnsi="Times New Roman" w:eastAsia="宋体" w:cs="Times New Roman"/>
          <w:color w:val="auto"/>
          <w:w w:val="99"/>
          <w:kern w:val="2"/>
          <w:highlight w:val="none"/>
          <w:lang w:val="en-US" w:eastAsia="zh-CN"/>
        </w:rPr>
        <w:t>内，旱厕底部设置防渗化粪</w:t>
      </w:r>
      <w:r>
        <w:rPr>
          <w:rFonts w:hint="eastAsia" w:ascii="Times New Roman" w:hAnsi="Times New Roman" w:eastAsia="宋体" w:cs="Times New Roman"/>
          <w:color w:val="auto"/>
          <w:w w:val="99"/>
          <w:kern w:val="2"/>
          <w:highlight w:val="none"/>
          <w:lang w:val="en-US" w:eastAsia="zh-CN"/>
        </w:rPr>
        <w:t>池，施工结束清掏用作农家肥后，进行卫生填埋处理（用石灰消毒后覆土平整）</w:t>
      </w:r>
      <w:r>
        <w:rPr>
          <w:rFonts w:hint="default" w:ascii="Times New Roman" w:hAnsi="Times New Roman" w:eastAsia="宋体" w:cs="Times New Roman"/>
          <w:color w:val="auto"/>
          <w:w w:val="99"/>
          <w:kern w:val="2"/>
          <w:highlight w:val="none"/>
        </w:rPr>
        <w:t>。</w:t>
      </w:r>
    </w:p>
    <w:p>
      <w:pPr>
        <w:widowControl w:val="0"/>
        <w:spacing w:line="500" w:lineRule="exact"/>
        <w:ind w:firstLine="474" w:firstLineChars="200"/>
        <w:jc w:val="both"/>
        <w:rPr>
          <w:rFonts w:ascii="Times New Roman" w:hAnsi="Times New Roman" w:cs="Times New Roman" w:eastAsiaTheme="minorEastAsia"/>
          <w:color w:val="auto"/>
          <w:w w:val="99"/>
          <w:szCs w:val="20"/>
          <w:highlight w:val="none"/>
        </w:rPr>
      </w:pPr>
      <w:r>
        <w:rPr>
          <w:rFonts w:hint="default" w:ascii="Times New Roman" w:hAnsi="Times New Roman" w:eastAsia="宋体" w:cs="Times New Roman"/>
          <w:color w:val="auto"/>
          <w:w w:val="99"/>
          <w:kern w:val="2"/>
          <w:highlight w:val="none"/>
        </w:rPr>
        <w:t>综上，在采取了上述措施后，施工期能够有效防止各类污染物进入附近地表水体造成污染事故，不会周边地表水环境产生影响。</w:t>
      </w:r>
    </w:p>
    <w:p>
      <w:pPr>
        <w:pStyle w:val="7"/>
        <w:keepNext w:val="0"/>
        <w:keepLines w:val="0"/>
        <w:widowControl w:val="0"/>
        <w:jc w:val="both"/>
        <w:rPr>
          <w:b/>
          <w:color w:val="auto"/>
          <w:w w:val="99"/>
          <w:kern w:val="2"/>
          <w:sz w:val="24"/>
          <w:szCs w:val="24"/>
          <w:highlight w:val="none"/>
        </w:rPr>
      </w:pPr>
      <w:bookmarkStart w:id="970" w:name="_Toc80105227"/>
      <w:bookmarkStart w:id="971" w:name="_Toc74812158"/>
      <w:bookmarkStart w:id="972" w:name="_Toc74812397"/>
      <w:bookmarkStart w:id="973" w:name="_Toc77667371"/>
      <w:r>
        <w:rPr>
          <w:b/>
          <w:color w:val="auto"/>
          <w:w w:val="99"/>
          <w:kern w:val="2"/>
          <w:sz w:val="24"/>
          <w:szCs w:val="24"/>
          <w:highlight w:val="none"/>
        </w:rPr>
        <w:t>5.4.2</w:t>
      </w:r>
      <w:r>
        <w:rPr>
          <w:rFonts w:hint="eastAsia"/>
          <w:b/>
          <w:color w:val="auto"/>
          <w:w w:val="99"/>
          <w:kern w:val="2"/>
          <w:sz w:val="24"/>
          <w:szCs w:val="24"/>
          <w:highlight w:val="none"/>
        </w:rPr>
        <w:t>分析结论及建议</w:t>
      </w:r>
      <w:bookmarkEnd w:id="970"/>
      <w:bookmarkEnd w:id="971"/>
      <w:bookmarkEnd w:id="972"/>
      <w:bookmarkEnd w:id="973"/>
    </w:p>
    <w:p>
      <w:pPr>
        <w:widowControl w:val="0"/>
        <w:spacing w:line="500" w:lineRule="exact"/>
        <w:ind w:firstLine="474" w:firstLineChars="200"/>
        <w:jc w:val="both"/>
        <w:rPr>
          <w:rFonts w:ascii="Times New Roman" w:hAnsi="Times New Roman" w:cs="Times New Roman" w:eastAsiaTheme="minorEastAsia"/>
          <w:color w:val="auto"/>
          <w:w w:val="99"/>
          <w:szCs w:val="20"/>
          <w:highlight w:val="none"/>
        </w:rPr>
      </w:pPr>
      <w:r>
        <w:rPr>
          <w:rFonts w:hint="eastAsia" w:ascii="Times New Roman" w:hAnsi="Times New Roman" w:cs="Times New Roman" w:eastAsiaTheme="minorEastAsia"/>
          <w:color w:val="auto"/>
          <w:w w:val="99"/>
          <w:szCs w:val="20"/>
          <w:highlight w:val="none"/>
        </w:rPr>
        <w:t>由上述分析可知，</w:t>
      </w:r>
      <w:r>
        <w:rPr>
          <w:rFonts w:ascii="Times New Roman" w:hAnsi="Times New Roman" w:cs="Times New Roman" w:eastAsiaTheme="minorEastAsia"/>
          <w:color w:val="auto"/>
          <w:w w:val="99"/>
          <w:szCs w:val="20"/>
          <w:highlight w:val="none"/>
        </w:rPr>
        <w:t>本项目建设在正常情况下对地表水</w:t>
      </w:r>
      <w:r>
        <w:rPr>
          <w:rFonts w:hint="eastAsia" w:ascii="Times New Roman" w:hAnsi="Times New Roman" w:cs="Times New Roman" w:eastAsiaTheme="minorEastAsia"/>
          <w:color w:val="auto"/>
          <w:w w:val="99"/>
          <w:szCs w:val="20"/>
          <w:highlight w:val="none"/>
        </w:rPr>
        <w:t>体的</w:t>
      </w:r>
      <w:r>
        <w:rPr>
          <w:rFonts w:ascii="Times New Roman" w:hAnsi="Times New Roman" w:cs="Times New Roman" w:eastAsiaTheme="minorEastAsia"/>
          <w:color w:val="auto"/>
          <w:w w:val="99"/>
          <w:szCs w:val="20"/>
          <w:highlight w:val="none"/>
        </w:rPr>
        <w:t>影响</w:t>
      </w:r>
      <w:r>
        <w:rPr>
          <w:rFonts w:hint="eastAsia" w:ascii="Times New Roman" w:hAnsi="Times New Roman" w:cs="Times New Roman" w:eastAsiaTheme="minorEastAsia"/>
          <w:color w:val="auto"/>
          <w:w w:val="99"/>
          <w:szCs w:val="20"/>
          <w:highlight w:val="none"/>
        </w:rPr>
        <w:t>很</w:t>
      </w:r>
      <w:r>
        <w:rPr>
          <w:rFonts w:ascii="Times New Roman" w:hAnsi="Times New Roman" w:cs="Times New Roman" w:eastAsiaTheme="minorEastAsia"/>
          <w:color w:val="auto"/>
          <w:w w:val="99"/>
          <w:szCs w:val="20"/>
          <w:highlight w:val="none"/>
        </w:rPr>
        <w:t>小。但在事故状态下，例如发生井喷时，大量的油品外泄，会对地表水体造成严重污染，但可能性极小。</w:t>
      </w:r>
    </w:p>
    <w:p>
      <w:pPr>
        <w:widowControl w:val="0"/>
        <w:spacing w:line="500" w:lineRule="exact"/>
        <w:ind w:firstLine="474" w:firstLineChars="200"/>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由于本工程区块所处环境较敏感，在钻井施工过程中，必须加强管理，同时确保各项污染控制措施及事故应急措施能够切实落实。</w:t>
      </w:r>
    </w:p>
    <w:p>
      <w:pPr>
        <w:widowControl w:val="0"/>
        <w:spacing w:line="500" w:lineRule="exact"/>
        <w:ind w:firstLine="474" w:firstLineChars="200"/>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（1）确保应急工具和设备齐备完好，以便发生泄漏事故时对产生的</w:t>
      </w:r>
      <w:r>
        <w:rPr>
          <w:rFonts w:hint="eastAsia" w:ascii="Times New Roman" w:hAnsi="Times New Roman" w:cs="Times New Roman" w:eastAsiaTheme="minorEastAsia"/>
          <w:color w:val="auto"/>
          <w:w w:val="99"/>
          <w:szCs w:val="20"/>
          <w:highlight w:val="none"/>
        </w:rPr>
        <w:t>污染物</w:t>
      </w:r>
      <w:r>
        <w:rPr>
          <w:rFonts w:ascii="Times New Roman" w:hAnsi="Times New Roman" w:cs="Times New Roman" w:eastAsiaTheme="minorEastAsia"/>
          <w:color w:val="auto"/>
          <w:w w:val="99"/>
          <w:szCs w:val="20"/>
          <w:highlight w:val="none"/>
        </w:rPr>
        <w:t>及时进行回收和处理，避免对周围地表水环境产生污染。</w:t>
      </w:r>
    </w:p>
    <w:p>
      <w:pPr>
        <w:widowControl w:val="0"/>
        <w:spacing w:line="500" w:lineRule="exact"/>
        <w:ind w:firstLine="474" w:firstLineChars="200"/>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w:t>
      </w:r>
      <w:r>
        <w:rPr>
          <w:rFonts w:hint="eastAsia" w:ascii="Times New Roman" w:hAnsi="Times New Roman" w:cs="Times New Roman" w:eastAsiaTheme="minorEastAsia"/>
          <w:color w:val="auto"/>
          <w:w w:val="99"/>
          <w:szCs w:val="20"/>
          <w:highlight w:val="none"/>
        </w:rPr>
        <w:t>2</w:t>
      </w:r>
      <w:r>
        <w:rPr>
          <w:rFonts w:ascii="Times New Roman" w:hAnsi="Times New Roman" w:cs="Times New Roman" w:eastAsiaTheme="minorEastAsia"/>
          <w:color w:val="auto"/>
          <w:w w:val="99"/>
          <w:szCs w:val="20"/>
          <w:highlight w:val="none"/>
        </w:rPr>
        <w:t>）在距离水体较近处钻井井场设置围堰，控制事故情况下影响范围，加强检测、巡检巡视，及时发现问题及时处理，尽量避免事故的发生，降低事故发生后对环境的影响程度和范围。</w:t>
      </w:r>
    </w:p>
    <w:p>
      <w:pPr>
        <w:widowControl w:val="0"/>
        <w:spacing w:line="500" w:lineRule="exact"/>
        <w:ind w:firstLine="474" w:firstLineChars="200"/>
        <w:jc w:val="both"/>
        <w:rPr>
          <w:rFonts w:ascii="Times New Roman" w:hAnsi="Times New Roman" w:cs="Times New Roman" w:eastAsiaTheme="minorEastAsia"/>
          <w:color w:val="auto"/>
          <w:w w:val="99"/>
          <w:szCs w:val="20"/>
          <w:highlight w:val="none"/>
        </w:rPr>
      </w:pPr>
      <w:r>
        <w:rPr>
          <w:rFonts w:hint="eastAsia" w:ascii="Times New Roman" w:hAnsi="Times New Roman" w:cs="Times New Roman" w:eastAsiaTheme="minorEastAsia"/>
          <w:color w:val="auto"/>
          <w:w w:val="99"/>
          <w:szCs w:val="20"/>
          <w:highlight w:val="none"/>
        </w:rPr>
        <w:t>（3）</w:t>
      </w:r>
      <w:r>
        <w:rPr>
          <w:rFonts w:ascii="Times New Roman" w:hAnsi="Times New Roman" w:cs="Times New Roman" w:eastAsiaTheme="minorEastAsia"/>
          <w:color w:val="auto"/>
          <w:w w:val="99"/>
          <w:szCs w:val="20"/>
          <w:highlight w:val="none"/>
        </w:rPr>
        <w:t>若</w:t>
      </w:r>
      <w:r>
        <w:rPr>
          <w:rFonts w:hint="eastAsia" w:ascii="Times New Roman" w:hAnsi="Times New Roman" w:cs="Times New Roman" w:eastAsiaTheme="minorEastAsia"/>
          <w:color w:val="auto"/>
          <w:w w:val="99"/>
          <w:szCs w:val="20"/>
          <w:highlight w:val="none"/>
        </w:rPr>
        <w:t>污染物</w:t>
      </w:r>
      <w:r>
        <w:rPr>
          <w:rFonts w:ascii="Times New Roman" w:hAnsi="Times New Roman" w:cs="Times New Roman" w:eastAsiaTheme="minorEastAsia"/>
          <w:color w:val="auto"/>
          <w:w w:val="99"/>
          <w:szCs w:val="20"/>
          <w:highlight w:val="none"/>
        </w:rPr>
        <w:t>已进入井场周围水域，用围油拦将污染水域围住，将污染控制在最小范围内，并</w:t>
      </w:r>
      <w:r>
        <w:rPr>
          <w:rFonts w:hint="eastAsia" w:ascii="Times New Roman" w:hAnsi="Times New Roman" w:cs="Times New Roman" w:eastAsiaTheme="minorEastAsia"/>
          <w:color w:val="auto"/>
          <w:w w:val="99"/>
          <w:szCs w:val="20"/>
          <w:highlight w:val="none"/>
        </w:rPr>
        <w:t>对污染物</w:t>
      </w:r>
      <w:r>
        <w:rPr>
          <w:rFonts w:ascii="Times New Roman" w:hAnsi="Times New Roman" w:cs="Times New Roman" w:eastAsiaTheme="minorEastAsia"/>
          <w:color w:val="auto"/>
          <w:w w:val="99"/>
          <w:szCs w:val="20"/>
          <w:highlight w:val="none"/>
        </w:rPr>
        <w:t>及时回收。</w:t>
      </w:r>
    </w:p>
    <w:p>
      <w:pPr>
        <w:pStyle w:val="5"/>
        <w:keepNext w:val="0"/>
        <w:keepLines w:val="0"/>
        <w:widowControl w:val="0"/>
        <w:rPr>
          <w:rFonts w:ascii="Times New Roman" w:hAnsi="Times New Roman"/>
          <w:b/>
          <w:snapToGrid w:val="0"/>
          <w:color w:val="auto"/>
          <w:w w:val="99"/>
          <w:highlight w:val="none"/>
        </w:rPr>
      </w:pPr>
      <w:bookmarkStart w:id="974" w:name="_Toc80105228"/>
      <w:bookmarkStart w:id="975" w:name="_Toc14526"/>
      <w:bookmarkStart w:id="976" w:name="_Toc17898224"/>
      <w:bookmarkStart w:id="977" w:name="_Toc57203301"/>
      <w:bookmarkStart w:id="978" w:name="_Toc502736503"/>
      <w:bookmarkStart w:id="979" w:name="_Toc57707971"/>
      <w:bookmarkStart w:id="980" w:name="_Toc57976723"/>
      <w:r>
        <w:rPr>
          <w:rFonts w:ascii="Times New Roman" w:hAnsi="Times New Roman"/>
          <w:b/>
          <w:snapToGrid w:val="0"/>
          <w:color w:val="auto"/>
          <w:w w:val="99"/>
          <w:highlight w:val="none"/>
        </w:rPr>
        <w:t>5.5地下水环境影响预测分析</w:t>
      </w:r>
      <w:bookmarkEnd w:id="974"/>
    </w:p>
    <w:p>
      <w:pPr>
        <w:pStyle w:val="7"/>
        <w:keepNext w:val="0"/>
        <w:keepLines w:val="0"/>
        <w:widowControl w:val="0"/>
        <w:jc w:val="both"/>
        <w:rPr>
          <w:b/>
          <w:color w:val="auto"/>
          <w:w w:val="99"/>
          <w:kern w:val="2"/>
          <w:sz w:val="24"/>
          <w:szCs w:val="24"/>
          <w:highlight w:val="none"/>
        </w:rPr>
      </w:pPr>
      <w:bookmarkStart w:id="981" w:name="_Toc80105229"/>
      <w:bookmarkStart w:id="982" w:name="_Toc61597297"/>
      <w:bookmarkStart w:id="983" w:name="_Toc17526"/>
      <w:bookmarkStart w:id="984" w:name="_Toc71372015"/>
      <w:bookmarkStart w:id="985" w:name="_Toc67523668"/>
      <w:bookmarkStart w:id="986" w:name="_Toc74812160"/>
      <w:bookmarkStart w:id="987" w:name="_Toc77667373"/>
      <w:bookmarkStart w:id="988" w:name="_Toc69690886"/>
      <w:bookmarkStart w:id="989" w:name="_Toc74812399"/>
      <w:r>
        <w:rPr>
          <w:b/>
          <w:color w:val="auto"/>
          <w:w w:val="99"/>
          <w:kern w:val="2"/>
          <w:sz w:val="24"/>
          <w:szCs w:val="24"/>
          <w:highlight w:val="none"/>
        </w:rPr>
        <w:t>5.5.1正常情况下地下水环境影响分析</w:t>
      </w:r>
      <w:bookmarkEnd w:id="981"/>
      <w:bookmarkEnd w:id="982"/>
      <w:bookmarkEnd w:id="983"/>
      <w:bookmarkEnd w:id="984"/>
      <w:bookmarkEnd w:id="985"/>
      <w:bookmarkEnd w:id="986"/>
      <w:bookmarkEnd w:id="987"/>
      <w:bookmarkEnd w:id="988"/>
      <w:bookmarkEnd w:id="989"/>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5.5.1.1钻井过程地下水环境影响分析</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钻井过程中产生的钻井泥浆与岩屑排入井场边的泥浆槽中，泥浆槽为钢结构，在泥浆槽防渗措施有效的正常情况下，钻井泥浆对地下水无影响。</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本次采取的将钻井泥浆、岩屑以及废水暂存于泥浆槽中，边产生边收集，由罐车及时拉运大庆油田昆仑集团有限公司环保分公司处理，实现了泥浆不落地，减轻了以往泥浆固化点对生态环境的影响问题，综上所述，本次钻井使用泥浆无害化处理装置对生态环境的保护起到了积极的作用。</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钻井过程中使用双层套管，开钻后，套管在钻至井深达地下水时下入，以确保该区地表及地下饮用水水源不受污染；所有套管固井泥浆均返至井口，确保安全封闭此深度内的潜水层和承压水层，同时封固地表疏松地层，为井口控制和后续完井采用预应力固井创造条件；尽可能缩短水泥胶的稠化时间减少对地层水的污染；慎重使用水泥外加剂，表层套固井不使用带毒性的水泥外加剂；提高钻井速度，减少钻井泥浆对地层水的污染及浸泡时间。结合油田多年钻井的实际经验可知，在固井质量可靠的基础上，一般井管泄漏的可能性极小。即使发生泄漏，固井时已加套管等防护措施，对地下水产生影响的可能性很小。</w:t>
      </w:r>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5.5.1.2井场储池对地下水环境影响分析</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本工程钻井井场设置钢制泥浆槽，泥浆槽做重点防渗处理，采用地面碾压平整并铺设2mm厚防渗土工布进行防渗，渗透系数</w:t>
      </w:r>
      <w:r>
        <w:rPr>
          <w:rFonts w:hint="eastAsia" w:ascii="Times New Roman" w:hAnsi="Times New Roman" w:cs="Times New Roman" w:eastAsiaTheme="minorEastAsia"/>
          <w:bCs/>
          <w:color w:val="auto"/>
          <w:w w:val="99"/>
          <w:kern w:val="21"/>
          <w:szCs w:val="20"/>
          <w:highlight w:val="none"/>
        </w:rPr>
        <w:t>为</w:t>
      </w:r>
      <w:r>
        <w:rPr>
          <w:rFonts w:ascii="Times New Roman" w:hAnsi="Times New Roman" w:cs="Times New Roman" w:eastAsiaTheme="minorEastAsia"/>
          <w:bCs/>
          <w:color w:val="auto"/>
          <w:w w:val="99"/>
          <w:kern w:val="21"/>
          <w:szCs w:val="20"/>
          <w:highlight w:val="none"/>
        </w:rPr>
        <w:t>1×10</w:t>
      </w:r>
      <w:r>
        <w:rPr>
          <w:rFonts w:ascii="Times New Roman" w:hAnsi="Times New Roman" w:cs="Times New Roman" w:eastAsiaTheme="minorEastAsia"/>
          <w:bCs/>
          <w:color w:val="auto"/>
          <w:w w:val="99"/>
          <w:kern w:val="21"/>
          <w:szCs w:val="20"/>
          <w:highlight w:val="none"/>
          <w:vertAlign w:val="superscript"/>
        </w:rPr>
        <w:t>-10</w:t>
      </w:r>
      <w:r>
        <w:rPr>
          <w:rFonts w:ascii="Times New Roman" w:hAnsi="Times New Roman" w:cs="Times New Roman" w:eastAsiaTheme="minorEastAsia"/>
          <w:bCs/>
          <w:color w:val="auto"/>
          <w:w w:val="99"/>
          <w:kern w:val="21"/>
          <w:szCs w:val="20"/>
          <w:highlight w:val="none"/>
        </w:rPr>
        <w:t>cm/s。因此正常情况下钻井泥浆不会渗漏，对地下水影响很小。废钻井泥浆采用罐车拉运至</w:t>
      </w:r>
      <w:r>
        <w:rPr>
          <w:rFonts w:hint="eastAsia" w:ascii="Times New Roman" w:hAnsi="Times New Roman" w:cs="Times New Roman" w:eastAsiaTheme="minorEastAsia"/>
          <w:bCs/>
          <w:color w:val="auto"/>
          <w:w w:val="99"/>
          <w:kern w:val="21"/>
          <w:szCs w:val="20"/>
          <w:highlight w:val="none"/>
        </w:rPr>
        <w:t>大庆油田昆仑集团有限公司环保分公司</w:t>
      </w:r>
      <w:r>
        <w:rPr>
          <w:rFonts w:ascii="Times New Roman" w:hAnsi="Times New Roman" w:cs="Times New Roman" w:eastAsiaTheme="minorEastAsia"/>
          <w:bCs/>
          <w:color w:val="auto"/>
          <w:w w:val="99"/>
          <w:kern w:val="21"/>
          <w:szCs w:val="20"/>
          <w:highlight w:val="none"/>
        </w:rPr>
        <w:t>处理。</w:t>
      </w:r>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5.5.1.3柴油罐区对地下水影响分析</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由于本工程钻井时使用柴油发电机提供动力，因此在井场设置柴油罐区一处，设置柴油罐1座，为地上式钢制卧罐，罐区四周设置围堰，围堰内场地进行防渗处理，采用地面碾压平整并铺设2mm厚防渗土工布进行防渗，渗透系数</w:t>
      </w:r>
      <w:r>
        <w:rPr>
          <w:rFonts w:hint="eastAsia" w:ascii="Times New Roman" w:hAnsi="Times New Roman" w:cs="Times New Roman" w:eastAsiaTheme="minorEastAsia"/>
          <w:bCs/>
          <w:color w:val="auto"/>
          <w:w w:val="99"/>
          <w:kern w:val="21"/>
          <w:szCs w:val="20"/>
          <w:highlight w:val="none"/>
        </w:rPr>
        <w:t>为</w:t>
      </w:r>
      <w:r>
        <w:rPr>
          <w:rFonts w:ascii="Times New Roman" w:hAnsi="Times New Roman" w:cs="Times New Roman" w:eastAsiaTheme="minorEastAsia"/>
          <w:bCs/>
          <w:color w:val="auto"/>
          <w:w w:val="99"/>
          <w:kern w:val="21"/>
          <w:szCs w:val="20"/>
          <w:highlight w:val="none"/>
        </w:rPr>
        <w:t>1×10</w:t>
      </w:r>
      <w:r>
        <w:rPr>
          <w:rFonts w:ascii="Times New Roman" w:hAnsi="Times New Roman" w:cs="Times New Roman" w:eastAsiaTheme="minorEastAsia"/>
          <w:bCs/>
          <w:color w:val="auto"/>
          <w:w w:val="99"/>
          <w:kern w:val="21"/>
          <w:szCs w:val="20"/>
          <w:highlight w:val="none"/>
          <w:vertAlign w:val="superscript"/>
        </w:rPr>
        <w:t>-10</w:t>
      </w:r>
      <w:r>
        <w:rPr>
          <w:rFonts w:ascii="Times New Roman" w:hAnsi="Times New Roman" w:cs="Times New Roman" w:eastAsiaTheme="minorEastAsia"/>
          <w:bCs/>
          <w:color w:val="auto"/>
          <w:w w:val="99"/>
          <w:kern w:val="21"/>
          <w:szCs w:val="20"/>
          <w:highlight w:val="none"/>
        </w:rPr>
        <w:t>cm/s。由于柴油罐为地上罐，即使发生泄漏也能够及时发现并处理，加之罐区场地已进行防渗处理，对地下水产生影响的可能性极小。</w:t>
      </w:r>
    </w:p>
    <w:p>
      <w:pPr>
        <w:widowControl w:val="0"/>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bCs/>
          <w:color w:val="auto"/>
          <w:w w:val="99"/>
          <w:kern w:val="21"/>
          <w:szCs w:val="20"/>
          <w:highlight w:val="none"/>
        </w:rPr>
        <w:t>综上，项目正常情况下施工期不会对地下水产生影响。</w:t>
      </w:r>
    </w:p>
    <w:p>
      <w:pPr>
        <w:pStyle w:val="7"/>
        <w:keepNext w:val="0"/>
        <w:keepLines w:val="0"/>
        <w:widowControl w:val="0"/>
        <w:jc w:val="both"/>
        <w:rPr>
          <w:b/>
          <w:color w:val="auto"/>
          <w:w w:val="99"/>
          <w:kern w:val="2"/>
          <w:sz w:val="24"/>
          <w:szCs w:val="24"/>
          <w:highlight w:val="none"/>
        </w:rPr>
      </w:pPr>
      <w:bookmarkStart w:id="990" w:name="_Toc74812400"/>
      <w:bookmarkStart w:id="991" w:name="_Toc28223"/>
      <w:bookmarkStart w:id="992" w:name="_Toc67523669"/>
      <w:bookmarkStart w:id="993" w:name="_Toc77667374"/>
      <w:bookmarkStart w:id="994" w:name="_Toc71372016"/>
      <w:bookmarkStart w:id="995" w:name="_Toc74812161"/>
      <w:bookmarkStart w:id="996" w:name="_Toc80105230"/>
      <w:bookmarkStart w:id="997" w:name="_Toc69690887"/>
      <w:bookmarkStart w:id="998" w:name="_Toc22300_WPSOffice_Level2"/>
      <w:bookmarkStart w:id="999" w:name="_Toc61597298"/>
      <w:r>
        <w:rPr>
          <w:b/>
          <w:color w:val="auto"/>
          <w:w w:val="99"/>
          <w:kern w:val="2"/>
          <w:sz w:val="24"/>
          <w:szCs w:val="24"/>
          <w:highlight w:val="none"/>
        </w:rPr>
        <w:t>5.5.2事故状态下对地下水环境影响分析</w:t>
      </w:r>
      <w:bookmarkEnd w:id="990"/>
      <w:bookmarkEnd w:id="991"/>
      <w:bookmarkEnd w:id="992"/>
      <w:bookmarkEnd w:id="993"/>
      <w:bookmarkEnd w:id="994"/>
      <w:bookmarkEnd w:id="995"/>
      <w:bookmarkEnd w:id="996"/>
      <w:bookmarkEnd w:id="997"/>
      <w:bookmarkEnd w:id="998"/>
      <w:bookmarkEnd w:id="999"/>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本次评价分别针对井场钢制泥浆槽泄漏、套管破损两种情况对地下水产生的影响进行预测。</w:t>
      </w:r>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5.5.2.1钢制泥浆槽泄漏对地下水环境影响预测与评价</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（1）预测原则</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遵循保护优先、预防为主的原则，结合地下水污染防控措施的基础上，对钢制泥浆槽泄漏引起的地下水环境影响进行预测。</w:t>
      </w:r>
      <w:r>
        <w:rPr>
          <w:rFonts w:hint="eastAsia" w:ascii="Times New Roman" w:hAnsi="Times New Roman" w:cs="Times New Roman" w:eastAsiaTheme="minorEastAsia"/>
          <w:bCs/>
          <w:color w:val="auto"/>
          <w:w w:val="99"/>
          <w:kern w:val="21"/>
          <w:szCs w:val="20"/>
          <w:highlight w:val="none"/>
        </w:rPr>
        <w:t>地下水环境影响预测时段应选取可能产生地下水污染的关键时段，至少包括污染发生后</w:t>
      </w:r>
      <w:r>
        <w:rPr>
          <w:rFonts w:ascii="Times New Roman" w:hAnsi="Times New Roman" w:cs="Times New Roman" w:eastAsiaTheme="minorEastAsia"/>
          <w:bCs/>
          <w:color w:val="auto"/>
          <w:w w:val="99"/>
          <w:kern w:val="21"/>
          <w:szCs w:val="20"/>
          <w:highlight w:val="none"/>
        </w:rPr>
        <w:t>100d、1000d，服务年限或能反映特征因子迁移规律的其他重要的时间节点。</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（2）预测范围</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地下水环境影响预测范围与调查评价范围一致。</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（3）预测因子</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废钻井液主要是由膨润土、纯碱、氢氧化钾、等无机添加剂组成，</w:t>
      </w:r>
      <w:r>
        <w:rPr>
          <w:rFonts w:ascii="Times New Roman" w:hAnsi="Times New Roman" w:cs="Times New Roman" w:eastAsiaTheme="minorEastAsia"/>
          <w:color w:val="auto"/>
          <w:w w:val="99"/>
          <w:kern w:val="21"/>
          <w:highlight w:val="none"/>
        </w:rPr>
        <w:t>钻井液</w:t>
      </w:r>
      <w:r>
        <w:rPr>
          <w:rFonts w:ascii="Times New Roman" w:hAnsi="Times New Roman" w:cs="Times New Roman" w:eastAsiaTheme="minorEastAsia"/>
          <w:bCs/>
          <w:color w:val="auto"/>
          <w:w w:val="99"/>
          <w:kern w:val="21"/>
          <w:szCs w:val="20"/>
          <w:highlight w:val="none"/>
        </w:rPr>
        <w:t>中含有大量的还原性物质，</w:t>
      </w:r>
      <w:r>
        <w:rPr>
          <w:rFonts w:hint="eastAsia" w:ascii="Times New Roman" w:hAnsi="Times New Roman" w:cs="Times New Roman" w:eastAsiaTheme="minorEastAsia"/>
          <w:bCs/>
          <w:color w:val="auto"/>
          <w:w w:val="99"/>
          <w:kern w:val="21"/>
          <w:szCs w:val="20"/>
          <w:highlight w:val="none"/>
          <w:lang w:eastAsia="zh-CN"/>
        </w:rPr>
        <w:t>耗氧量</w:t>
      </w:r>
      <w:r>
        <w:rPr>
          <w:rFonts w:ascii="Times New Roman" w:hAnsi="Times New Roman" w:cs="Times New Roman" w:eastAsiaTheme="minorEastAsia"/>
          <w:bCs/>
          <w:color w:val="auto"/>
          <w:w w:val="99"/>
          <w:kern w:val="21"/>
          <w:szCs w:val="20"/>
          <w:highlight w:val="none"/>
        </w:rPr>
        <w:t>浓度较高，在钻井过程中，</w:t>
      </w:r>
      <w:r>
        <w:rPr>
          <w:rFonts w:ascii="Times New Roman" w:hAnsi="Times New Roman" w:cs="Times New Roman" w:eastAsiaTheme="minorEastAsia"/>
          <w:color w:val="auto"/>
          <w:w w:val="99"/>
          <w:kern w:val="21"/>
          <w:highlight w:val="none"/>
        </w:rPr>
        <w:t>钻井液</w:t>
      </w:r>
      <w:r>
        <w:rPr>
          <w:rFonts w:ascii="Times New Roman" w:hAnsi="Times New Roman" w:cs="Times New Roman" w:eastAsiaTheme="minorEastAsia"/>
          <w:bCs/>
          <w:color w:val="auto"/>
          <w:w w:val="99"/>
          <w:kern w:val="21"/>
          <w:szCs w:val="20"/>
          <w:highlight w:val="none"/>
        </w:rPr>
        <w:t>主要起到润滑钻头、将碎岩屑带出等作用，结合钻井区域地层压力，钻井过程中不会触处油层，也不进行试油钻井液不会混有石油类等物质，因此</w:t>
      </w:r>
      <w:r>
        <w:rPr>
          <w:rFonts w:ascii="Times New Roman" w:hAnsi="Times New Roman" w:cs="Times New Roman" w:eastAsiaTheme="minorEastAsia"/>
          <w:color w:val="auto"/>
          <w:w w:val="99"/>
          <w:kern w:val="21"/>
          <w:highlight w:val="none"/>
        </w:rPr>
        <w:t>钻井液</w:t>
      </w:r>
      <w:r>
        <w:rPr>
          <w:rFonts w:ascii="Times New Roman" w:hAnsi="Times New Roman" w:cs="Times New Roman" w:eastAsiaTheme="minorEastAsia"/>
          <w:bCs/>
          <w:color w:val="auto"/>
          <w:w w:val="99"/>
          <w:kern w:val="21"/>
          <w:szCs w:val="20"/>
          <w:highlight w:val="none"/>
        </w:rPr>
        <w:t>对地下水产生的影响因子主要为</w:t>
      </w:r>
      <w:r>
        <w:rPr>
          <w:rFonts w:hint="eastAsia" w:ascii="Times New Roman" w:hAnsi="Times New Roman" w:cs="Times New Roman" w:eastAsiaTheme="minorEastAsia"/>
          <w:bCs/>
          <w:color w:val="auto"/>
          <w:w w:val="99"/>
          <w:kern w:val="21"/>
          <w:szCs w:val="20"/>
          <w:highlight w:val="none"/>
          <w:lang w:eastAsia="zh-CN"/>
        </w:rPr>
        <w:t>耗氧量</w:t>
      </w:r>
      <w:r>
        <w:rPr>
          <w:rFonts w:ascii="Times New Roman" w:hAnsi="Times New Roman" w:cs="Times New Roman" w:eastAsiaTheme="minorEastAsia"/>
          <w:bCs/>
          <w:color w:val="auto"/>
          <w:w w:val="99"/>
          <w:kern w:val="21"/>
          <w:szCs w:val="20"/>
          <w:highlight w:val="none"/>
        </w:rPr>
        <w:t>，</w:t>
      </w:r>
      <w:r>
        <w:rPr>
          <w:rFonts w:ascii="Times New Roman" w:hAnsi="Times New Roman" w:cs="Times New Roman" w:eastAsiaTheme="minorEastAsia"/>
          <w:color w:val="auto"/>
          <w:w w:val="99"/>
          <w:kern w:val="21"/>
          <w:highlight w:val="none"/>
        </w:rPr>
        <w:t>钻井液</w:t>
      </w:r>
      <w:r>
        <w:rPr>
          <w:rFonts w:ascii="Times New Roman" w:hAnsi="Times New Roman" w:cs="Times New Roman" w:eastAsiaTheme="minorEastAsia"/>
          <w:bCs/>
          <w:color w:val="auto"/>
          <w:w w:val="99"/>
          <w:kern w:val="21"/>
          <w:szCs w:val="20"/>
          <w:highlight w:val="none"/>
        </w:rPr>
        <w:t>中</w:t>
      </w:r>
      <w:r>
        <w:rPr>
          <w:rFonts w:hint="eastAsia" w:ascii="Times New Roman" w:hAnsi="Times New Roman" w:cs="Times New Roman" w:eastAsiaTheme="minorEastAsia"/>
          <w:bCs/>
          <w:color w:val="auto"/>
          <w:w w:val="99"/>
          <w:kern w:val="21"/>
          <w:szCs w:val="20"/>
          <w:highlight w:val="none"/>
          <w:lang w:eastAsia="zh-CN"/>
        </w:rPr>
        <w:t>耗氧量</w:t>
      </w:r>
      <w:r>
        <w:rPr>
          <w:rFonts w:ascii="Times New Roman" w:hAnsi="Times New Roman" w:cs="Times New Roman" w:eastAsiaTheme="minorEastAsia"/>
          <w:bCs/>
          <w:color w:val="auto"/>
          <w:w w:val="99"/>
          <w:kern w:val="21"/>
          <w:szCs w:val="20"/>
          <w:highlight w:val="none"/>
        </w:rPr>
        <w:t>的浓度一般可达2000mg/L，本项目预测中</w:t>
      </w:r>
      <w:r>
        <w:rPr>
          <w:rFonts w:hint="eastAsia" w:ascii="Times New Roman" w:hAnsi="Times New Roman" w:cs="Times New Roman" w:eastAsiaTheme="minorEastAsia"/>
          <w:bCs/>
          <w:color w:val="auto"/>
          <w:w w:val="99"/>
          <w:kern w:val="21"/>
          <w:szCs w:val="20"/>
          <w:highlight w:val="none"/>
          <w:lang w:eastAsia="zh-CN"/>
        </w:rPr>
        <w:t>耗氧量</w:t>
      </w:r>
      <w:r>
        <w:rPr>
          <w:rFonts w:ascii="Times New Roman" w:hAnsi="Times New Roman" w:cs="Times New Roman" w:eastAsiaTheme="minorEastAsia"/>
          <w:bCs/>
          <w:color w:val="auto"/>
          <w:w w:val="99"/>
          <w:kern w:val="21"/>
          <w:szCs w:val="20"/>
          <w:highlight w:val="none"/>
        </w:rPr>
        <w:t>的浓度取2000mg/L。</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（4）预测参数</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根据本地区的水文地质条件及地勘资料，潜水地下水流速度0.015m/d；根据《环境影响评价技术导则地下水环境》（HJ610-2016）水文地质参数经验值表数据及相关地勘资料，区域地下水纵向弥散系数0.2m</w:t>
      </w:r>
      <w:r>
        <w:rPr>
          <w:rFonts w:ascii="Times New Roman" w:hAnsi="Times New Roman" w:cs="Times New Roman" w:eastAsiaTheme="minorEastAsia"/>
          <w:bCs/>
          <w:color w:val="auto"/>
          <w:w w:val="99"/>
          <w:kern w:val="21"/>
          <w:szCs w:val="20"/>
          <w:highlight w:val="none"/>
          <w:vertAlign w:val="superscript"/>
        </w:rPr>
        <w:t>2</w:t>
      </w:r>
      <w:r>
        <w:rPr>
          <w:rFonts w:ascii="Times New Roman" w:hAnsi="Times New Roman" w:cs="Times New Roman" w:eastAsiaTheme="minorEastAsia"/>
          <w:bCs/>
          <w:color w:val="auto"/>
          <w:w w:val="99"/>
          <w:kern w:val="21"/>
          <w:szCs w:val="20"/>
          <w:highlight w:val="none"/>
        </w:rPr>
        <w:t>/d，横向弥散系数0.02m</w:t>
      </w:r>
      <w:r>
        <w:rPr>
          <w:rFonts w:ascii="Times New Roman" w:hAnsi="Times New Roman" w:cs="Times New Roman" w:eastAsiaTheme="minorEastAsia"/>
          <w:bCs/>
          <w:color w:val="auto"/>
          <w:w w:val="99"/>
          <w:kern w:val="21"/>
          <w:szCs w:val="20"/>
          <w:highlight w:val="none"/>
          <w:vertAlign w:val="superscript"/>
        </w:rPr>
        <w:t>2</w:t>
      </w:r>
      <w:r>
        <w:rPr>
          <w:rFonts w:ascii="Times New Roman" w:hAnsi="Times New Roman" w:cs="Times New Roman" w:eastAsiaTheme="minorEastAsia"/>
          <w:bCs/>
          <w:color w:val="auto"/>
          <w:w w:val="99"/>
          <w:kern w:val="21"/>
          <w:szCs w:val="20"/>
          <w:highlight w:val="none"/>
        </w:rPr>
        <w:t>/d，有效孔隙度为0.4，水力坡度I=0.0006，潜水含水层厚度以1.5m计，化学反应常数为0。</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（5）预测源强</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根据钻井平台设计资料，每口井井场设置容积1个容积为100m</w:t>
      </w:r>
      <w:r>
        <w:rPr>
          <w:rFonts w:ascii="Times New Roman" w:hAnsi="Times New Roman" w:cs="Times New Roman" w:eastAsiaTheme="minorEastAsia"/>
          <w:bCs/>
          <w:color w:val="auto"/>
          <w:w w:val="99"/>
          <w:kern w:val="21"/>
          <w:szCs w:val="20"/>
          <w:highlight w:val="none"/>
          <w:vertAlign w:val="superscript"/>
        </w:rPr>
        <w:t>3</w:t>
      </w:r>
      <w:r>
        <w:rPr>
          <w:rFonts w:ascii="Times New Roman" w:hAnsi="Times New Roman" w:cs="Times New Roman" w:eastAsiaTheme="minorEastAsia"/>
          <w:bCs/>
          <w:color w:val="auto"/>
          <w:w w:val="99"/>
          <w:kern w:val="21"/>
          <w:szCs w:val="20"/>
          <w:highlight w:val="none"/>
        </w:rPr>
        <w:t xml:space="preserve">的钢制泥浆槽（10×5×2m），以保守为原则，假定钢制泥浆槽由于地基不均匀沉降或者其他外力作用，导致池底出现10%面积的破损，钻井废液经包气带渗入地下含水层。钢制泥浆槽使用时间最长约14天，持续泄漏时间为14天，钢制泥浆槽水位高度为2.0m，池底出现破裂后，池内2.0m深的钻井废液经包气带进入地下水中，池水进入地下属于有压渗透，假定包气带充满水，按达西公式计算钻井废液的渗漏量，公式如下： </w:t>
      </w:r>
    </w:p>
    <w:p>
      <w:pPr>
        <w:widowControl w:val="0"/>
        <w:adjustRightInd w:val="0"/>
        <w:snapToGrid w:val="0"/>
        <w:jc w:val="center"/>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color w:val="auto"/>
          <w:w w:val="99"/>
          <w:sz w:val="22"/>
          <w:szCs w:val="22"/>
          <w:highlight w:val="none"/>
        </w:rPr>
        <w:drawing>
          <wp:inline distT="0" distB="0" distL="0" distR="0">
            <wp:extent cx="1630680" cy="569595"/>
            <wp:effectExtent l="0" t="0" r="7620" b="1905"/>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pic:cNvPicPr>
                      <a:picLocks noChangeAspect="1" noChangeArrowheads="1"/>
                    </pic:cNvPicPr>
                  </pic:nvPicPr>
                  <pic:blipFill>
                    <a:blip r:embed="rId37">
                      <a:extLst>
                        <a:ext uri="{28A0092B-C50C-407E-A947-70E740481C1C}">
                          <a14:useLocalDpi xmlns:a14="http://schemas.microsoft.com/office/drawing/2010/main" val="0"/>
                        </a:ext>
                      </a:extLst>
                    </a:blip>
                    <a:srcRect t="4762"/>
                    <a:stretch>
                      <a:fillRect/>
                    </a:stretch>
                  </pic:blipFill>
                  <pic:spPr>
                    <a:xfrm>
                      <a:off x="0" y="0"/>
                      <a:ext cx="1630680" cy="569595"/>
                    </a:xfrm>
                    <a:prstGeom prst="rect">
                      <a:avLst/>
                    </a:prstGeom>
                    <a:noFill/>
                    <a:ln>
                      <a:noFill/>
                    </a:ln>
                    <a:effectLst/>
                  </pic:spPr>
                </pic:pic>
              </a:graphicData>
            </a:graphic>
          </wp:inline>
        </w:drawing>
      </w:r>
    </w:p>
    <w:p>
      <w:pPr>
        <w:widowControl w:val="0"/>
        <w:adjustRightInd w:val="0"/>
        <w:snapToGrid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式中：Q—为渗入到地下水的</w:t>
      </w:r>
      <w:r>
        <w:rPr>
          <w:rFonts w:ascii="Times New Roman" w:hAnsi="Times New Roman" w:cs="Times New Roman" w:eastAsiaTheme="minorEastAsia"/>
          <w:color w:val="auto"/>
          <w:w w:val="99"/>
          <w:kern w:val="21"/>
          <w:highlight w:val="none"/>
        </w:rPr>
        <w:t>钻井液</w:t>
      </w:r>
      <w:r>
        <w:rPr>
          <w:rFonts w:ascii="Times New Roman" w:hAnsi="Times New Roman" w:cs="Times New Roman" w:eastAsiaTheme="minorEastAsia"/>
          <w:bCs/>
          <w:color w:val="auto"/>
          <w:w w:val="99"/>
          <w:kern w:val="21"/>
          <w:szCs w:val="20"/>
          <w:highlight w:val="none"/>
        </w:rPr>
        <w:t>量（m</w:t>
      </w:r>
      <w:r>
        <w:rPr>
          <w:rFonts w:ascii="Times New Roman" w:hAnsi="Times New Roman" w:cs="Times New Roman" w:eastAsiaTheme="minorEastAsia"/>
          <w:bCs/>
          <w:color w:val="auto"/>
          <w:w w:val="99"/>
          <w:kern w:val="21"/>
          <w:szCs w:val="20"/>
          <w:highlight w:val="none"/>
          <w:vertAlign w:val="superscript"/>
        </w:rPr>
        <w:t>3</w:t>
      </w:r>
      <w:r>
        <w:rPr>
          <w:rFonts w:ascii="Times New Roman" w:hAnsi="Times New Roman" w:cs="Times New Roman" w:eastAsiaTheme="minorEastAsia"/>
          <w:bCs/>
          <w:color w:val="auto"/>
          <w:w w:val="99"/>
          <w:kern w:val="21"/>
          <w:szCs w:val="20"/>
          <w:highlight w:val="none"/>
        </w:rPr>
        <w:t xml:space="preserve">/d）； </w:t>
      </w:r>
    </w:p>
    <w:p>
      <w:pPr>
        <w:widowControl w:val="0"/>
        <w:adjustRightInd w:val="0"/>
        <w:snapToGrid w:val="0"/>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 xml:space="preserve">K—为包气带的垂向渗透系数（m/d），取0.01m/d； </w:t>
      </w:r>
    </w:p>
    <w:p>
      <w:pPr>
        <w:widowControl w:val="0"/>
        <w:adjustRightInd w:val="0"/>
        <w:snapToGrid w:val="0"/>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 xml:space="preserve">H—为池内水深（m），考虑最不利影响情况本次取2.0m； </w:t>
      </w:r>
    </w:p>
    <w:p>
      <w:pPr>
        <w:widowControl w:val="0"/>
        <w:adjustRightInd w:val="0"/>
        <w:snapToGrid w:val="0"/>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D—为地下水埋深（m），考虑最不利影响情况本次取2.4m；</w:t>
      </w:r>
    </w:p>
    <w:p>
      <w:pPr>
        <w:widowControl w:val="0"/>
        <w:adjustRightInd w:val="0"/>
        <w:snapToGrid w:val="0"/>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A—为钢制泥浆槽泄漏面积（m</w:t>
      </w:r>
      <w:r>
        <w:rPr>
          <w:rFonts w:ascii="Times New Roman" w:hAnsi="Times New Roman" w:cs="Times New Roman" w:eastAsiaTheme="minorEastAsia"/>
          <w:bCs/>
          <w:color w:val="auto"/>
          <w:w w:val="99"/>
          <w:kern w:val="21"/>
          <w:szCs w:val="20"/>
          <w:highlight w:val="none"/>
          <w:vertAlign w:val="superscript"/>
        </w:rPr>
        <w:t>2</w:t>
      </w:r>
      <w:r>
        <w:rPr>
          <w:rFonts w:ascii="Times New Roman" w:hAnsi="Times New Roman" w:cs="Times New Roman" w:eastAsiaTheme="minorEastAsia"/>
          <w:bCs/>
          <w:color w:val="auto"/>
          <w:w w:val="99"/>
          <w:kern w:val="21"/>
          <w:szCs w:val="20"/>
          <w:highlight w:val="none"/>
        </w:rPr>
        <w:t>），按10%的破损面积，本次取5m</w:t>
      </w:r>
      <w:r>
        <w:rPr>
          <w:rFonts w:ascii="Times New Roman" w:hAnsi="Times New Roman" w:cs="Times New Roman" w:eastAsiaTheme="minorEastAsia"/>
          <w:bCs/>
          <w:color w:val="auto"/>
          <w:w w:val="99"/>
          <w:kern w:val="21"/>
          <w:szCs w:val="20"/>
          <w:highlight w:val="none"/>
          <w:vertAlign w:val="superscript"/>
        </w:rPr>
        <w:t>2</w:t>
      </w:r>
      <w:r>
        <w:rPr>
          <w:rFonts w:ascii="Times New Roman" w:hAnsi="Times New Roman" w:cs="Times New Roman" w:eastAsiaTheme="minorEastAsia"/>
          <w:bCs/>
          <w:color w:val="auto"/>
          <w:w w:val="99"/>
          <w:kern w:val="21"/>
          <w:szCs w:val="20"/>
          <w:highlight w:val="none"/>
        </w:rPr>
        <w:t>。</w:t>
      </w:r>
    </w:p>
    <w:p>
      <w:pPr>
        <w:widowControl w:val="0"/>
        <w:adjustRightInd w:val="0"/>
        <w:snapToGrid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根据上述公式计算得到，钻井钢制泥浆槽池底破损钻井废水渗漏量（Q）为0.092m</w:t>
      </w:r>
      <w:r>
        <w:rPr>
          <w:rFonts w:ascii="Times New Roman" w:hAnsi="Times New Roman" w:cs="Times New Roman" w:eastAsiaTheme="minorEastAsia"/>
          <w:bCs/>
          <w:color w:val="auto"/>
          <w:w w:val="99"/>
          <w:kern w:val="21"/>
          <w:szCs w:val="20"/>
          <w:highlight w:val="none"/>
          <w:vertAlign w:val="superscript"/>
        </w:rPr>
        <w:t>3</w:t>
      </w:r>
      <w:r>
        <w:rPr>
          <w:rFonts w:ascii="Times New Roman" w:hAnsi="Times New Roman" w:cs="Times New Roman" w:eastAsiaTheme="minorEastAsia"/>
          <w:bCs/>
          <w:color w:val="auto"/>
          <w:w w:val="99"/>
          <w:kern w:val="21"/>
          <w:szCs w:val="20"/>
          <w:highlight w:val="none"/>
        </w:rPr>
        <w:t>/d，因此钻井泥浆持续泄漏时间为14天，则进入地下水中的钻井泥浆量为1.288m</w:t>
      </w:r>
      <w:r>
        <w:rPr>
          <w:rFonts w:ascii="Times New Roman" w:hAnsi="Times New Roman" w:cs="Times New Roman" w:eastAsiaTheme="minorEastAsia"/>
          <w:bCs/>
          <w:color w:val="auto"/>
          <w:w w:val="99"/>
          <w:kern w:val="21"/>
          <w:szCs w:val="20"/>
          <w:highlight w:val="none"/>
          <w:vertAlign w:val="superscript"/>
        </w:rPr>
        <w:t>3</w:t>
      </w:r>
      <w:r>
        <w:rPr>
          <w:rFonts w:ascii="Times New Roman" w:hAnsi="Times New Roman" w:cs="Times New Roman" w:eastAsiaTheme="minorEastAsia"/>
          <w:bCs/>
          <w:color w:val="auto"/>
          <w:w w:val="99"/>
          <w:kern w:val="21"/>
          <w:szCs w:val="20"/>
          <w:highlight w:val="none"/>
        </w:rPr>
        <w:t xml:space="preserve">。 </w:t>
      </w:r>
    </w:p>
    <w:p>
      <w:pPr>
        <w:widowControl w:val="0"/>
        <w:adjustRightInd w:val="0"/>
        <w:snapToGrid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将钢制泥浆槽的位置设定为主要污染源的分布位置，预测非正常状况下污染物在地下水中迁移过程，进一步分析污染物影响范围、超标范围，非正常状况下污染物预测源强见表</w:t>
      </w:r>
      <w:r>
        <w:rPr>
          <w:rFonts w:ascii="Times New Roman" w:hAnsi="Times New Roman" w:cs="Times New Roman" w:eastAsiaTheme="minorEastAsia"/>
          <w:color w:val="auto"/>
          <w:w w:val="99"/>
          <w:kern w:val="2"/>
          <w:highlight w:val="none"/>
        </w:rPr>
        <w:t>5.5-1</w:t>
      </w:r>
      <w:r>
        <w:rPr>
          <w:rFonts w:ascii="Times New Roman" w:hAnsi="Times New Roman" w:cs="Times New Roman" w:eastAsiaTheme="minorEastAsia"/>
          <w:bCs/>
          <w:color w:val="auto"/>
          <w:w w:val="99"/>
          <w:kern w:val="21"/>
          <w:szCs w:val="20"/>
          <w:highlight w:val="none"/>
        </w:rPr>
        <w:t>。</w:t>
      </w:r>
    </w:p>
    <w:p>
      <w:pPr>
        <w:spacing w:line="500" w:lineRule="exact"/>
        <w:ind w:firstLine="476" w:firstLineChars="200"/>
        <w:jc w:val="both"/>
        <w:rPr>
          <w:rFonts w:ascii="Times New Roman" w:hAnsi="Times New Roman" w:cs="Times New Roman" w:eastAsiaTheme="minorEastAsia"/>
          <w:b/>
          <w:bCs w:val="0"/>
          <w:color w:val="auto"/>
          <w:w w:val="99"/>
          <w:kern w:val="21"/>
          <w:highlight w:val="none"/>
        </w:rPr>
      </w:pPr>
      <w:r>
        <w:rPr>
          <w:rFonts w:ascii="Times New Roman" w:hAnsi="Times New Roman" w:cs="Times New Roman" w:eastAsiaTheme="minorEastAsia"/>
          <w:b/>
          <w:bCs w:val="0"/>
          <w:color w:val="auto"/>
          <w:w w:val="99"/>
          <w:kern w:val="21"/>
          <w:szCs w:val="20"/>
          <w:highlight w:val="none"/>
        </w:rPr>
        <w:t>表</w:t>
      </w:r>
      <w:r>
        <w:rPr>
          <w:rFonts w:ascii="Times New Roman" w:hAnsi="Times New Roman" w:cs="Times New Roman" w:eastAsiaTheme="minorEastAsia"/>
          <w:b/>
          <w:bCs w:val="0"/>
          <w:color w:val="auto"/>
          <w:w w:val="99"/>
          <w:kern w:val="2"/>
          <w:highlight w:val="none"/>
        </w:rPr>
        <w:t>5.5-1</w:t>
      </w:r>
      <w:r>
        <w:rPr>
          <w:rFonts w:ascii="Times New Roman" w:hAnsi="Times New Roman" w:cs="Times New Roman" w:eastAsiaTheme="minorEastAsia"/>
          <w:b/>
          <w:bCs w:val="0"/>
          <w:color w:val="auto"/>
          <w:w w:val="99"/>
          <w:kern w:val="21"/>
          <w:szCs w:val="20"/>
          <w:highlight w:val="none"/>
        </w:rPr>
        <w:t xml:space="preserve">        非正常工况下钢制泥浆槽泄漏污染物预测源强</w:t>
      </w:r>
    </w:p>
    <w:tbl>
      <w:tblPr>
        <w:tblStyle w:val="8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64"/>
        <w:gridCol w:w="1235"/>
        <w:gridCol w:w="1179"/>
        <w:gridCol w:w="2071"/>
        <w:gridCol w:w="1545"/>
        <w:gridCol w:w="15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2"/>
                <w:highlight w:val="none"/>
                <w:lang w:val="zh-CN"/>
              </w:rPr>
            </w:pPr>
            <w:r>
              <w:rPr>
                <w:rFonts w:ascii="Times New Roman" w:hAnsi="Times New Roman" w:cs="Times New Roman" w:eastAsiaTheme="minorEastAsia"/>
                <w:color w:val="auto"/>
                <w:w w:val="99"/>
                <w:sz w:val="21"/>
                <w:szCs w:val="22"/>
                <w:highlight w:val="none"/>
                <w:lang w:val="zh-CN"/>
              </w:rPr>
              <w:t>泄漏位置</w:t>
            </w:r>
          </w:p>
        </w:tc>
        <w:tc>
          <w:tcPr>
            <w:tcW w:w="665"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2"/>
                <w:highlight w:val="none"/>
                <w:lang w:val="zh-CN"/>
              </w:rPr>
            </w:pPr>
            <w:r>
              <w:rPr>
                <w:rFonts w:ascii="Times New Roman" w:hAnsi="Times New Roman" w:cs="Times New Roman" w:eastAsiaTheme="minorEastAsia"/>
                <w:color w:val="auto"/>
                <w:w w:val="99"/>
                <w:sz w:val="21"/>
                <w:szCs w:val="22"/>
                <w:highlight w:val="none"/>
                <w:lang w:val="zh-CN"/>
              </w:rPr>
              <w:t>渗漏量（m</w:t>
            </w:r>
            <w:r>
              <w:rPr>
                <w:rFonts w:ascii="Times New Roman" w:hAnsi="Times New Roman" w:cs="Times New Roman" w:eastAsiaTheme="minorEastAsia"/>
                <w:color w:val="auto"/>
                <w:w w:val="99"/>
                <w:sz w:val="21"/>
                <w:szCs w:val="22"/>
                <w:highlight w:val="none"/>
                <w:vertAlign w:val="superscript"/>
                <w:lang w:val="zh-CN"/>
              </w:rPr>
              <w:t>3</w:t>
            </w:r>
            <w:r>
              <w:rPr>
                <w:rFonts w:ascii="Times New Roman" w:hAnsi="Times New Roman" w:cs="Times New Roman" w:eastAsiaTheme="minorEastAsia"/>
                <w:color w:val="auto"/>
                <w:w w:val="99"/>
                <w:sz w:val="21"/>
                <w:szCs w:val="22"/>
                <w:highlight w:val="none"/>
                <w:lang w:val="zh-CN"/>
              </w:rPr>
              <w:t>）</w:t>
            </w:r>
          </w:p>
        </w:tc>
        <w:tc>
          <w:tcPr>
            <w:tcW w:w="635"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2"/>
                <w:highlight w:val="none"/>
                <w:lang w:val="zh-CN"/>
              </w:rPr>
            </w:pPr>
            <w:r>
              <w:rPr>
                <w:rFonts w:ascii="Times New Roman" w:hAnsi="Times New Roman" w:cs="Times New Roman" w:eastAsiaTheme="minorEastAsia"/>
                <w:color w:val="auto"/>
                <w:w w:val="99"/>
                <w:sz w:val="21"/>
                <w:szCs w:val="22"/>
                <w:highlight w:val="none"/>
                <w:lang w:val="zh-CN"/>
              </w:rPr>
              <w:t>污染物</w:t>
            </w:r>
          </w:p>
        </w:tc>
        <w:tc>
          <w:tcPr>
            <w:tcW w:w="1115"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2"/>
                <w:highlight w:val="none"/>
                <w:lang w:val="zh-CN"/>
              </w:rPr>
            </w:pPr>
            <w:r>
              <w:rPr>
                <w:rFonts w:ascii="Times New Roman" w:hAnsi="Times New Roman" w:cs="Times New Roman" w:eastAsiaTheme="minorEastAsia"/>
                <w:color w:val="auto"/>
                <w:w w:val="99"/>
                <w:sz w:val="21"/>
                <w:szCs w:val="22"/>
                <w:highlight w:val="none"/>
                <w:lang w:val="zh-CN"/>
              </w:rPr>
              <w:t>污染物浓度（mg/L）</w:t>
            </w:r>
          </w:p>
        </w:tc>
        <w:tc>
          <w:tcPr>
            <w:tcW w:w="83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2"/>
                <w:highlight w:val="none"/>
                <w:lang w:val="zh-CN"/>
              </w:rPr>
            </w:pPr>
            <w:r>
              <w:rPr>
                <w:rFonts w:ascii="Times New Roman" w:hAnsi="Times New Roman" w:cs="Times New Roman" w:eastAsiaTheme="minorEastAsia"/>
                <w:color w:val="auto"/>
                <w:w w:val="99"/>
                <w:sz w:val="21"/>
                <w:szCs w:val="22"/>
                <w:highlight w:val="none"/>
                <w:lang w:val="zh-CN"/>
              </w:rPr>
              <w:t>污染物渗漏量（g）</w:t>
            </w:r>
          </w:p>
        </w:tc>
        <w:tc>
          <w:tcPr>
            <w:tcW w:w="85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2"/>
                <w:highlight w:val="none"/>
                <w:lang w:val="zh-CN"/>
              </w:rPr>
            </w:pPr>
            <w:r>
              <w:rPr>
                <w:rFonts w:ascii="Times New Roman" w:hAnsi="Times New Roman" w:cs="Times New Roman" w:eastAsiaTheme="minorEastAsia"/>
                <w:color w:val="auto"/>
                <w:w w:val="99"/>
                <w:sz w:val="21"/>
                <w:szCs w:val="22"/>
                <w:highlight w:val="none"/>
                <w:lang w:val="zh-CN"/>
              </w:rPr>
              <w:t>渗漏时间（d）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2"/>
                <w:highlight w:val="none"/>
                <w:lang w:val="zh-CN"/>
              </w:rPr>
            </w:pPr>
            <w:r>
              <w:rPr>
                <w:rFonts w:ascii="Times New Roman" w:hAnsi="Times New Roman" w:cs="Times New Roman" w:eastAsiaTheme="minorEastAsia"/>
                <w:color w:val="auto"/>
                <w:w w:val="99"/>
                <w:sz w:val="21"/>
                <w:szCs w:val="22"/>
                <w:highlight w:val="none"/>
              </w:rPr>
              <w:t>钢制泥浆槽池底破裂</w:t>
            </w:r>
          </w:p>
        </w:tc>
        <w:tc>
          <w:tcPr>
            <w:tcW w:w="665"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2"/>
                <w:highlight w:val="none"/>
              </w:rPr>
            </w:pPr>
            <w:r>
              <w:rPr>
                <w:rFonts w:ascii="Times New Roman" w:hAnsi="Times New Roman" w:cs="Times New Roman" w:eastAsiaTheme="minorEastAsia"/>
                <w:bCs/>
                <w:color w:val="auto"/>
                <w:w w:val="99"/>
                <w:sz w:val="21"/>
                <w:szCs w:val="22"/>
                <w:highlight w:val="none"/>
              </w:rPr>
              <w:t>1.288</w:t>
            </w:r>
          </w:p>
        </w:tc>
        <w:tc>
          <w:tcPr>
            <w:tcW w:w="635"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2"/>
                <w:highlight w:val="none"/>
                <w:lang w:val="zh-CN"/>
              </w:rPr>
            </w:pPr>
            <w:r>
              <w:rPr>
                <w:rFonts w:hint="eastAsia" w:ascii="Times New Roman" w:hAnsi="Times New Roman" w:cs="Times New Roman" w:eastAsiaTheme="minorEastAsia"/>
                <w:color w:val="auto"/>
                <w:w w:val="99"/>
                <w:sz w:val="21"/>
                <w:szCs w:val="22"/>
                <w:highlight w:val="none"/>
                <w:lang w:val="zh-CN"/>
              </w:rPr>
              <w:t>耗氧量</w:t>
            </w:r>
          </w:p>
        </w:tc>
        <w:tc>
          <w:tcPr>
            <w:tcW w:w="1115"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2"/>
                <w:highlight w:val="none"/>
                <w:lang w:val="zh-CN"/>
              </w:rPr>
            </w:pPr>
            <w:r>
              <w:rPr>
                <w:rFonts w:ascii="Times New Roman" w:hAnsi="Times New Roman" w:cs="Times New Roman" w:eastAsiaTheme="minorEastAsia"/>
                <w:color w:val="auto"/>
                <w:w w:val="99"/>
                <w:sz w:val="21"/>
                <w:szCs w:val="22"/>
                <w:highlight w:val="none"/>
                <w:lang w:val="zh-CN"/>
              </w:rPr>
              <w:t>2000</w:t>
            </w:r>
          </w:p>
        </w:tc>
        <w:tc>
          <w:tcPr>
            <w:tcW w:w="83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2"/>
                <w:highlight w:val="none"/>
              </w:rPr>
            </w:pPr>
            <w:r>
              <w:rPr>
                <w:rFonts w:ascii="Times New Roman" w:hAnsi="Times New Roman" w:cs="Times New Roman" w:eastAsiaTheme="minorEastAsia"/>
                <w:color w:val="auto"/>
                <w:w w:val="99"/>
                <w:sz w:val="21"/>
                <w:szCs w:val="22"/>
                <w:highlight w:val="none"/>
              </w:rPr>
              <w:t>2576</w:t>
            </w:r>
          </w:p>
        </w:tc>
        <w:tc>
          <w:tcPr>
            <w:tcW w:w="85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2"/>
                <w:highlight w:val="none"/>
                <w:lang w:val="zh-CN"/>
              </w:rPr>
            </w:pPr>
            <w:r>
              <w:rPr>
                <w:rFonts w:ascii="Times New Roman" w:hAnsi="Times New Roman" w:cs="Times New Roman" w:eastAsiaTheme="minorEastAsia"/>
                <w:color w:val="auto"/>
                <w:w w:val="99"/>
                <w:sz w:val="21"/>
                <w:szCs w:val="22"/>
                <w:highlight w:val="none"/>
                <w:lang w:val="zh-CN"/>
              </w:rPr>
              <w:t>14</w:t>
            </w:r>
          </w:p>
        </w:tc>
      </w:tr>
    </w:tbl>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（6）预测模型</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由于本项目污染物的排放对地下水流场没有明显的影响，项目区内含水层的基本参数（渗透系数、有效孔隙度）不会发生变化。预测模型选择《环境影响评价技术导则地下水环境》（HJ610-2016）推荐的地下水溶质运移解析法中的一维稳定流动二维弥散点源模型进行预测，按点源瞬时泄漏计算。</w:t>
      </w:r>
    </w:p>
    <w:p>
      <w:pPr>
        <w:widowControl w:val="0"/>
        <w:spacing w:line="50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瞬时注入示踪剂—平面瞬时点源</w:t>
      </w:r>
    </w:p>
    <w:p>
      <w:pPr>
        <w:jc w:val="center"/>
        <w:rPr>
          <w:rFonts w:ascii="Times New Roman" w:hAnsi="Times New Roman" w:cs="Times New Roman" w:eastAsiaTheme="minorEastAsia"/>
          <w:color w:val="auto"/>
          <w:w w:val="99"/>
          <w:sz w:val="28"/>
          <w:szCs w:val="28"/>
          <w:highlight w:val="none"/>
        </w:rPr>
      </w:pPr>
      <w:r>
        <w:rPr>
          <w:rFonts w:ascii="Times New Roman" w:hAnsi="Times New Roman" w:cs="Times New Roman" w:eastAsiaTheme="minorEastAsia"/>
          <w:color w:val="auto"/>
          <w:w w:val="99"/>
          <w:sz w:val="28"/>
          <w:szCs w:val="28"/>
          <w:highlight w:val="none"/>
        </w:rPr>
        <w:drawing>
          <wp:inline distT="0" distB="0" distL="0" distR="0">
            <wp:extent cx="3169285" cy="76898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3169285" cy="768985"/>
                    </a:xfrm>
                    <a:prstGeom prst="rect">
                      <a:avLst/>
                    </a:prstGeom>
                    <a:noFill/>
                  </pic:spPr>
                </pic:pic>
              </a:graphicData>
            </a:graphic>
          </wp:inline>
        </w:drawing>
      </w:r>
    </w:p>
    <w:p>
      <w:pPr>
        <w:widowControl w:val="0"/>
        <w:spacing w:line="50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式中：</w:t>
      </w:r>
    </w:p>
    <w:p>
      <w:pPr>
        <w:widowControl w:val="0"/>
        <w:spacing w:line="50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x，y—计算点处的位置坐标；</w:t>
      </w:r>
    </w:p>
    <w:p>
      <w:pPr>
        <w:widowControl w:val="0"/>
        <w:spacing w:line="50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t—时间，d；</w:t>
      </w:r>
    </w:p>
    <w:p>
      <w:pPr>
        <w:widowControl w:val="0"/>
        <w:spacing w:line="50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C(x，y，t)—t时刻点x，y处的浓度，g/L；</w:t>
      </w:r>
    </w:p>
    <w:p>
      <w:pPr>
        <w:widowControl w:val="0"/>
        <w:spacing w:line="50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M—含水层的厚度，m；</w:t>
      </w:r>
    </w:p>
    <w:p>
      <w:pPr>
        <w:widowControl w:val="0"/>
        <w:spacing w:line="50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m</w:t>
      </w:r>
      <w:r>
        <w:rPr>
          <w:rFonts w:ascii="Times New Roman" w:hAnsi="Times New Roman" w:cs="Times New Roman"/>
          <w:color w:val="auto"/>
          <w:w w:val="99"/>
          <w:kern w:val="2"/>
          <w:szCs w:val="20"/>
          <w:highlight w:val="none"/>
          <w:vertAlign w:val="subscript"/>
        </w:rPr>
        <w:t>M</w:t>
      </w:r>
      <w:r>
        <w:rPr>
          <w:rFonts w:ascii="Times New Roman" w:hAnsi="Times New Roman" w:cs="Times New Roman"/>
          <w:color w:val="auto"/>
          <w:w w:val="99"/>
          <w:kern w:val="2"/>
          <w:szCs w:val="20"/>
          <w:highlight w:val="none"/>
        </w:rPr>
        <w:t>—瞬时注入的质量，kg；</w:t>
      </w:r>
    </w:p>
    <w:p>
      <w:pPr>
        <w:widowControl w:val="0"/>
        <w:spacing w:line="50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u—水流速度，m/d；</w:t>
      </w:r>
    </w:p>
    <w:p>
      <w:pPr>
        <w:widowControl w:val="0"/>
        <w:spacing w:line="50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n—有效孔隙度；</w:t>
      </w:r>
    </w:p>
    <w:p>
      <w:pPr>
        <w:widowControl w:val="0"/>
        <w:spacing w:line="50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DL—纵向弥散系数，m</w:t>
      </w:r>
      <w:r>
        <w:rPr>
          <w:rFonts w:ascii="Times New Roman" w:hAnsi="Times New Roman" w:cs="Times New Roman"/>
          <w:color w:val="auto"/>
          <w:w w:val="99"/>
          <w:kern w:val="2"/>
          <w:szCs w:val="20"/>
          <w:highlight w:val="none"/>
          <w:vertAlign w:val="superscript"/>
        </w:rPr>
        <w:t>2</w:t>
      </w:r>
      <w:r>
        <w:rPr>
          <w:rFonts w:ascii="Times New Roman" w:hAnsi="Times New Roman" w:cs="Times New Roman"/>
          <w:color w:val="auto"/>
          <w:w w:val="99"/>
          <w:kern w:val="2"/>
          <w:szCs w:val="20"/>
          <w:highlight w:val="none"/>
        </w:rPr>
        <w:t>/d；</w:t>
      </w:r>
    </w:p>
    <w:p>
      <w:pPr>
        <w:widowControl w:val="0"/>
        <w:spacing w:line="50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DT—横向y方向的弥散系数，m</w:t>
      </w:r>
      <w:r>
        <w:rPr>
          <w:rFonts w:ascii="Times New Roman" w:hAnsi="Times New Roman" w:cs="Times New Roman"/>
          <w:color w:val="auto"/>
          <w:w w:val="99"/>
          <w:kern w:val="2"/>
          <w:szCs w:val="20"/>
          <w:highlight w:val="none"/>
          <w:vertAlign w:val="superscript"/>
        </w:rPr>
        <w:t>2</w:t>
      </w:r>
      <w:r>
        <w:rPr>
          <w:rFonts w:ascii="Times New Roman" w:hAnsi="Times New Roman" w:cs="Times New Roman"/>
          <w:color w:val="auto"/>
          <w:w w:val="99"/>
          <w:kern w:val="2"/>
          <w:szCs w:val="20"/>
          <w:highlight w:val="none"/>
        </w:rPr>
        <w:t>/d。</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（7）预测结果</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color w:val="auto"/>
          <w:w w:val="99"/>
          <w:kern w:val="2"/>
          <w:highlight w:val="none"/>
        </w:rPr>
        <w:t>预测结果见表5.5-2及图5.5-1、图5.5-2。</w:t>
      </w:r>
    </w:p>
    <w:p>
      <w:pPr>
        <w:spacing w:line="500" w:lineRule="exact"/>
        <w:ind w:firstLine="476" w:firstLineChars="200"/>
        <w:jc w:val="both"/>
        <w:rPr>
          <w:rFonts w:ascii="Times New Roman" w:hAnsi="Times New Roman" w:cs="Times New Roman" w:eastAsiaTheme="minorEastAsia"/>
          <w:b/>
          <w:bCs w:val="0"/>
          <w:color w:val="auto"/>
          <w:w w:val="99"/>
          <w:kern w:val="21"/>
          <w:szCs w:val="20"/>
          <w:highlight w:val="none"/>
        </w:rPr>
      </w:pPr>
      <w:r>
        <w:rPr>
          <w:rFonts w:ascii="Times New Roman" w:hAnsi="Times New Roman" w:cs="Times New Roman" w:eastAsiaTheme="minorEastAsia"/>
          <w:b/>
          <w:bCs w:val="0"/>
          <w:color w:val="auto"/>
          <w:w w:val="99"/>
          <w:kern w:val="21"/>
          <w:szCs w:val="20"/>
          <w:highlight w:val="none"/>
        </w:rPr>
        <w:t>表</w:t>
      </w:r>
      <w:r>
        <w:rPr>
          <w:rFonts w:ascii="Times New Roman" w:hAnsi="Times New Roman" w:cs="Times New Roman" w:eastAsiaTheme="minorEastAsia"/>
          <w:b/>
          <w:bCs w:val="0"/>
          <w:color w:val="auto"/>
          <w:w w:val="99"/>
          <w:kern w:val="2"/>
          <w:highlight w:val="none"/>
        </w:rPr>
        <w:t>5.5-2</w:t>
      </w:r>
      <w:r>
        <w:rPr>
          <w:rFonts w:ascii="Times New Roman" w:hAnsi="Times New Roman" w:cs="Times New Roman" w:eastAsiaTheme="minorEastAsia"/>
          <w:b/>
          <w:bCs w:val="0"/>
          <w:color w:val="auto"/>
          <w:w w:val="99"/>
          <w:kern w:val="21"/>
          <w:szCs w:val="20"/>
          <w:highlight w:val="none"/>
        </w:rPr>
        <w:t xml:space="preserve">            钢制泥浆槽</w:t>
      </w:r>
      <w:r>
        <w:rPr>
          <w:rFonts w:hint="eastAsia" w:ascii="Times New Roman" w:hAnsi="Times New Roman" w:cs="Times New Roman" w:eastAsiaTheme="minorEastAsia"/>
          <w:b/>
          <w:bCs w:val="0"/>
          <w:color w:val="auto"/>
          <w:w w:val="99"/>
          <w:kern w:val="21"/>
          <w:szCs w:val="20"/>
          <w:highlight w:val="none"/>
          <w:lang w:eastAsia="zh-CN"/>
        </w:rPr>
        <w:t>耗氧量</w:t>
      </w:r>
      <w:r>
        <w:rPr>
          <w:rFonts w:ascii="Times New Roman" w:hAnsi="Times New Roman" w:cs="Times New Roman" w:eastAsiaTheme="minorEastAsia"/>
          <w:b/>
          <w:bCs w:val="0"/>
          <w:color w:val="auto"/>
          <w:w w:val="99"/>
          <w:kern w:val="21"/>
          <w:szCs w:val="20"/>
          <w:highlight w:val="none"/>
        </w:rPr>
        <w:t xml:space="preserve">泄漏预测结果表 </w:t>
      </w:r>
    </w:p>
    <w:tbl>
      <w:tblPr>
        <w:tblStyle w:val="8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2"/>
        <w:gridCol w:w="1137"/>
        <w:gridCol w:w="1558"/>
        <w:gridCol w:w="1558"/>
        <w:gridCol w:w="1135"/>
        <w:gridCol w:w="1558"/>
        <w:gridCol w:w="13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8"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污染物</w:t>
            </w:r>
          </w:p>
        </w:tc>
        <w:tc>
          <w:tcPr>
            <w:tcW w:w="612"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预测时间</w:t>
            </w:r>
          </w:p>
        </w:tc>
        <w:tc>
          <w:tcPr>
            <w:tcW w:w="839" w:type="pct"/>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下游最大浓度</w:t>
            </w:r>
          </w:p>
        </w:tc>
        <w:tc>
          <w:tcPr>
            <w:tcW w:w="839"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超标距离</w:t>
            </w:r>
          </w:p>
        </w:tc>
        <w:tc>
          <w:tcPr>
            <w:tcW w:w="611"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超标面积</w:t>
            </w:r>
          </w:p>
        </w:tc>
        <w:tc>
          <w:tcPr>
            <w:tcW w:w="839"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最远影响距离</w:t>
            </w:r>
          </w:p>
        </w:tc>
        <w:tc>
          <w:tcPr>
            <w:tcW w:w="743"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影响面积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8" w:type="pct"/>
            <w:vMerge w:val="restart"/>
            <w:vAlign w:val="center"/>
          </w:tcPr>
          <w:p>
            <w:pPr>
              <w:spacing w:line="360" w:lineRule="exact"/>
              <w:jc w:val="center"/>
              <w:rPr>
                <w:rFonts w:hint="eastAsia" w:ascii="Times New Roman" w:hAnsi="Times New Roman" w:cs="Times New Roman" w:eastAsiaTheme="minorEastAsia"/>
                <w:color w:val="auto"/>
                <w:w w:val="99"/>
                <w:kern w:val="2"/>
                <w:sz w:val="21"/>
                <w:szCs w:val="21"/>
                <w:highlight w:val="none"/>
                <w:lang w:eastAsia="zh-CN"/>
              </w:rPr>
            </w:pPr>
            <w:r>
              <w:rPr>
                <w:rFonts w:hint="eastAsia" w:ascii="Times New Roman" w:hAnsi="Times New Roman" w:cs="Times New Roman" w:eastAsiaTheme="minorEastAsia"/>
                <w:color w:val="auto"/>
                <w:w w:val="99"/>
                <w:kern w:val="2"/>
                <w:sz w:val="21"/>
                <w:szCs w:val="21"/>
                <w:highlight w:val="none"/>
                <w:lang w:eastAsia="zh-CN"/>
              </w:rPr>
              <w:t>耗氧量</w:t>
            </w:r>
          </w:p>
        </w:tc>
        <w:tc>
          <w:tcPr>
            <w:tcW w:w="612"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100天</w:t>
            </w:r>
          </w:p>
        </w:tc>
        <w:tc>
          <w:tcPr>
            <w:tcW w:w="839" w:type="pct"/>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42.44</w:t>
            </w:r>
            <w:r>
              <w:rPr>
                <w:rFonts w:ascii="Times New Roman" w:hAnsi="Times New Roman" w:cs="Times New Roman" w:eastAsiaTheme="minorEastAsia"/>
                <w:bCs/>
                <w:color w:val="auto"/>
                <w:w w:val="99"/>
                <w:kern w:val="2"/>
                <w:sz w:val="21"/>
                <w:szCs w:val="21"/>
                <w:highlight w:val="none"/>
              </w:rPr>
              <w:t>mg/L</w:t>
            </w:r>
          </w:p>
        </w:tc>
        <w:tc>
          <w:tcPr>
            <w:tcW w:w="839"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16.5m</w:t>
            </w:r>
          </w:p>
        </w:tc>
        <w:tc>
          <w:tcPr>
            <w:tcW w:w="611"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210.25m</w:t>
            </w:r>
            <w:r>
              <w:rPr>
                <w:rFonts w:ascii="Times New Roman" w:hAnsi="Times New Roman" w:cs="Times New Roman" w:eastAsiaTheme="minorEastAsia"/>
                <w:color w:val="auto"/>
                <w:w w:val="99"/>
                <w:kern w:val="2"/>
                <w:sz w:val="21"/>
                <w:szCs w:val="21"/>
                <w:highlight w:val="none"/>
                <w:vertAlign w:val="superscript"/>
              </w:rPr>
              <w:t>2</w:t>
            </w:r>
          </w:p>
        </w:tc>
        <w:tc>
          <w:tcPr>
            <w:tcW w:w="839"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20.5m</w:t>
            </w:r>
          </w:p>
        </w:tc>
        <w:tc>
          <w:tcPr>
            <w:tcW w:w="743"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350.75m</w:t>
            </w:r>
            <w:r>
              <w:rPr>
                <w:rFonts w:ascii="Times New Roman" w:hAnsi="Times New Roman" w:cs="Times New Roman" w:eastAsiaTheme="minorEastAsia"/>
                <w:color w:val="auto"/>
                <w:w w:val="99"/>
                <w:kern w:val="2"/>
                <w:sz w:val="21"/>
                <w:szCs w:val="21"/>
                <w:highlight w:val="none"/>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8" w:type="pct"/>
            <w:vMerge w:val="continue"/>
            <w:vAlign w:val="center"/>
          </w:tcPr>
          <w:p>
            <w:pPr>
              <w:spacing w:line="360" w:lineRule="exact"/>
              <w:jc w:val="center"/>
              <w:rPr>
                <w:rFonts w:ascii="Times New Roman" w:hAnsi="Times New Roman" w:cs="Times New Roman" w:eastAsiaTheme="minorEastAsia"/>
                <w:color w:val="auto"/>
                <w:w w:val="99"/>
                <w:kern w:val="2"/>
                <w:sz w:val="21"/>
                <w:szCs w:val="21"/>
                <w:highlight w:val="none"/>
              </w:rPr>
            </w:pPr>
          </w:p>
        </w:tc>
        <w:tc>
          <w:tcPr>
            <w:tcW w:w="612"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1000天</w:t>
            </w:r>
          </w:p>
        </w:tc>
        <w:tc>
          <w:tcPr>
            <w:tcW w:w="839" w:type="pct"/>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4.24</w:t>
            </w:r>
            <w:r>
              <w:rPr>
                <w:rFonts w:ascii="Times New Roman" w:hAnsi="Times New Roman" w:cs="Times New Roman" w:eastAsiaTheme="minorEastAsia"/>
                <w:bCs/>
                <w:color w:val="auto"/>
                <w:w w:val="99"/>
                <w:kern w:val="2"/>
                <w:sz w:val="21"/>
                <w:szCs w:val="21"/>
                <w:highlight w:val="none"/>
              </w:rPr>
              <w:t>mg/L</w:t>
            </w:r>
          </w:p>
        </w:tc>
        <w:tc>
          <w:tcPr>
            <w:tcW w:w="839"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32m</w:t>
            </w:r>
          </w:p>
        </w:tc>
        <w:tc>
          <w:tcPr>
            <w:tcW w:w="611"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274m</w:t>
            </w:r>
            <w:r>
              <w:rPr>
                <w:rFonts w:ascii="Times New Roman" w:hAnsi="Times New Roman" w:cs="Times New Roman" w:eastAsiaTheme="minorEastAsia"/>
                <w:color w:val="auto"/>
                <w:w w:val="99"/>
                <w:kern w:val="2"/>
                <w:sz w:val="21"/>
                <w:szCs w:val="21"/>
                <w:highlight w:val="none"/>
                <w:vertAlign w:val="superscript"/>
              </w:rPr>
              <w:t>2</w:t>
            </w:r>
          </w:p>
        </w:tc>
        <w:tc>
          <w:tcPr>
            <w:tcW w:w="839"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57m</w:t>
            </w:r>
          </w:p>
        </w:tc>
        <w:tc>
          <w:tcPr>
            <w:tcW w:w="743"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1704m</w:t>
            </w:r>
            <w:r>
              <w:rPr>
                <w:rFonts w:ascii="Times New Roman" w:hAnsi="Times New Roman" w:cs="Times New Roman" w:eastAsiaTheme="minorEastAsia"/>
                <w:color w:val="auto"/>
                <w:w w:val="99"/>
                <w:kern w:val="2"/>
                <w:sz w:val="21"/>
                <w:szCs w:val="21"/>
                <w:highlight w:val="none"/>
                <w:vertAlign w:val="superscript"/>
              </w:rPr>
              <w:t>2</w:t>
            </w:r>
          </w:p>
        </w:tc>
      </w:tr>
    </w:tbl>
    <w:p>
      <w:pPr>
        <w:jc w:val="center"/>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color w:val="auto"/>
          <w:w w:val="99"/>
          <w:highlight w:val="none"/>
        </w:rPr>
        <mc:AlternateContent>
          <mc:Choice Requires="wpg">
            <w:drawing>
              <wp:anchor distT="0" distB="0" distL="114300" distR="114300" simplePos="0" relativeHeight="251663360" behindDoc="0" locked="0" layoutInCell="1" allowOverlap="1">
                <wp:simplePos x="0" y="0"/>
                <wp:positionH relativeFrom="column">
                  <wp:posOffset>2472690</wp:posOffset>
                </wp:positionH>
                <wp:positionV relativeFrom="paragraph">
                  <wp:posOffset>1335405</wp:posOffset>
                </wp:positionV>
                <wp:extent cx="1970405" cy="1339850"/>
                <wp:effectExtent l="0" t="0" r="67945" b="241300"/>
                <wp:wrapNone/>
                <wp:docPr id="487" name="组合 487"/>
                <wp:cNvGraphicFramePr/>
                <a:graphic xmlns:a="http://schemas.openxmlformats.org/drawingml/2006/main">
                  <a:graphicData uri="http://schemas.microsoft.com/office/word/2010/wordprocessingGroup">
                    <wpg:wgp>
                      <wpg:cNvGrpSpPr/>
                      <wpg:grpSpPr>
                        <a:xfrm>
                          <a:off x="0" y="0"/>
                          <a:ext cx="1970690" cy="1340069"/>
                          <a:chOff x="0" y="0"/>
                          <a:chExt cx="1970690" cy="1340069"/>
                        </a:xfrm>
                      </wpg:grpSpPr>
                      <wps:wsp>
                        <wps:cNvPr id="478" name="椭圆 478"/>
                        <wps:cNvSpPr/>
                        <wps:spPr>
                          <a:xfrm>
                            <a:off x="165538" y="283780"/>
                            <a:ext cx="63062" cy="457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9" name="矩形 479"/>
                        <wps:cNvSpPr/>
                        <wps:spPr>
                          <a:xfrm>
                            <a:off x="0" y="0"/>
                            <a:ext cx="512379" cy="2601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sz w:val="11"/>
                                  <w:szCs w:val="11"/>
                                </w:rPr>
                              </w:pPr>
                              <w:r>
                                <w:rPr>
                                  <w:rFonts w:hint="eastAsia"/>
                                  <w:b/>
                                  <w:sz w:val="11"/>
                                  <w:szCs w:val="11"/>
                                </w:rPr>
                                <w:t>污染</w:t>
                              </w:r>
                              <w:r>
                                <w:rPr>
                                  <w:b/>
                                  <w:sz w:val="11"/>
                                  <w:szCs w:val="11"/>
                                </w:rPr>
                                <w:t>源点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80" name="直接箭头连接符 480"/>
                        <wps:cNvCnPr/>
                        <wps:spPr>
                          <a:xfrm flipH="1">
                            <a:off x="780393" y="331076"/>
                            <a:ext cx="1000648" cy="914494"/>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1" name="矩形 481"/>
                        <wps:cNvSpPr/>
                        <wps:spPr>
                          <a:xfrm rot="2868655">
                            <a:off x="926225" y="295603"/>
                            <a:ext cx="874986" cy="1213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地</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下</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水</w:t>
                              </w:r>
                            </w:p>
                            <w:p>
                              <w:pPr>
                                <w:jc w:val="center"/>
                                <w:rPr>
                                  <w:color w:val="000000" w:themeColor="text1"/>
                                  <w14:textFill>
                                    <w14:solidFill>
                                      <w14:schemeClr w14:val="tx1"/>
                                    </w14:solidFill>
                                  </w14:textFill>
                                </w:rPr>
                              </w:pPr>
                              <w:r>
                                <w:rPr>
                                  <w:color w:val="000000" w:themeColor="text1"/>
                                  <w14:textFill>
                                    <w14:solidFill>
                                      <w14:schemeClr w14:val="tx1"/>
                                    </w14:solidFill>
                                  </w14:textFill>
                                </w:rPr>
                                <w:t>流</w:t>
                              </w:r>
                            </w:p>
                            <w:p>
                              <w:pPr>
                                <w:jc w:val="center"/>
                                <w:rPr>
                                  <w:color w:val="000000" w:themeColor="text1"/>
                                  <w14:textFill>
                                    <w14:solidFill>
                                      <w14:schemeClr w14:val="tx1"/>
                                    </w14:solidFill>
                                  </w14:textFill>
                                </w:rPr>
                              </w:pPr>
                              <w:r>
                                <w:rPr>
                                  <w:color w:val="000000" w:themeColor="text1"/>
                                  <w14:textFill>
                                    <w14:solidFill>
                                      <w14:schemeClr w14:val="tx1"/>
                                    </w14:solidFill>
                                  </w14:textFill>
                                </w:rPr>
                                <w:t>向</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94.7pt;margin-top:105.15pt;height:105.5pt;width:155.15pt;z-index:251663360;mso-width-relative:page;mso-height-relative:page;" coordsize="1970690,1340069" o:gfxdata="UEsDBAoAAAAAAIdO4kAAAAAAAAAAAAAAAAAEAAAAZHJzL1BLAwQUAAAACACHTuJABwB0fdwAAAAL&#10;AQAADwAAAGRycy9kb3ducmV2LnhtbE2PwU7DMBBE70j8g7VI3KjtpJQmZFOhCjhVlWiREDc33iZR&#10;YzuK3aT9e8wJjqt5mnlbrC6mYyMNvnUWQc4EMLKV062tET73bw9LYD4oq1XnLCFcycOqvL0pVK7d&#10;ZD9o3IWaxRLrc4XQhNDnnPuqIaP8zPVkY3Z0g1EhnkPN9aCmWG46ngix4Ea1Ni40qqd1Q9VpdzYI&#10;75OaXlL5Om5Ox/X1e/+4/dpIQry/k+IZWKBL+IPhVz+qQxmdDu5stWcdQrrM5hFFSKRIgUVikWVP&#10;wA4I80SmwMuC//+h/AFQSwMEFAAAAAgAh07iQGWECrsiBAAAFA4AAA4AAABkcnMvZTJvRG9jLnht&#10;bO1Xy24kNRTdI/EPVu1J16urq0rpjEJnEpAiJlJArN1u10Ny2cZ2pzusEWKF2INAQgMSEsNqdgjx&#10;NZnwGVy7XJ2ePGYyDBohMb2o9quu7z0+91zX7oN1x9AZVboVfBpEO2GAKCdi0fJ6Gnzy8eF7eYC0&#10;wXyBmeB0GpxTHTzYe/ed3ZUsaSwawRZUITDCdbmS06AxRpajkSYN7bDeEZJymKyE6rCBrqpHC4VX&#10;YL1jozgMs9FKqIVUglCtYfSgnwy8RXUfg6KqWkIPBFl2lJveqqIMGwhJN63UwZ7ztqooMY+qSlOD&#10;2DSASI17wibQntvnaG8Xl7XCsmmJdwHfx4VrMXW45bDpxtQBNhgtVXvDVNcSJbSozA4R3agPxCEC&#10;UUThNWyOlFhKF0tdrmq5AR0O6hrq/9gs+ejsRKF2MQ3SfBIgjjs48svfv7j45itkRwCflaxLWHak&#10;5Kk8UX6g7ns25HWlOvsPwaC1Q/Z8gyxdG0RgMComYVYA6ATmoiQFHhQ99qSBA7rxHmkevuTN0bDx&#10;yPq3cWclgZX6Cir9elCdNlhSdwLaYjBANYEc6aF69vjJxXdfohRGHDJu2QYnXWqA7BaQomw8TsAI&#10;oBHnyST3RBzgypIwi3uw0vEkclBtAsalVNocUdEh25gGlDHgvHUTl/jsWBvwBFYPq+ywFqxdHLaM&#10;uY6q5zOm0Bm2SeF+1nl45blljKMVHFY8Ce25YUj1ClIMmp0EumheBwizGjSEGOX2fu5tfb9NrJMH&#10;WDe9M85Cz4uuNSAzrO2mQb7tIuPgqT3lHlnbmovFOZyMEn12a0kOWzB7jLU5wQrSGfwHwTOP4FEx&#10;AUEJ3wpQI9Tnt43b9UAdmA3QCuQBAv5siRUNEPuQA6mKKE3BrHEdOKMYOmp7Zr49w5fdTADYEUir&#10;JK5p1xs2NCsluk9BF/ftrjCFOYG9e2h9Z2Z62QJlJXR/3y0DDZHYHPNTSaxxe7hc7C+NqFpHgit0&#10;PGiQGjah30iOFEOOXP7wy8UfP0KOOB7b3SGVXp4jAMNNIRlHcQJ2nI7EWRglkafuoEID631uKKgA&#10;L0oMLmxWAPtx+cp833r336CxWc/XXkPeMvq/yGhQ6aFAfvv02dc/Xf725OLx07/+/N62f/0Z6qWT&#10;cU/wGffFcpCqvmChCsT6gyFbfc2EApAUieN7kkThJOs1cCgHEQhglkK5sNXTKk+Rvpj12ijc1o2Z&#10;Cc4hAYTqteGO4rDF4z4HsmQMob6u5L8fgpVb6sqr5QouDW7ZQ75A5lzC3cSoFvOaUW/5znJgN/ZC&#10;96YULwd59xcor3gw4jP6bsXr61acZzncCZxUeVIUcRbH4/6OUIyzMLG2cDmQIp+kRZ71nIjiKCnS&#10;scfkrRS6Mv//LO7uOgwfC+4+5z9s7NfIdt+lxtXH3N7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wYAAFtDb250ZW50X1R5cGVzXS54bWxQSwEC&#10;FAAKAAAAAACHTuJAAAAAAAAAAAAAAAAABgAAAAAAAAAAABAAAAB5BQAAX3JlbHMvUEsBAhQAFAAA&#10;AAgAh07iQIoUZjzRAAAAlAEAAAsAAAAAAAAAAQAgAAAAnQUAAF9yZWxzLy5yZWxzUEsBAhQACgAA&#10;AAAAh07iQAAAAAAAAAAAAAAAAAQAAAAAAAAAAAAQAAAAAAAAAGRycy9QSwECFAAUAAAACACHTuJA&#10;BwB0fdwAAAALAQAADwAAAAAAAAABACAAAAAiAAAAZHJzL2Rvd25yZXYueG1sUEsBAhQAFAAAAAgA&#10;h07iQGWECrsiBAAAFA4AAA4AAAAAAAAAAQAgAAAAKwEAAGRycy9lMm9Eb2MueG1sUEsFBgAAAAAG&#10;AAYAWQEAAL8HAAAAAA==&#10;">
                <o:lock v:ext="edit" aspectratio="f"/>
                <v:shape id="_x0000_s1026" o:spid="_x0000_s1026" o:spt="3" type="#_x0000_t3" style="position:absolute;left:165538;top:283780;height:45719;width:63062;v-text-anchor:middle;" fillcolor="#000000 [3213]" filled="t" stroked="t" coordsize="21600,21600" o:gfxdata="UEsDBAoAAAAAAIdO4kAAAAAAAAAAAAAAAAAEAAAAZHJzL1BLAwQUAAAACACHTuJAJHsdWLcAAADc&#10;AAAADwAAAGRycy9kb3ducmV2LnhtbEVPyQrCMBC9C/5DGMGbpoqoVKOgICo9uSB4G5qxDTaT0sTt&#10;781B8Ph4+3z5tpV4UuONYwWDfgKCOHfacKHgfNr0piB8QNZYOSYFH/KwXLRbc0y1e/GBnsdQiBjC&#10;PkUFZQh1KqXPS7Lo+64mjtzNNRZDhE0hdYOvGG4rOUySsbRoODaUWNO6pPx+fFgFWX6ZVltpzSn7&#10;3Fb7bGcO9dUo1e0MkhmIQO/wF//cO61gNIlr45l4BOTi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kex1YtwAAANwAAAAP&#10;AAAAAAAAAAEAIAAAACIAAABkcnMvZG93bnJldi54bWxQSwECFAAUAAAACACHTuJAMy8FnjsAAAA5&#10;AAAAEAAAAAAAAAABACAAAAAGAQAAZHJzL3NoYXBleG1sLnhtbFBLBQYAAAAABgAGAFsBAACwAwAA&#10;AAA=&#10;">
                  <v:fill on="t" focussize="0,0"/>
                  <v:stroke weight="1pt" color="#000000 [3213]" miterlimit="8" joinstyle="miter"/>
                  <v:imagedata o:title=""/>
                  <o:lock v:ext="edit" aspectratio="f"/>
                </v:shape>
                <v:rect id="_x0000_s1026" o:spid="_x0000_s1026" o:spt="1" style="position:absolute;left:0;top:0;height:260131;width:512379;v-text-anchor:middle;" filled="f" stroked="f" coordsize="21600,21600" o:gfxdata="UEsDBAoAAAAAAIdO4kAAAAAAAAAAAAAAAAAEAAAAZHJzL1BLAwQUAAAACACHTuJAStwsf70AAADc&#10;AAAADwAAAGRycy9kb3ducmV2LnhtbEWPQWsCMRSE70L/Q3iF3jSrFLVbo1BBVDyItr2/Js/dpZuX&#10;JYm7+u+NIHgcZuYbZra42Fq05EPlWMFwkIEg1s5UXCj4+V71pyBCRDZYOyYFVwqwmL/0Zpgb1/GB&#10;2mMsRIJwyFFBGWOTSxl0SRbDwDXEyTs5bzEm6QtpPHYJbms5yrKxtFhxWiixoWVJ+v94tgp+3emr&#10;s/qPt+11X53XO6/1dKfU2+sw+wQR6RKf4Ud7YxS8Tz7gfiYdAT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3Cx/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jc w:val="center"/>
                          <w:rPr>
                            <w:b/>
                            <w:sz w:val="11"/>
                            <w:szCs w:val="11"/>
                          </w:rPr>
                        </w:pPr>
                        <w:r>
                          <w:rPr>
                            <w:rFonts w:hint="eastAsia"/>
                            <w:b/>
                            <w:sz w:val="11"/>
                            <w:szCs w:val="11"/>
                          </w:rPr>
                          <w:t>污染</w:t>
                        </w:r>
                        <w:r>
                          <w:rPr>
                            <w:b/>
                            <w:sz w:val="11"/>
                            <w:szCs w:val="11"/>
                          </w:rPr>
                          <w:t>源点</w:t>
                        </w:r>
                      </w:p>
                    </w:txbxContent>
                  </v:textbox>
                </v:rect>
                <v:shape id="_x0000_s1026" o:spid="_x0000_s1026" o:spt="32" type="#_x0000_t32" style="position:absolute;left:780393;top:331076;flip:x;height:914494;width:1000648;" filled="f" stroked="t" coordsize="21600,21600" o:gfxdata="UEsDBAoAAAAAAIdO4kAAAAAAAAAAAAAAAAAEAAAAZHJzL1BLAwQUAAAACACHTuJAKZHL1rwAAADc&#10;AAAADwAAAGRycy9kb3ducmV2LnhtbEVPTWvCQBC9F/oflil4q5vUWELMJtCiIB6ExoIeh+yYhGZn&#10;Q3aN+u/dg9Dj433n5c30YqLRdZYVxPMIBHFtdceNgt/D5j0F4Tyyxt4yKbiTg7J4fckx0/bKPzRV&#10;vhEhhF2GClrvh0xKV7dk0M3tQBy4sx0N+gDHRuoRryHc9PIjij6lwY5DQ4sDfbdU/1UXo+CyPybp&#10;16ZaHtbbKV26XbKo3Emp2VscrUB4uvl/8dO91QqSNMwPZ8IR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Ry9a8AAAA&#10;3AAAAA8AAAAAAAAAAQAgAAAAIgAAAGRycy9kb3ducmV2LnhtbFBLAQIUABQAAAAIAIdO4kAzLwWe&#10;OwAAADkAAAAQAAAAAAAAAAEAIAAAAAsBAABkcnMvc2hhcGV4bWwueG1sUEsFBgAAAAAGAAYAWwEA&#10;ALUDAAAAAA==&#10;">
                  <v:fill on="f" focussize="0,0"/>
                  <v:stroke weight="0.5pt" color="#00B050 [3204]" miterlimit="8" joinstyle="miter" endarrow="block"/>
                  <v:imagedata o:title=""/>
                  <o:lock v:ext="edit" aspectratio="f"/>
                </v:shape>
                <v:rect id="_x0000_s1026" o:spid="_x0000_s1026" o:spt="1" style="position:absolute;left:926225;top:295603;height:1213945;width:874986;rotation:3133336f;v-text-anchor:middle;" filled="f" stroked="f" coordsize="21600,21600" o:gfxdata="UEsDBAoAAAAAAIdO4kAAAAAAAAAAAAAAAAAEAAAAZHJzL1BLAwQUAAAACACHTuJAtUtcxb8AAADc&#10;AAAADwAAAGRycy9kb3ducmV2LnhtbEWPQWvCQBSE7wX/w/KE3nSTUESiqxRBsC0UtPXg7TX7moRm&#10;36a7r1H/fbcg9DjMzDfMcn1xnRooxNazgXyagSKuvG25NvD+tp3MQUVBtth5JgNXirBeje6WWFp/&#10;5j0NB6lVgnAs0UAj0pdax6ohh3Hqe+LkffrgUJIMtbYBzwnuOl1k2Uw7bDktNNjTpqHq6/DjDBSv&#10;Ujw9v5w+HsN1+M5ldpT97mjM/TjPFqCELvIfvrV31sDDPIe/M+kI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LXMW/&#10;AAAA3AAAAA8AAAAAAAAAAQAgAAAAIgAAAGRycy9kb3ducmV2LnhtbFBLAQIUABQAAAAIAIdO4kAz&#10;LwWeOwAAADkAAAAQAAAAAAAAAAEAIAAAAA4BAABkcnMvc2hhcGV4bWwueG1sUEsFBgAAAAAGAAYA&#10;WwEAALgDAAAAAA==&#10;">
                  <v:fill on="f" focussize="0,0"/>
                  <v:stroke on="f" weight="1pt"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地</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下</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水</w:t>
                        </w:r>
                      </w:p>
                      <w:p>
                        <w:pPr>
                          <w:jc w:val="center"/>
                          <w:rPr>
                            <w:color w:val="000000" w:themeColor="text1"/>
                            <w14:textFill>
                              <w14:solidFill>
                                <w14:schemeClr w14:val="tx1"/>
                              </w14:solidFill>
                            </w14:textFill>
                          </w:rPr>
                        </w:pPr>
                        <w:r>
                          <w:rPr>
                            <w:color w:val="000000" w:themeColor="text1"/>
                            <w14:textFill>
                              <w14:solidFill>
                                <w14:schemeClr w14:val="tx1"/>
                              </w14:solidFill>
                            </w14:textFill>
                          </w:rPr>
                          <w:t>流</w:t>
                        </w:r>
                      </w:p>
                      <w:p>
                        <w:pPr>
                          <w:jc w:val="center"/>
                          <w:rPr>
                            <w:color w:val="000000" w:themeColor="text1"/>
                            <w14:textFill>
                              <w14:solidFill>
                                <w14:schemeClr w14:val="tx1"/>
                              </w14:solidFill>
                            </w14:textFill>
                          </w:rPr>
                        </w:pPr>
                        <w:r>
                          <w:rPr>
                            <w:color w:val="000000" w:themeColor="text1"/>
                            <w14:textFill>
                              <w14:solidFill>
                                <w14:schemeClr w14:val="tx1"/>
                              </w14:solidFill>
                            </w14:textFill>
                          </w:rPr>
                          <w:t>向</w:t>
                        </w:r>
                      </w:p>
                    </w:txbxContent>
                  </v:textbox>
                </v:rect>
              </v:group>
            </w:pict>
          </mc:Fallback>
        </mc:AlternateContent>
      </w:r>
      <w:r>
        <w:rPr>
          <w:rFonts w:ascii="Times New Roman" w:hAnsi="Times New Roman" w:cs="Times New Roman" w:eastAsiaTheme="minorEastAsia"/>
          <w:bCs/>
          <w:color w:val="auto"/>
          <w:w w:val="99"/>
          <w:kern w:val="21"/>
          <w:szCs w:val="20"/>
          <w:highlight w:val="none"/>
        </w:rPr>
        <w:drawing>
          <wp:inline distT="0" distB="0" distL="0" distR="0">
            <wp:extent cx="3728085" cy="3263265"/>
            <wp:effectExtent l="0" t="0" r="5715" b="0"/>
            <wp:docPr id="41" name="图片 41" descr="C:\Users\Administrator\Desktop\434瞬时10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istrator\Desktop\434瞬时100d.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729679" cy="3264601"/>
                    </a:xfrm>
                    <a:prstGeom prst="rect">
                      <a:avLst/>
                    </a:prstGeom>
                    <a:noFill/>
                    <a:ln>
                      <a:noFill/>
                    </a:ln>
                  </pic:spPr>
                </pic:pic>
              </a:graphicData>
            </a:graphic>
          </wp:inline>
        </w:drawing>
      </w:r>
    </w:p>
    <w:p>
      <w:pPr>
        <w:ind w:firstLine="474" w:firstLineChars="200"/>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图</w:t>
      </w:r>
      <w:r>
        <w:rPr>
          <w:rFonts w:ascii="Times New Roman" w:hAnsi="Times New Roman" w:cs="Times New Roman" w:eastAsiaTheme="minorEastAsia"/>
          <w:color w:val="auto"/>
          <w:w w:val="99"/>
          <w:kern w:val="2"/>
          <w:highlight w:val="none"/>
        </w:rPr>
        <w:t>5.5-1</w:t>
      </w:r>
      <w:r>
        <w:rPr>
          <w:rFonts w:ascii="Times New Roman" w:hAnsi="Times New Roman" w:cs="Times New Roman" w:eastAsiaTheme="minorEastAsia"/>
          <w:bCs/>
          <w:color w:val="auto"/>
          <w:w w:val="99"/>
          <w:kern w:val="21"/>
          <w:szCs w:val="20"/>
          <w:highlight w:val="none"/>
        </w:rPr>
        <w:t xml:space="preserve">        钢制泥浆槽</w:t>
      </w:r>
      <w:r>
        <w:rPr>
          <w:rFonts w:hint="eastAsia" w:ascii="Times New Roman" w:hAnsi="Times New Roman" w:cs="Times New Roman" w:eastAsiaTheme="minorEastAsia"/>
          <w:bCs/>
          <w:color w:val="auto"/>
          <w:w w:val="99"/>
          <w:kern w:val="21"/>
          <w:szCs w:val="20"/>
          <w:highlight w:val="none"/>
          <w:lang w:eastAsia="zh-CN"/>
        </w:rPr>
        <w:t>耗氧量</w:t>
      </w:r>
      <w:r>
        <w:rPr>
          <w:rFonts w:ascii="Times New Roman" w:hAnsi="Times New Roman" w:cs="Times New Roman" w:eastAsiaTheme="minorEastAsia"/>
          <w:bCs/>
          <w:color w:val="auto"/>
          <w:w w:val="99"/>
          <w:kern w:val="21"/>
          <w:szCs w:val="20"/>
          <w:highlight w:val="none"/>
        </w:rPr>
        <w:t>泄漏100d预测范围图</w:t>
      </w:r>
    </w:p>
    <w:p>
      <w:pPr>
        <w:jc w:val="center"/>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color w:val="auto"/>
          <w:w w:val="99"/>
          <w:highlight w:val="none"/>
        </w:rPr>
        <mc:AlternateContent>
          <mc:Choice Requires="wpg">
            <w:drawing>
              <wp:anchor distT="0" distB="0" distL="114300" distR="114300" simplePos="0" relativeHeight="251664384" behindDoc="0" locked="0" layoutInCell="1" allowOverlap="1">
                <wp:simplePos x="0" y="0"/>
                <wp:positionH relativeFrom="column">
                  <wp:posOffset>2244090</wp:posOffset>
                </wp:positionH>
                <wp:positionV relativeFrom="paragraph">
                  <wp:posOffset>1405255</wp:posOffset>
                </wp:positionV>
                <wp:extent cx="1970405" cy="1339850"/>
                <wp:effectExtent l="0" t="0" r="67945" b="241300"/>
                <wp:wrapNone/>
                <wp:docPr id="47" name="组合 47"/>
                <wp:cNvGraphicFramePr/>
                <a:graphic xmlns:a="http://schemas.openxmlformats.org/drawingml/2006/main">
                  <a:graphicData uri="http://schemas.microsoft.com/office/word/2010/wordprocessingGroup">
                    <wpg:wgp>
                      <wpg:cNvGrpSpPr/>
                      <wpg:grpSpPr>
                        <a:xfrm>
                          <a:off x="0" y="0"/>
                          <a:ext cx="1970690" cy="1340069"/>
                          <a:chOff x="0" y="0"/>
                          <a:chExt cx="1970690" cy="1340069"/>
                        </a:xfrm>
                      </wpg:grpSpPr>
                      <wps:wsp>
                        <wps:cNvPr id="50" name="椭圆 50"/>
                        <wps:cNvSpPr/>
                        <wps:spPr>
                          <a:xfrm>
                            <a:off x="165538" y="283780"/>
                            <a:ext cx="63062" cy="457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矩形 51"/>
                        <wps:cNvSpPr/>
                        <wps:spPr>
                          <a:xfrm>
                            <a:off x="0" y="0"/>
                            <a:ext cx="512379" cy="2601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sz w:val="11"/>
                                  <w:szCs w:val="11"/>
                                </w:rPr>
                              </w:pPr>
                              <w:r>
                                <w:rPr>
                                  <w:rFonts w:hint="eastAsia"/>
                                  <w:b/>
                                  <w:sz w:val="11"/>
                                  <w:szCs w:val="11"/>
                                </w:rPr>
                                <w:t>污染</w:t>
                              </w:r>
                              <w:r>
                                <w:rPr>
                                  <w:b/>
                                  <w:sz w:val="11"/>
                                  <w:szCs w:val="11"/>
                                </w:rPr>
                                <w:t>源点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2" name="直接箭头连接符 52"/>
                        <wps:cNvCnPr/>
                        <wps:spPr>
                          <a:xfrm flipH="1">
                            <a:off x="780393" y="331076"/>
                            <a:ext cx="1000648" cy="914494"/>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矩形 53"/>
                        <wps:cNvSpPr/>
                        <wps:spPr>
                          <a:xfrm rot="2868655">
                            <a:off x="926225" y="295603"/>
                            <a:ext cx="874986" cy="1213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地</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下</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水</w:t>
                              </w:r>
                            </w:p>
                            <w:p>
                              <w:pPr>
                                <w:jc w:val="center"/>
                                <w:rPr>
                                  <w:color w:val="000000" w:themeColor="text1"/>
                                  <w14:textFill>
                                    <w14:solidFill>
                                      <w14:schemeClr w14:val="tx1"/>
                                    </w14:solidFill>
                                  </w14:textFill>
                                </w:rPr>
                              </w:pPr>
                              <w:r>
                                <w:rPr>
                                  <w:color w:val="000000" w:themeColor="text1"/>
                                  <w14:textFill>
                                    <w14:solidFill>
                                      <w14:schemeClr w14:val="tx1"/>
                                    </w14:solidFill>
                                  </w14:textFill>
                                </w:rPr>
                                <w:t>流</w:t>
                              </w:r>
                            </w:p>
                            <w:p>
                              <w:pPr>
                                <w:jc w:val="center"/>
                                <w:rPr>
                                  <w:color w:val="000000" w:themeColor="text1"/>
                                  <w14:textFill>
                                    <w14:solidFill>
                                      <w14:schemeClr w14:val="tx1"/>
                                    </w14:solidFill>
                                  </w14:textFill>
                                </w:rPr>
                              </w:pPr>
                              <w:r>
                                <w:rPr>
                                  <w:color w:val="000000" w:themeColor="text1"/>
                                  <w14:textFill>
                                    <w14:solidFill>
                                      <w14:schemeClr w14:val="tx1"/>
                                    </w14:solidFill>
                                  </w14:textFill>
                                </w:rPr>
                                <w:t>向</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6.7pt;margin-top:110.65pt;height:105.5pt;width:155.15pt;z-index:251664384;mso-width-relative:page;mso-height-relative:page;" coordsize="1970690,1340069" o:gfxdata="UEsDBAoAAAAAAIdO4kAAAAAAAAAAAAAAAAAEAAAAZHJzL1BLAwQUAAAACACHTuJA9JHDJNsAAAAL&#10;AQAADwAAAGRycy9kb3ducmV2LnhtbE2PwWrDMBBE74X+g9hCb40sK3GDazmU0PYUCk0KJbeNtbFN&#10;LMlYip38fdVTc1zmMfO2WF1Mx0YafOusAjFLgJGtnG5treB79/60BOYDWo2ds6TgSh5W5f1dgbl2&#10;k/2icRtqFkusz1FBE0Kfc+6rhgz6mevJxuzoBoMhnkPN9YBTLDcdT5Mk4wZbGxca7GndUHXano2C&#10;jwmnVynexs3puL7ud4vPn40gpR4fRPICLNAl/MPwpx/VoYxOB3e22rNOgVzIeUQVpKmQwCKRZfIZ&#10;2EHBXKYSeFnw2x/KX1BLAwQUAAAACACHTuJAAhy4HxYEAAAKDgAADgAAAGRycy9lMm9Eb2MueG1s&#10;7Vdbbxw1FH5H4j9Y8052LjuzO6NsqrBpAlLURgoVz16P5yJ5bGN7sxueK8RTxTsIJFSQkFqe+oYQ&#10;vyYtP4Nje3azSboloahCqPsw69scn/P5O9/x7N5bdgydUaVbwSdBtBMGiHIiypbXk+DRZ4cfjQOk&#10;DeYlZoLTSXBOdXBv78MPdheyoLFoBCupQmCE62IhJ0FjjCwGA00a2mG9IyTlMFkJ1WEDXVUPSoUX&#10;YL1jgzgMs8FCqFIqQajWMHrgJ4PeorqNQVFVLaEHgsw7yo23qijDBkLSTSt1sOe8rSpKzMOq0tQg&#10;NgkgUuOesAm0Z/Y52NvFRa2wbFrSu4Bv48K1mDrccth0beoAG4zmqr1hqmuJElpUZoeIbuADcYhA&#10;FFF4DZsjJebSxVIXi1quQYeDuob6PzZLHpydKNSWk2A4ChDHHZz4q98eX3zzNYIBQGch6wIWHSl5&#10;Kk9UP1D7ng14WanO/kMoaOlwPV/jSpcGERiM8lGY5QA5gbkoGQILco88aeB4brxHmvt/8+ZgtfHA&#10;+rd2ZyGBk/oSKP12QJ02WFKHv7YY9EClEIgH6uXT5xfffYVgwOHiFq1R0oUGwF4DUZSlaQJJBljE&#10;42Q07km4AitLwiz2UA3TUeSAWoeLC6m0OaKiQ7YxCShjwHfrJC7w2bE24AmsXq2yw1qwtjxsGXMd&#10;Vc+mTKEzbBPC/azz8MqVZYyjBRxVPArtqWFI8wrSC5qdBKpoXgcIsxr0gxjl9r7ytr7dJtbJA6wb&#10;74yz4FnRtQYkhrXdJBhvusg4eGrP2CNrWzNRnsO5KOEzW0ty2ILZY6zNCVaQyuA/iJ15CI+KCQhK&#10;9K0ANUJ9+bpxux6IA7MBWoA0QMBfzLGiAWKfcqBUHg2HYNa4DpxRDB21OTPbnOHzbioA7AhkVRLX&#10;tOsNWzUrJbrPQRP37a4whTmBvT20fWdqvGSBqhK6v++WgX5IbI75qSTWuD1cLvbnRlStI8ElOj1o&#10;kBg2nd9FhkCsvZT88MvF7z+iNLpThgAIN0UkjeJklPvEiLMwSpzN7ZmhQPvflBZc2JwA7uPizmzf&#10;ePffILFZzpa9grzn83+Rz6DHPZ+/ffHyyU+vfn1+8fTFn398b9vPfkZpvEHvKe/L5EqmfKlCFQj1&#10;J6tM7asliH+SJ47tSRKFo8zr36oURCB+2RBKha2bVnXyoV2wnfPaKNzWjZkKzoH+Qnld2FIYNljs&#10;MyBLbG17W7n/OPQF8XpNuVum4MLglt3nJTLnEi4lRrWY14z2AGwtBRafXuTeldrBAV5Vu2SDDlvu&#10;A75ixeNsDLcBJ1M9JfI4i+PU3w7yNAudLVysKDEeDfNx5hkRxVGSD9M3U+K9DPrC768B/9ey7q7B&#10;8IngxKH/nLHfIJt9lxiXn3B7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KBgAAW0NvbnRlbnRfVHlwZXNdLnhtbFBLAQIUAAoAAAAAAIdO4kAA&#10;AAAAAAAAAAAAAAAGAAAAAAAAAAAAEAAAAGwFAABfcmVscy9QSwECFAAUAAAACACHTuJAihRmPNEA&#10;AACUAQAACwAAAAAAAAABACAAAACQBQAAX3JlbHMvLnJlbHNQSwECFAAKAAAAAACHTuJAAAAAAAAA&#10;AAAAAAAABAAAAAAAAAAAABAAAAAAAAAAZHJzL1BLAQIUABQAAAAIAIdO4kD0kcMk2wAAAAsBAAAP&#10;AAAAAAAAAAEAIAAAACIAAABkcnMvZG93bnJldi54bWxQSwECFAAUAAAACACHTuJAAhy4HxYEAAAK&#10;DgAADgAAAAAAAAABACAAAAAqAQAAZHJzL2Uyb0RvYy54bWxQSwUGAAAAAAYABgBZAQAAsgcAAAAA&#10;">
                <o:lock v:ext="edit" aspectratio="f"/>
                <v:shape id="_x0000_s1026" o:spid="_x0000_s1026" o:spt="3" type="#_x0000_t3" style="position:absolute;left:165538;top:283780;height:45719;width:63062;v-text-anchor:middle;" fillcolor="#000000 [3213]" filled="t" stroked="t" coordsize="21600,21600" o:gfxdata="UEsDBAoAAAAAAIdO4kAAAAAAAAAAAAAAAAAEAAAAZHJzL1BLAwQUAAAACACHTuJAJJaWVbYAAADb&#10;AAAADwAAAGRycy9kb3ducmV2LnhtbEVPyQrCMBC9C/5DGMGbpgqKVKOgIFZ6ckHwNjRjG2wmpYnb&#10;35uD4PHx9sXqbWvxpNYbxwpGwwQEceG04VLB+bQdzED4gKyxdkwKPuRhtex2Fphq9+IDPY+hFDGE&#10;fYoKqhCaVEpfVGTRD11DHLmbay2GCNtS6hZfMdzWcpwkU2nRcGyosKFNRcX9+LAK8uIyq3fSmlP+&#10;ua33eWYOzdUo1e+NkjmIQO/wF//cmVYwievjl/gD5PI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SWllW2AAAA2wAAAA8A&#10;AAAAAAAAAQAgAAAAIgAAAGRycy9kb3ducmV2LnhtbFBLAQIUABQAAAAIAIdO4kAzLwWeOwAAADkA&#10;AAAQAAAAAAAAAAEAIAAAAAUBAABkcnMvc2hhcGV4bWwueG1sUEsFBgAAAAAGAAYAWwEAAK8DAAAA&#10;AA==&#10;">
                  <v:fill on="t" focussize="0,0"/>
                  <v:stroke weight="1pt" color="#000000 [3213]" miterlimit="8" joinstyle="miter"/>
                  <v:imagedata o:title=""/>
                  <o:lock v:ext="edit" aspectratio="f"/>
                </v:shape>
                <v:rect id="_x0000_s1026" o:spid="_x0000_s1026" o:spt="1" style="position:absolute;left:0;top:0;height:260131;width:512379;v-text-anchor:middle;" filled="f" stroked="f" coordsize="21600,21600" o:gfxdata="UEsDBAoAAAAAAIdO4kAAAAAAAAAAAAAAAAAEAAAAZHJzL1BLAwQUAAAACACHTuJA+sFbPLwAAADb&#10;AAAADwAAAGRycy9kb3ducmV2LnhtbEWPQWvCQBSE74X+h+UVequbCBZJ3QQUShUPpWrvz91nEsy+&#10;Dbtrov++Kwg9DjPzDbOorrYTA/nQOlaQTzIQxNqZlmsFh/3n2xxEiMgGO8ek4EYBqvL5aYGFcSP/&#10;0LCLtUgQDgUqaGLsCymDbshimLieOHkn5y3GJH0tjccxwW0np1n2Li22nBYa7GnVkD7vLlbBrzst&#10;R6uPvBlu3+3la+u1nm+Ven3Jsw8Qka7xP/xor42CWQ73L+kHy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BWzy8AAAA&#10;2w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jc w:val="center"/>
                          <w:rPr>
                            <w:b/>
                            <w:sz w:val="11"/>
                            <w:szCs w:val="11"/>
                          </w:rPr>
                        </w:pPr>
                        <w:r>
                          <w:rPr>
                            <w:rFonts w:hint="eastAsia"/>
                            <w:b/>
                            <w:sz w:val="11"/>
                            <w:szCs w:val="11"/>
                          </w:rPr>
                          <w:t>污染</w:t>
                        </w:r>
                        <w:r>
                          <w:rPr>
                            <w:b/>
                            <w:sz w:val="11"/>
                            <w:szCs w:val="11"/>
                          </w:rPr>
                          <w:t>源点</w:t>
                        </w:r>
                      </w:p>
                    </w:txbxContent>
                  </v:textbox>
                </v:rect>
                <v:shape id="_x0000_s1026" o:spid="_x0000_s1026" o:spt="32" type="#_x0000_t32" style="position:absolute;left:780393;top:331076;flip:x;height:914494;width:1000648;" filled="f" stroked="t" coordsize="21600,21600" o:gfxdata="UEsDBAoAAAAAAIdO4kAAAAAAAAAAAAAAAAAEAAAAZHJzL1BLAwQUAAAACACHTuJAEoL/Gb8AAADb&#10;AAAADwAAAGRycy9kb3ducmV2LnhtbEWPzWrDMBCE74W8g9hAbrWcHxfjWAkkJBB6KNQptMfF2tgm&#10;1spYiu2+fVUo9DjMzDdMvp9MKwbqXWNZwTKKQRCXVjdcKfi4np9TEM4ja2wtk4JvcrDfzZ5yzLQd&#10;+Z2GwlciQNhlqKD2vsukdGVNBl1kO+Lg3Wxv0AfZV1L3OAa4aeUqjl+kwYbDQo0dHWsq78XDKHi8&#10;fW7Sw7lIrqfLkCbudbMu3JdSi/ky3oLwNPn/8F/7ohUkK/j9En6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C/xm/&#10;AAAA2wAAAA8AAAAAAAAAAQAgAAAAIgAAAGRycy9kb3ducmV2LnhtbFBLAQIUABQAAAAIAIdO4kAz&#10;LwWeOwAAADkAAAAQAAAAAAAAAAEAIAAAAA4BAABkcnMvc2hhcGV4bWwueG1sUEsFBgAAAAAGAAYA&#10;WwEAALgDAAAAAA==&#10;">
                  <v:fill on="f" focussize="0,0"/>
                  <v:stroke weight="0.5pt" color="#00B050 [3204]" miterlimit="8" joinstyle="miter" endarrow="block"/>
                  <v:imagedata o:title=""/>
                  <o:lock v:ext="edit" aspectratio="f"/>
                </v:shape>
                <v:rect id="_x0000_s1026" o:spid="_x0000_s1026" o:spt="1" style="position:absolute;left:926225;top:295603;height:1213945;width:874986;rotation:3133336f;v-text-anchor:middle;" filled="f" stroked="f" coordsize="21600,21600" o:gfxdata="UEsDBAoAAAAAAIdO4kAAAAAAAAAAAAAAAAAEAAAAZHJzL1BLAwQUAAAACACHTuJApduWuL8AAADb&#10;AAAADwAAAGRycy9kb3ducmV2LnhtbEWPQUvDQBSE7wX/w/KE3tpNUiwSuy1SKFQFodUevD2zzySY&#10;fRt3n2n7791CweMwM98wi9XJdWqgEFvPBvJpBoq48rbl2sD722ZyDyoKssXOMxk4U4TV8ma0wNL6&#10;I+9o2EutEoRjiQYakb7UOlYNOYxT3xMn78sHh5JkqLUNeExw1+kiy+baYctpocGe1g1V3/tfZ6B4&#10;leLp+eXj8zGch59c5gfZbQ/GjG/z7AGU0En+w9f21hq4m8HlS/oBe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blri/&#10;AAAA2wAAAA8AAAAAAAAAAQAgAAAAIgAAAGRycy9kb3ducmV2LnhtbFBLAQIUABQAAAAIAIdO4kAz&#10;LwWeOwAAADkAAAAQAAAAAAAAAAEAIAAAAA4BAABkcnMvc2hhcGV4bWwueG1sUEsFBgAAAAAGAAYA&#10;WwEAALgDAAAAAA==&#10;">
                  <v:fill on="f" focussize="0,0"/>
                  <v:stroke on="f" weight="1pt"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地</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下</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水</w:t>
                        </w:r>
                      </w:p>
                      <w:p>
                        <w:pPr>
                          <w:jc w:val="center"/>
                          <w:rPr>
                            <w:color w:val="000000" w:themeColor="text1"/>
                            <w14:textFill>
                              <w14:solidFill>
                                <w14:schemeClr w14:val="tx1"/>
                              </w14:solidFill>
                            </w14:textFill>
                          </w:rPr>
                        </w:pPr>
                        <w:r>
                          <w:rPr>
                            <w:color w:val="000000" w:themeColor="text1"/>
                            <w14:textFill>
                              <w14:solidFill>
                                <w14:schemeClr w14:val="tx1"/>
                              </w14:solidFill>
                            </w14:textFill>
                          </w:rPr>
                          <w:t>流</w:t>
                        </w:r>
                      </w:p>
                      <w:p>
                        <w:pPr>
                          <w:jc w:val="center"/>
                          <w:rPr>
                            <w:color w:val="000000" w:themeColor="text1"/>
                            <w14:textFill>
                              <w14:solidFill>
                                <w14:schemeClr w14:val="tx1"/>
                              </w14:solidFill>
                            </w14:textFill>
                          </w:rPr>
                        </w:pPr>
                        <w:r>
                          <w:rPr>
                            <w:color w:val="000000" w:themeColor="text1"/>
                            <w14:textFill>
                              <w14:solidFill>
                                <w14:schemeClr w14:val="tx1"/>
                              </w14:solidFill>
                            </w14:textFill>
                          </w:rPr>
                          <w:t>向</w:t>
                        </w:r>
                      </w:p>
                    </w:txbxContent>
                  </v:textbox>
                </v:rect>
              </v:group>
            </w:pict>
          </mc:Fallback>
        </mc:AlternateContent>
      </w:r>
      <w:r>
        <w:rPr>
          <w:rFonts w:ascii="Times New Roman" w:hAnsi="Times New Roman" w:cs="Times New Roman" w:eastAsiaTheme="minorEastAsia"/>
          <w:color w:val="auto"/>
          <w:w w:val="99"/>
          <w:sz w:val="22"/>
          <w:szCs w:val="22"/>
          <w:highlight w:val="none"/>
        </w:rPr>
        <mc:AlternateContent>
          <mc:Choice Requires="wps">
            <w:drawing>
              <wp:anchor distT="0" distB="0" distL="114300" distR="114300" simplePos="0" relativeHeight="251661312" behindDoc="0" locked="0" layoutInCell="1" allowOverlap="1">
                <wp:simplePos x="0" y="0"/>
                <wp:positionH relativeFrom="column">
                  <wp:posOffset>1647190</wp:posOffset>
                </wp:positionH>
                <wp:positionV relativeFrom="paragraph">
                  <wp:posOffset>2284095</wp:posOffset>
                </wp:positionV>
                <wp:extent cx="308610" cy="176530"/>
                <wp:effectExtent l="0" t="0" r="0" b="0"/>
                <wp:wrapNone/>
                <wp:docPr id="458" name="矩形 458"/>
                <wp:cNvGraphicFramePr/>
                <a:graphic xmlns:a="http://schemas.openxmlformats.org/drawingml/2006/main">
                  <a:graphicData uri="http://schemas.microsoft.com/office/word/2010/wordprocessingShape">
                    <wps:wsp>
                      <wps:cNvSpPr>
                        <a:spLocks noChangeArrowheads="1"/>
                      </wps:cNvSpPr>
                      <wps:spPr bwMode="auto">
                        <a:xfrm>
                          <a:off x="0" y="0"/>
                          <a:ext cx="308610" cy="176530"/>
                        </a:xfrm>
                        <a:prstGeom prst="rect">
                          <a:avLst/>
                        </a:prstGeom>
                        <a:noFill/>
                        <a:ln>
                          <a:noFill/>
                        </a:ln>
                      </wps:spPr>
                      <wps:txbx>
                        <w:txbxContent>
                          <w:p>
                            <w:pPr>
                              <w:rPr>
                                <w:rFonts w:ascii="Times New Roman" w:hAnsi="Times New Roman"/>
                                <w:sz w:val="10"/>
                                <w:szCs w:val="10"/>
                              </w:rPr>
                            </w:pPr>
                            <w:r>
                              <w:rPr>
                                <w:rFonts w:ascii="Times New Roman" w:hAnsi="Times New Roman"/>
                                <w:sz w:val="10"/>
                                <w:szCs w:val="10"/>
                              </w:rPr>
                              <w:t>0.05</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9.7pt;margin-top:179.85pt;height:13.9pt;width:24.3pt;z-index:251661312;mso-width-relative:page;mso-height-relative:page;" filled="f" stroked="f" coordsize="21600,21600" o:gfxdata="UEsDBAoAAAAAAIdO4kAAAAAAAAAAAAAAAAAEAAAAZHJzL1BLAwQUAAAACACHTuJAl/8gktwAAAAL&#10;AQAADwAAAGRycy9kb3ducmV2LnhtbE2PwU7DMAyG70i8Q2QkLogl2yjrStMdJiEmNGmig52z1rQV&#10;jdM1WTveHnOCmy1/+v396epiWzFg7xtHGqYTBQKpcGVDlYb3/fN9DMIHQ6VpHaGGb/Swyq6vUpOU&#10;bqQ3HPJQCQ4hnxgNdQhdIqUvarTGT1yHxLdP11sTeO0rWfZm5HDbyplSj9KahvhDbTpc11h85Wer&#10;YSx2w2G/fZG7u8PG0WlzWucfr1rf3kzVE4iAl/AHw68+q0PGTkd3ptKLVsMsWj4wqmEeLRcgmJir&#10;mNsdeYgXEcgslf87ZD9QSwMEFAAAAAgAh07iQM1Ai1gPAgAACwQAAA4AAABkcnMvZTJvRG9jLnht&#10;bK1T3W7TMBS+R+IdLN/TNF3bjajpNK0aQhowafAAruM0FrGPOXablJdB4o6H4HEQr8Gx05Vu3OyC&#10;m8jnx5+/7zsni8vetGyn0GuwJc9HY86UlVBpuyn5p483ry4480HYSrRgVcn3yvPL5csXi84VagIN&#10;tJVCRiDWF50reROCK7LMy0YZ4UfglKViDWhEoBA3WYWiI3TTZpPxeJ51gJVDkMp7yq6GIj8g4nMA&#10;oa61VCuQW6NsGFBRtSKQJN9o5/kysa1rJcOHuvYqsLbkpDSkLz1C53X8ZsuFKDYoXKPlgYJ4DoUn&#10;mozQlh49Qq1EEGyL+h8ooyWChzqMJJhsEJIcIRX5+Ik3941wKmkhq707mu7/H6x8v7tDpquST2c0&#10;eCsMjfz3tx+/fn5nMUP+dM4X1Hbv7jAq9O4W5GfPLFw3wm7UFSJ0jRIVscpjf/boQgw8XWXr7h1U&#10;BC62AZJVfY0mApIJrE8T2R8novrAJCXPxhfznGYlqZSfz2dnaWKZKB4uO/ThjQLD4qHkSANP4GJ3&#10;60MkI4qHlviWhRvdtmnorX2UoMaYSeQj30F36Nf9wYI1VHuSgTDsEP1BdGgAv3LW0f6U3H/ZClSc&#10;tW8tWfE6n07jwqVgOjufUICnlfVpRVhJUCUPnA3H6zAs6dah3jT0Up5kWbgi+2qdpEVrB1YH3rQj&#10;SfFhn+MSnsap6+8/vP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8gktwAAAALAQAADwAAAAAA&#10;AAABACAAAAAiAAAAZHJzL2Rvd25yZXYueG1sUEsBAhQAFAAAAAgAh07iQM1Ai1gPAgAACwQAAA4A&#10;AAAAAAAAAQAgAAAAKwEAAGRycy9lMm9Eb2MueG1sUEsFBgAAAAAGAAYAWQEAAKwFAAAAAA==&#10;">
                <v:fill on="f" focussize="0,0"/>
                <v:stroke on="f"/>
                <v:imagedata o:title=""/>
                <o:lock v:ext="edit" aspectratio="f"/>
                <v:textbox>
                  <w:txbxContent>
                    <w:p>
                      <w:pPr>
                        <w:rPr>
                          <w:rFonts w:ascii="Times New Roman" w:hAnsi="Times New Roman"/>
                          <w:sz w:val="10"/>
                          <w:szCs w:val="10"/>
                        </w:rPr>
                      </w:pPr>
                      <w:r>
                        <w:rPr>
                          <w:rFonts w:ascii="Times New Roman" w:hAnsi="Times New Roman"/>
                          <w:sz w:val="10"/>
                          <w:szCs w:val="10"/>
                        </w:rPr>
                        <w:t>0.05</w:t>
                      </w:r>
                    </w:p>
                  </w:txbxContent>
                </v:textbox>
              </v:rect>
            </w:pict>
          </mc:Fallback>
        </mc:AlternateContent>
      </w:r>
      <w:r>
        <w:rPr>
          <w:rFonts w:ascii="Times New Roman" w:hAnsi="Times New Roman" w:cs="Times New Roman" w:eastAsiaTheme="minorEastAsia"/>
          <w:bCs/>
          <w:color w:val="auto"/>
          <w:w w:val="99"/>
          <w:kern w:val="21"/>
          <w:szCs w:val="20"/>
          <w:highlight w:val="none"/>
        </w:rPr>
        <w:drawing>
          <wp:inline distT="0" distB="0" distL="0" distR="0">
            <wp:extent cx="3730625" cy="3117215"/>
            <wp:effectExtent l="0" t="0" r="3175" b="6985"/>
            <wp:docPr id="45" name="图片 45" descr="C:\Users\Administrator\Desktop\434瞬时100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Desktop\434瞬时1000d.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739151" cy="3124349"/>
                    </a:xfrm>
                    <a:prstGeom prst="rect">
                      <a:avLst/>
                    </a:prstGeom>
                    <a:noFill/>
                    <a:ln>
                      <a:noFill/>
                    </a:ln>
                  </pic:spPr>
                </pic:pic>
              </a:graphicData>
            </a:graphic>
          </wp:inline>
        </w:drawing>
      </w:r>
    </w:p>
    <w:p>
      <w:pPr>
        <w:ind w:firstLine="474" w:firstLineChars="200"/>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图5.5-2        钢制泥浆槽</w:t>
      </w:r>
      <w:r>
        <w:rPr>
          <w:rFonts w:hint="eastAsia" w:ascii="Times New Roman" w:hAnsi="Times New Roman" w:cs="Times New Roman" w:eastAsiaTheme="minorEastAsia"/>
          <w:bCs/>
          <w:color w:val="auto"/>
          <w:w w:val="99"/>
          <w:kern w:val="21"/>
          <w:szCs w:val="20"/>
          <w:highlight w:val="none"/>
          <w:lang w:eastAsia="zh-CN"/>
        </w:rPr>
        <w:t>耗氧量</w:t>
      </w:r>
      <w:r>
        <w:rPr>
          <w:rFonts w:ascii="Times New Roman" w:hAnsi="Times New Roman" w:cs="Times New Roman" w:eastAsiaTheme="minorEastAsia"/>
          <w:bCs/>
          <w:color w:val="auto"/>
          <w:w w:val="99"/>
          <w:kern w:val="21"/>
          <w:szCs w:val="20"/>
          <w:highlight w:val="none"/>
        </w:rPr>
        <w:t>泄漏1000d预测范围图</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由预测结果可知，随着时间增加，污染范围有所增加，泥浆槽漏100d后，超标距离为下游16.5m，预测范围内超标面积为210.25m</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；影响距离为下游20.5m，预测范围内影响面积为350.75m</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。泥浆槽泄漏1000d后，超标距离为下游32m，预测范围内超标面积为274m</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；影响距离为下游57m，预测范围内影响面积为1704m</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本项目拟钻井场下游57m范围内无地下水饮用水源井，泥浆槽泄漏对环境敏感点的影响较小。</w:t>
      </w:r>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5.5.2.2套管破损对地下水环境影响预测与评价</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（1）预测范围</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地下水环境影响预测范围与调查评价范围一致。</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（2）预测时段</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污染发生后100d、1000d。</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（3）预测因子</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废钻井液主要是由膨润土、纯碱、氢氧化钾、等无机添加剂组成，</w:t>
      </w:r>
      <w:r>
        <w:rPr>
          <w:rFonts w:ascii="Times New Roman" w:hAnsi="Times New Roman" w:cs="Times New Roman" w:eastAsiaTheme="minorEastAsia"/>
          <w:color w:val="auto"/>
          <w:w w:val="99"/>
          <w:kern w:val="21"/>
          <w:highlight w:val="none"/>
        </w:rPr>
        <w:t>钻井液</w:t>
      </w:r>
      <w:r>
        <w:rPr>
          <w:rFonts w:ascii="Times New Roman" w:hAnsi="Times New Roman" w:cs="Times New Roman" w:eastAsiaTheme="minorEastAsia"/>
          <w:bCs/>
          <w:color w:val="auto"/>
          <w:w w:val="99"/>
          <w:kern w:val="21"/>
          <w:szCs w:val="20"/>
          <w:highlight w:val="none"/>
        </w:rPr>
        <w:t>中含有大量的还原性物质，</w:t>
      </w:r>
      <w:r>
        <w:rPr>
          <w:rFonts w:hint="eastAsia" w:ascii="Times New Roman" w:hAnsi="Times New Roman" w:cs="Times New Roman" w:eastAsiaTheme="minorEastAsia"/>
          <w:bCs/>
          <w:color w:val="auto"/>
          <w:w w:val="99"/>
          <w:kern w:val="21"/>
          <w:szCs w:val="20"/>
          <w:highlight w:val="none"/>
          <w:lang w:eastAsia="zh-CN"/>
        </w:rPr>
        <w:t>耗氧量</w:t>
      </w:r>
      <w:r>
        <w:rPr>
          <w:rFonts w:ascii="Times New Roman" w:hAnsi="Times New Roman" w:cs="Times New Roman" w:eastAsiaTheme="minorEastAsia"/>
          <w:bCs/>
          <w:color w:val="auto"/>
          <w:w w:val="99"/>
          <w:kern w:val="21"/>
          <w:szCs w:val="20"/>
          <w:highlight w:val="none"/>
        </w:rPr>
        <w:t>浓度较高，在钻井过程中，</w:t>
      </w:r>
      <w:r>
        <w:rPr>
          <w:rFonts w:ascii="Times New Roman" w:hAnsi="Times New Roman" w:cs="Times New Roman" w:eastAsiaTheme="minorEastAsia"/>
          <w:color w:val="auto"/>
          <w:w w:val="99"/>
          <w:kern w:val="21"/>
          <w:highlight w:val="none"/>
        </w:rPr>
        <w:t>钻井液</w:t>
      </w:r>
      <w:r>
        <w:rPr>
          <w:rFonts w:ascii="Times New Roman" w:hAnsi="Times New Roman" w:cs="Times New Roman" w:eastAsiaTheme="minorEastAsia"/>
          <w:bCs/>
          <w:color w:val="auto"/>
          <w:w w:val="99"/>
          <w:kern w:val="21"/>
          <w:szCs w:val="20"/>
          <w:highlight w:val="none"/>
        </w:rPr>
        <w:t>主要起到润滑钻头、将碎岩屑带出等作用，结合钻井区域地层压力，钻井过程中不会触处油层，也不进行试油钻井液不会混有石油类等物质，因此</w:t>
      </w:r>
      <w:r>
        <w:rPr>
          <w:rFonts w:ascii="Times New Roman" w:hAnsi="Times New Roman" w:cs="Times New Roman" w:eastAsiaTheme="minorEastAsia"/>
          <w:color w:val="auto"/>
          <w:w w:val="99"/>
          <w:kern w:val="21"/>
          <w:highlight w:val="none"/>
        </w:rPr>
        <w:t>钻井液</w:t>
      </w:r>
      <w:r>
        <w:rPr>
          <w:rFonts w:ascii="Times New Roman" w:hAnsi="Times New Roman" w:cs="Times New Roman" w:eastAsiaTheme="minorEastAsia"/>
          <w:bCs/>
          <w:color w:val="auto"/>
          <w:w w:val="99"/>
          <w:kern w:val="21"/>
          <w:szCs w:val="20"/>
          <w:highlight w:val="none"/>
        </w:rPr>
        <w:t>对地下水产生的影响因子主要为</w:t>
      </w:r>
      <w:r>
        <w:rPr>
          <w:rFonts w:hint="eastAsia" w:ascii="Times New Roman" w:hAnsi="Times New Roman" w:cs="Times New Roman" w:eastAsiaTheme="minorEastAsia"/>
          <w:bCs/>
          <w:color w:val="auto"/>
          <w:w w:val="99"/>
          <w:kern w:val="21"/>
          <w:szCs w:val="20"/>
          <w:highlight w:val="none"/>
          <w:lang w:eastAsia="zh-CN"/>
        </w:rPr>
        <w:t>耗氧量</w:t>
      </w:r>
      <w:r>
        <w:rPr>
          <w:rFonts w:ascii="Times New Roman" w:hAnsi="Times New Roman" w:cs="Times New Roman" w:eastAsiaTheme="minorEastAsia"/>
          <w:bCs/>
          <w:color w:val="auto"/>
          <w:w w:val="99"/>
          <w:kern w:val="21"/>
          <w:szCs w:val="20"/>
          <w:highlight w:val="none"/>
        </w:rPr>
        <w:t>，</w:t>
      </w:r>
      <w:r>
        <w:rPr>
          <w:rFonts w:ascii="Times New Roman" w:hAnsi="Times New Roman" w:cs="Times New Roman" w:eastAsiaTheme="minorEastAsia"/>
          <w:color w:val="auto"/>
          <w:w w:val="99"/>
          <w:kern w:val="21"/>
          <w:highlight w:val="none"/>
        </w:rPr>
        <w:t>钻井液</w:t>
      </w:r>
      <w:r>
        <w:rPr>
          <w:rFonts w:ascii="Times New Roman" w:hAnsi="Times New Roman" w:cs="Times New Roman" w:eastAsiaTheme="minorEastAsia"/>
          <w:bCs/>
          <w:color w:val="auto"/>
          <w:w w:val="99"/>
          <w:kern w:val="21"/>
          <w:szCs w:val="20"/>
          <w:highlight w:val="none"/>
        </w:rPr>
        <w:t>中</w:t>
      </w:r>
      <w:r>
        <w:rPr>
          <w:rFonts w:hint="eastAsia" w:ascii="Times New Roman" w:hAnsi="Times New Roman" w:cs="Times New Roman" w:eastAsiaTheme="minorEastAsia"/>
          <w:bCs/>
          <w:color w:val="auto"/>
          <w:w w:val="99"/>
          <w:kern w:val="21"/>
          <w:szCs w:val="20"/>
          <w:highlight w:val="none"/>
          <w:lang w:eastAsia="zh-CN"/>
        </w:rPr>
        <w:t>耗氧量</w:t>
      </w:r>
      <w:r>
        <w:rPr>
          <w:rFonts w:ascii="Times New Roman" w:hAnsi="Times New Roman" w:cs="Times New Roman" w:eastAsiaTheme="minorEastAsia"/>
          <w:bCs/>
          <w:color w:val="auto"/>
          <w:w w:val="99"/>
          <w:kern w:val="21"/>
          <w:szCs w:val="20"/>
          <w:highlight w:val="none"/>
        </w:rPr>
        <w:t>的浓度一般可达2000mg/L，本项目预测中</w:t>
      </w:r>
      <w:r>
        <w:rPr>
          <w:rFonts w:hint="eastAsia" w:ascii="Times New Roman" w:hAnsi="Times New Roman" w:cs="Times New Roman" w:eastAsiaTheme="minorEastAsia"/>
          <w:bCs/>
          <w:color w:val="auto"/>
          <w:w w:val="99"/>
          <w:kern w:val="21"/>
          <w:szCs w:val="20"/>
          <w:highlight w:val="none"/>
          <w:lang w:eastAsia="zh-CN"/>
        </w:rPr>
        <w:t>耗氧量</w:t>
      </w:r>
      <w:r>
        <w:rPr>
          <w:rFonts w:ascii="Times New Roman" w:hAnsi="Times New Roman" w:cs="Times New Roman" w:eastAsiaTheme="minorEastAsia"/>
          <w:bCs/>
          <w:color w:val="auto"/>
          <w:w w:val="99"/>
          <w:kern w:val="21"/>
          <w:szCs w:val="20"/>
          <w:highlight w:val="none"/>
        </w:rPr>
        <w:t>的浓度取2000mg/L。</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（4）预测参数</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color w:val="auto"/>
          <w:w w:val="99"/>
          <w:kern w:val="2"/>
          <w:szCs w:val="20"/>
          <w:highlight w:val="none"/>
        </w:rPr>
        <w:t>根据该地区的水文地质条件，评价区内承压水含水层的渗透系数为25m/d，水力坡度为0.001</w:t>
      </w:r>
      <w:r>
        <w:rPr>
          <w:rFonts w:ascii="Times New Roman" w:hAnsi="Times New Roman" w:cs="Times New Roman" w:eastAsiaTheme="minorEastAsia"/>
          <w:bCs/>
          <w:color w:val="auto"/>
          <w:w w:val="99"/>
          <w:kern w:val="21"/>
          <w:szCs w:val="20"/>
          <w:highlight w:val="none"/>
        </w:rPr>
        <w:t>，区域地下水纵向弥散系数0.2m</w:t>
      </w:r>
      <w:r>
        <w:rPr>
          <w:rFonts w:ascii="Times New Roman" w:hAnsi="Times New Roman" w:cs="Times New Roman" w:eastAsiaTheme="minorEastAsia"/>
          <w:bCs/>
          <w:color w:val="auto"/>
          <w:w w:val="99"/>
          <w:kern w:val="21"/>
          <w:szCs w:val="20"/>
          <w:highlight w:val="none"/>
          <w:vertAlign w:val="superscript"/>
        </w:rPr>
        <w:t>2</w:t>
      </w:r>
      <w:r>
        <w:rPr>
          <w:rFonts w:ascii="Times New Roman" w:hAnsi="Times New Roman" w:cs="Times New Roman" w:eastAsiaTheme="minorEastAsia"/>
          <w:bCs/>
          <w:color w:val="auto"/>
          <w:w w:val="99"/>
          <w:kern w:val="21"/>
          <w:szCs w:val="20"/>
          <w:highlight w:val="none"/>
        </w:rPr>
        <w:t>/d，横向弥散系数0.02m</w:t>
      </w:r>
      <w:r>
        <w:rPr>
          <w:rFonts w:ascii="Times New Roman" w:hAnsi="Times New Roman" w:cs="Times New Roman" w:eastAsiaTheme="minorEastAsia"/>
          <w:bCs/>
          <w:color w:val="auto"/>
          <w:w w:val="99"/>
          <w:kern w:val="21"/>
          <w:szCs w:val="20"/>
          <w:highlight w:val="none"/>
          <w:vertAlign w:val="superscript"/>
        </w:rPr>
        <w:t>2</w:t>
      </w:r>
      <w:r>
        <w:rPr>
          <w:rFonts w:ascii="Times New Roman" w:hAnsi="Times New Roman" w:cs="Times New Roman" w:eastAsiaTheme="minorEastAsia"/>
          <w:bCs/>
          <w:color w:val="auto"/>
          <w:w w:val="99"/>
          <w:kern w:val="21"/>
          <w:szCs w:val="20"/>
          <w:highlight w:val="none"/>
        </w:rPr>
        <w:t>/d，承压水地下水流速度0.0625m/d，承压水含水层厚度50m，有效孔隙度为0.4，化学反应常数为0。</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（5）预测源强</w:t>
      </w:r>
    </w:p>
    <w:p>
      <w:pPr>
        <w:widowControl w:val="0"/>
        <w:spacing w:line="500" w:lineRule="exact"/>
        <w:ind w:firstLine="474" w:firstLineChars="200"/>
        <w:jc w:val="both"/>
        <w:rPr>
          <w:rFonts w:ascii="Times New Roman" w:hAnsi="Times New Roman" w:cs="Times New Roman" w:eastAsiaTheme="minorEastAsia"/>
          <w:color w:val="auto"/>
          <w:w w:val="99"/>
          <w:kern w:val="2"/>
          <w:szCs w:val="22"/>
          <w:highlight w:val="none"/>
        </w:rPr>
      </w:pPr>
      <w:r>
        <w:rPr>
          <w:rFonts w:ascii="Times New Roman" w:hAnsi="Times New Roman" w:cs="Times New Roman" w:eastAsiaTheme="minorEastAsia"/>
          <w:bCs/>
          <w:color w:val="auto"/>
          <w:w w:val="99"/>
          <w:kern w:val="21"/>
          <w:szCs w:val="20"/>
          <w:highlight w:val="none"/>
          <w:lang w:bidi="zh-CN"/>
        </w:rPr>
        <w:t>钻井过程中因套管</w:t>
      </w:r>
      <w:r>
        <w:rPr>
          <w:rFonts w:ascii="Times New Roman" w:hAnsi="Times New Roman" w:cs="Times New Roman" w:eastAsiaTheme="minorEastAsia"/>
          <w:bCs/>
          <w:color w:val="auto"/>
          <w:w w:val="99"/>
          <w:kern w:val="21"/>
          <w:szCs w:val="20"/>
          <w:highlight w:val="none"/>
          <w:lang w:val="zh-CN" w:bidi="zh-CN"/>
        </w:rPr>
        <w:t>破损</w:t>
      </w:r>
      <w:r>
        <w:rPr>
          <w:rFonts w:ascii="Times New Roman" w:hAnsi="Times New Roman" w:cs="Times New Roman" w:eastAsiaTheme="minorEastAsia"/>
          <w:bCs/>
          <w:color w:val="auto"/>
          <w:w w:val="99"/>
          <w:kern w:val="21"/>
          <w:szCs w:val="20"/>
          <w:highlight w:val="none"/>
          <w:lang w:bidi="zh-CN"/>
        </w:rPr>
        <w:t>造成的钻井液漏失</w:t>
      </w:r>
      <w:r>
        <w:rPr>
          <w:rFonts w:ascii="Times New Roman" w:hAnsi="Times New Roman" w:cs="Times New Roman" w:eastAsiaTheme="minorEastAsia"/>
          <w:bCs/>
          <w:color w:val="auto"/>
          <w:w w:val="99"/>
          <w:kern w:val="21"/>
          <w:szCs w:val="20"/>
          <w:highlight w:val="none"/>
          <w:lang w:val="zh-CN" w:bidi="zh-CN"/>
        </w:rPr>
        <w:t>，</w:t>
      </w:r>
      <w:r>
        <w:rPr>
          <w:rFonts w:ascii="Times New Roman" w:hAnsi="Times New Roman" w:cs="Times New Roman" w:eastAsiaTheme="minorEastAsia"/>
          <w:color w:val="auto"/>
          <w:w w:val="99"/>
          <w:kern w:val="2"/>
          <w:szCs w:val="22"/>
          <w:highlight w:val="none"/>
        </w:rPr>
        <w:t>根据钻井工程方案，本项目单口井钻井液最大用量为</w:t>
      </w:r>
      <w:r>
        <w:rPr>
          <w:rFonts w:hint="eastAsia" w:ascii="Times New Roman" w:hAnsi="Times New Roman" w:cs="Times New Roman" w:eastAsiaTheme="minorEastAsia"/>
          <w:color w:val="auto"/>
          <w:w w:val="99"/>
          <w:kern w:val="2"/>
          <w:szCs w:val="22"/>
          <w:highlight w:val="none"/>
        </w:rPr>
        <w:t>224m</w:t>
      </w:r>
      <w:r>
        <w:rPr>
          <w:rFonts w:hint="eastAsia" w:ascii="Times New Roman" w:hAnsi="Times New Roman" w:cs="Times New Roman" w:eastAsiaTheme="minorEastAsia"/>
          <w:color w:val="auto"/>
          <w:w w:val="99"/>
          <w:kern w:val="2"/>
          <w:szCs w:val="22"/>
          <w:highlight w:val="none"/>
          <w:vertAlign w:val="superscript"/>
        </w:rPr>
        <w:t>3</w:t>
      </w:r>
      <w:r>
        <w:rPr>
          <w:rFonts w:ascii="Times New Roman" w:hAnsi="Times New Roman" w:cs="Times New Roman" w:eastAsiaTheme="minorEastAsia"/>
          <w:color w:val="auto"/>
          <w:w w:val="99"/>
          <w:kern w:val="2"/>
          <w:szCs w:val="22"/>
          <w:highlight w:val="none"/>
        </w:rPr>
        <w:t>，因套管</w:t>
      </w:r>
      <w:r>
        <w:rPr>
          <w:rFonts w:ascii="Times New Roman" w:hAnsi="Times New Roman" w:cs="Times New Roman" w:eastAsiaTheme="minorEastAsia"/>
          <w:bCs/>
          <w:color w:val="auto"/>
          <w:w w:val="99"/>
          <w:kern w:val="21"/>
          <w:szCs w:val="20"/>
          <w:highlight w:val="none"/>
          <w:lang w:val="zh-CN" w:bidi="zh-CN"/>
        </w:rPr>
        <w:t>破损</w:t>
      </w:r>
      <w:r>
        <w:rPr>
          <w:rFonts w:ascii="Times New Roman" w:hAnsi="Times New Roman" w:cs="Times New Roman" w:eastAsiaTheme="minorEastAsia"/>
          <w:color w:val="auto"/>
          <w:w w:val="99"/>
          <w:kern w:val="2"/>
          <w:szCs w:val="22"/>
          <w:highlight w:val="none"/>
        </w:rPr>
        <w:t>钻井液漏失率约为10%，则最大漏失量为</w:t>
      </w:r>
      <w:r>
        <w:rPr>
          <w:rFonts w:hint="eastAsia" w:ascii="Times New Roman" w:hAnsi="Times New Roman" w:cs="Times New Roman" w:eastAsiaTheme="minorEastAsia"/>
          <w:color w:val="auto"/>
          <w:w w:val="99"/>
          <w:kern w:val="2"/>
          <w:szCs w:val="22"/>
          <w:highlight w:val="none"/>
        </w:rPr>
        <w:t>22.4</w:t>
      </w:r>
      <w:r>
        <w:rPr>
          <w:rFonts w:ascii="Times New Roman" w:hAnsi="Times New Roman" w:cs="Times New Roman" w:eastAsiaTheme="minorEastAsia"/>
          <w:color w:val="auto"/>
          <w:w w:val="99"/>
          <w:kern w:val="2"/>
          <w:szCs w:val="22"/>
          <w:highlight w:val="none"/>
        </w:rPr>
        <w:t>m</w:t>
      </w:r>
      <w:r>
        <w:rPr>
          <w:rFonts w:ascii="Times New Roman" w:hAnsi="Times New Roman" w:cs="Times New Roman" w:eastAsiaTheme="minorEastAsia"/>
          <w:color w:val="auto"/>
          <w:w w:val="99"/>
          <w:kern w:val="2"/>
          <w:szCs w:val="22"/>
          <w:highlight w:val="none"/>
          <w:vertAlign w:val="superscript"/>
        </w:rPr>
        <w:t>3</w:t>
      </w:r>
      <w:r>
        <w:rPr>
          <w:rFonts w:ascii="Times New Roman" w:hAnsi="Times New Roman" w:cs="Times New Roman" w:eastAsiaTheme="minorEastAsia"/>
          <w:color w:val="auto"/>
          <w:w w:val="99"/>
          <w:kern w:val="2"/>
          <w:szCs w:val="22"/>
          <w:highlight w:val="none"/>
        </w:rPr>
        <w:t>，钻井泥浆中</w:t>
      </w:r>
      <w:r>
        <w:rPr>
          <w:rFonts w:hint="eastAsia" w:ascii="Times New Roman" w:hAnsi="Times New Roman" w:cs="Times New Roman" w:eastAsiaTheme="minorEastAsia"/>
          <w:color w:val="auto"/>
          <w:w w:val="99"/>
          <w:kern w:val="2"/>
          <w:szCs w:val="22"/>
          <w:highlight w:val="none"/>
          <w:lang w:eastAsia="zh-CN"/>
        </w:rPr>
        <w:t>耗氧量</w:t>
      </w:r>
      <w:r>
        <w:rPr>
          <w:rFonts w:ascii="Times New Roman" w:hAnsi="Times New Roman" w:cs="Times New Roman" w:eastAsiaTheme="minorEastAsia"/>
          <w:color w:val="auto"/>
          <w:w w:val="99"/>
          <w:kern w:val="2"/>
          <w:szCs w:val="22"/>
          <w:highlight w:val="none"/>
        </w:rPr>
        <w:t>的浓度约为2000mg/L，</w:t>
      </w:r>
      <w:r>
        <w:rPr>
          <w:rFonts w:hint="eastAsia" w:ascii="Times New Roman" w:hAnsi="Times New Roman" w:cs="Times New Roman" w:eastAsiaTheme="minorEastAsia"/>
          <w:color w:val="auto"/>
          <w:w w:val="99"/>
          <w:kern w:val="2"/>
          <w:szCs w:val="22"/>
          <w:highlight w:val="none"/>
          <w:lang w:eastAsia="zh-CN"/>
        </w:rPr>
        <w:t>耗氧量</w:t>
      </w:r>
      <w:r>
        <w:rPr>
          <w:rFonts w:ascii="Times New Roman" w:hAnsi="Times New Roman" w:cs="Times New Roman" w:eastAsiaTheme="minorEastAsia"/>
          <w:color w:val="auto"/>
          <w:w w:val="99"/>
          <w:kern w:val="2"/>
          <w:szCs w:val="22"/>
          <w:highlight w:val="none"/>
        </w:rPr>
        <w:t>泄漏质量为</w:t>
      </w:r>
      <w:r>
        <w:rPr>
          <w:rFonts w:hint="eastAsia" w:ascii="Times New Roman" w:hAnsi="Times New Roman" w:cs="Times New Roman" w:eastAsiaTheme="minorEastAsia"/>
          <w:color w:val="auto"/>
          <w:w w:val="99"/>
          <w:kern w:val="2"/>
          <w:szCs w:val="22"/>
          <w:highlight w:val="none"/>
        </w:rPr>
        <w:t>4480</w:t>
      </w:r>
      <w:r>
        <w:rPr>
          <w:rFonts w:ascii="Times New Roman" w:hAnsi="Times New Roman" w:cs="Times New Roman" w:eastAsiaTheme="minorEastAsia"/>
          <w:color w:val="auto"/>
          <w:w w:val="99"/>
          <w:kern w:val="2"/>
          <w:szCs w:val="22"/>
          <w:highlight w:val="none"/>
        </w:rPr>
        <w:t>g，单井钻井时间最长为14d。污染物预测源强见表</w:t>
      </w:r>
      <w:r>
        <w:rPr>
          <w:rFonts w:ascii="Times New Roman" w:hAnsi="Times New Roman" w:cs="Times New Roman" w:eastAsiaTheme="minorEastAsia"/>
          <w:color w:val="auto"/>
          <w:w w:val="99"/>
          <w:kern w:val="2"/>
          <w:highlight w:val="none"/>
        </w:rPr>
        <w:t>5.5-3</w:t>
      </w:r>
      <w:r>
        <w:rPr>
          <w:rFonts w:ascii="Times New Roman" w:hAnsi="Times New Roman" w:cs="Times New Roman" w:eastAsiaTheme="minorEastAsia"/>
          <w:color w:val="auto"/>
          <w:w w:val="99"/>
          <w:kern w:val="2"/>
          <w:szCs w:val="22"/>
          <w:highlight w:val="none"/>
        </w:rPr>
        <w:t>。</w:t>
      </w:r>
    </w:p>
    <w:p>
      <w:pPr>
        <w:widowControl w:val="0"/>
        <w:tabs>
          <w:tab w:val="left" w:pos="1354"/>
        </w:tabs>
        <w:spacing w:line="500" w:lineRule="exact"/>
        <w:ind w:firstLine="476" w:firstLineChars="200"/>
        <w:jc w:val="both"/>
        <w:rPr>
          <w:rFonts w:ascii="Times New Roman" w:hAnsi="Times New Roman" w:cs="Times New Roman" w:eastAsiaTheme="minorEastAsia"/>
          <w:b/>
          <w:bCs w:val="0"/>
          <w:color w:val="auto"/>
          <w:w w:val="99"/>
          <w:kern w:val="2"/>
          <w:szCs w:val="22"/>
          <w:highlight w:val="none"/>
        </w:rPr>
      </w:pPr>
      <w:r>
        <w:rPr>
          <w:rFonts w:ascii="Times New Roman" w:hAnsi="Times New Roman" w:cs="Times New Roman" w:eastAsiaTheme="minorEastAsia"/>
          <w:b/>
          <w:bCs w:val="0"/>
          <w:color w:val="auto"/>
          <w:w w:val="99"/>
          <w:kern w:val="21"/>
          <w:szCs w:val="20"/>
          <w:highlight w:val="none"/>
        </w:rPr>
        <w:t>表</w:t>
      </w:r>
      <w:r>
        <w:rPr>
          <w:rFonts w:ascii="Times New Roman" w:hAnsi="Times New Roman" w:cs="Times New Roman" w:eastAsiaTheme="minorEastAsia"/>
          <w:b/>
          <w:bCs w:val="0"/>
          <w:color w:val="auto"/>
          <w:w w:val="99"/>
          <w:kern w:val="2"/>
          <w:highlight w:val="none"/>
        </w:rPr>
        <w:t>5.5-3</w:t>
      </w:r>
      <w:r>
        <w:rPr>
          <w:rFonts w:ascii="Times New Roman" w:hAnsi="Times New Roman" w:cs="Times New Roman" w:eastAsiaTheme="minorEastAsia"/>
          <w:b/>
          <w:bCs w:val="0"/>
          <w:color w:val="auto"/>
          <w:w w:val="99"/>
          <w:kern w:val="21"/>
          <w:szCs w:val="20"/>
          <w:highlight w:val="none"/>
        </w:rPr>
        <w:t xml:space="preserve">            </w:t>
      </w:r>
      <w:r>
        <w:rPr>
          <w:rFonts w:ascii="Times New Roman" w:hAnsi="Times New Roman" w:cs="Times New Roman" w:eastAsiaTheme="minorEastAsia"/>
          <w:b/>
          <w:bCs w:val="0"/>
          <w:color w:val="auto"/>
          <w:w w:val="99"/>
          <w:kern w:val="2"/>
          <w:szCs w:val="22"/>
          <w:highlight w:val="none"/>
        </w:rPr>
        <w:t>套管破损钻井泥浆污染物预测源强表</w:t>
      </w:r>
    </w:p>
    <w:tbl>
      <w:tblPr>
        <w:tblStyle w:val="8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637"/>
        <w:gridCol w:w="1386"/>
        <w:gridCol w:w="1511"/>
        <w:gridCol w:w="1511"/>
        <w:gridCol w:w="1640"/>
        <w:gridCol w:w="13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02"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泄漏位置</w:t>
            </w:r>
          </w:p>
        </w:tc>
        <w:tc>
          <w:tcPr>
            <w:tcW w:w="764"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泄漏量</w:t>
            </w:r>
          </w:p>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w:t>
            </w:r>
            <w:r>
              <w:rPr>
                <w:rFonts w:ascii="Times New Roman" w:hAnsi="Times New Roman" w:cs="Times New Roman" w:eastAsiaTheme="minorEastAsia"/>
                <w:bCs/>
                <w:color w:val="auto"/>
                <w:w w:val="99"/>
                <w:kern w:val="2"/>
                <w:sz w:val="21"/>
                <w:szCs w:val="21"/>
                <w:highlight w:val="none"/>
                <w:vertAlign w:val="superscript"/>
              </w:rPr>
              <w:t>3</w:t>
            </w:r>
            <w:r>
              <w:rPr>
                <w:rFonts w:ascii="Times New Roman" w:hAnsi="Times New Roman" w:cs="Times New Roman" w:eastAsiaTheme="minorEastAsia"/>
                <w:bCs/>
                <w:color w:val="auto"/>
                <w:w w:val="99"/>
                <w:kern w:val="2"/>
                <w:sz w:val="21"/>
                <w:szCs w:val="21"/>
                <w:highlight w:val="none"/>
              </w:rPr>
              <w:t>）</w:t>
            </w:r>
          </w:p>
        </w:tc>
        <w:tc>
          <w:tcPr>
            <w:tcW w:w="833"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污染物</w:t>
            </w:r>
          </w:p>
        </w:tc>
        <w:tc>
          <w:tcPr>
            <w:tcW w:w="833"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污染物浓度</w:t>
            </w:r>
          </w:p>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（mg/L）</w:t>
            </w:r>
          </w:p>
        </w:tc>
        <w:tc>
          <w:tcPr>
            <w:tcW w:w="904"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污染物泄漏量</w:t>
            </w:r>
          </w:p>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（g）</w:t>
            </w:r>
          </w:p>
        </w:tc>
        <w:tc>
          <w:tcPr>
            <w:tcW w:w="763"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泄漏时间</w:t>
            </w:r>
          </w:p>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02"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套管破损</w:t>
            </w:r>
          </w:p>
        </w:tc>
        <w:tc>
          <w:tcPr>
            <w:tcW w:w="764"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22.4</w:t>
            </w:r>
          </w:p>
        </w:tc>
        <w:tc>
          <w:tcPr>
            <w:tcW w:w="833"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eastAsia="zh-CN"/>
              </w:rPr>
              <w:t>耗氧量</w:t>
            </w:r>
          </w:p>
        </w:tc>
        <w:tc>
          <w:tcPr>
            <w:tcW w:w="833"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2000</w:t>
            </w:r>
          </w:p>
        </w:tc>
        <w:tc>
          <w:tcPr>
            <w:tcW w:w="904"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4480</w:t>
            </w:r>
          </w:p>
        </w:tc>
        <w:tc>
          <w:tcPr>
            <w:tcW w:w="763"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14</w:t>
            </w:r>
          </w:p>
        </w:tc>
      </w:tr>
    </w:tbl>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（6）预测模型</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lang w:bidi="zh-CN"/>
        </w:rPr>
      </w:pPr>
      <w:r>
        <w:rPr>
          <w:rFonts w:ascii="Times New Roman" w:hAnsi="Times New Roman" w:cs="Times New Roman"/>
          <w:color w:val="auto"/>
          <w:w w:val="99"/>
          <w:kern w:val="2"/>
          <w:szCs w:val="20"/>
          <w:highlight w:val="none"/>
        </w:rPr>
        <w:t>预测模型选择《环境影响评价技术导则地下水环境》（HJ610-2016）推荐的地下水溶质运移解析法中的一维稳定流动二维弥散点源模型进行预测。由于套管破损不易被发现，因此按连续点源计算。</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连续注入示踪剂-平面连续点源</w:t>
      </w:r>
    </w:p>
    <w:p>
      <w:pPr>
        <w:jc w:val="center"/>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drawing>
          <wp:inline distT="0" distB="0" distL="0" distR="0">
            <wp:extent cx="3444240" cy="1063625"/>
            <wp:effectExtent l="0" t="0" r="3810" b="317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3465340" cy="1070087"/>
                    </a:xfrm>
                    <a:prstGeom prst="rect">
                      <a:avLst/>
                    </a:prstGeom>
                  </pic:spPr>
                </pic:pic>
              </a:graphicData>
            </a:graphic>
          </wp:inline>
        </w:drawing>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式中：x，y—计算点处的位置坐标；</w:t>
      </w:r>
    </w:p>
    <w:p>
      <w:pPr>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t—时间，d；</w:t>
      </w:r>
    </w:p>
    <w:p>
      <w:pPr>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C(x，y，t)—t时刻点x，y处的示踪剂质量浓度，g/L；</w:t>
      </w:r>
    </w:p>
    <w:p>
      <w:pPr>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M—承压含水层的厚度，m；</w:t>
      </w:r>
    </w:p>
    <w:p>
      <w:pPr>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m</w:t>
      </w:r>
      <w:r>
        <w:rPr>
          <w:rFonts w:ascii="Times New Roman" w:hAnsi="Times New Roman" w:cs="Times New Roman" w:eastAsiaTheme="minorEastAsia"/>
          <w:bCs/>
          <w:color w:val="auto"/>
          <w:w w:val="99"/>
          <w:kern w:val="21"/>
          <w:szCs w:val="20"/>
          <w:highlight w:val="none"/>
          <w:vertAlign w:val="subscript"/>
        </w:rPr>
        <w:t>t</w:t>
      </w:r>
      <w:r>
        <w:rPr>
          <w:rFonts w:ascii="Times New Roman" w:hAnsi="Times New Roman" w:cs="Times New Roman" w:eastAsiaTheme="minorEastAsia"/>
          <w:bCs/>
          <w:color w:val="auto"/>
          <w:w w:val="99"/>
          <w:kern w:val="21"/>
          <w:szCs w:val="20"/>
          <w:highlight w:val="none"/>
        </w:rPr>
        <w:t>—单位时间注入的示踪剂质量，kg/d；</w:t>
      </w:r>
    </w:p>
    <w:p>
      <w:pPr>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u—水流速度，m/d；</w:t>
      </w:r>
    </w:p>
    <w:p>
      <w:pPr>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n—有效孔隙度，无量纲；</w:t>
      </w:r>
    </w:p>
    <w:p>
      <w:pPr>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D</w:t>
      </w:r>
      <w:r>
        <w:rPr>
          <w:rFonts w:ascii="Times New Roman" w:hAnsi="Times New Roman" w:cs="Times New Roman" w:eastAsiaTheme="minorEastAsia"/>
          <w:bCs/>
          <w:color w:val="auto"/>
          <w:w w:val="99"/>
          <w:kern w:val="21"/>
          <w:szCs w:val="20"/>
          <w:highlight w:val="none"/>
          <w:vertAlign w:val="subscript"/>
        </w:rPr>
        <w:t>L</w:t>
      </w:r>
      <w:r>
        <w:rPr>
          <w:rFonts w:ascii="Times New Roman" w:hAnsi="Times New Roman" w:cs="Times New Roman" w:eastAsiaTheme="minorEastAsia"/>
          <w:bCs/>
          <w:color w:val="auto"/>
          <w:w w:val="99"/>
          <w:kern w:val="21"/>
          <w:szCs w:val="20"/>
          <w:highlight w:val="none"/>
        </w:rPr>
        <w:t>—纵向弥散系数，m</w:t>
      </w:r>
      <w:r>
        <w:rPr>
          <w:rFonts w:ascii="Times New Roman" w:hAnsi="Times New Roman" w:cs="Times New Roman" w:eastAsiaTheme="minorEastAsia"/>
          <w:bCs/>
          <w:color w:val="auto"/>
          <w:w w:val="99"/>
          <w:kern w:val="21"/>
          <w:szCs w:val="20"/>
          <w:highlight w:val="none"/>
          <w:vertAlign w:val="superscript"/>
        </w:rPr>
        <w:t>2</w:t>
      </w:r>
      <w:r>
        <w:rPr>
          <w:rFonts w:ascii="Times New Roman" w:hAnsi="Times New Roman" w:cs="Times New Roman" w:eastAsiaTheme="minorEastAsia"/>
          <w:bCs/>
          <w:color w:val="auto"/>
          <w:w w:val="99"/>
          <w:kern w:val="21"/>
          <w:szCs w:val="20"/>
          <w:highlight w:val="none"/>
        </w:rPr>
        <w:t>/d；</w:t>
      </w:r>
    </w:p>
    <w:p>
      <w:pPr>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D</w:t>
      </w:r>
      <w:r>
        <w:rPr>
          <w:rFonts w:ascii="Times New Roman" w:hAnsi="Times New Roman" w:cs="Times New Roman" w:eastAsiaTheme="minorEastAsia"/>
          <w:bCs/>
          <w:color w:val="auto"/>
          <w:w w:val="99"/>
          <w:kern w:val="21"/>
          <w:szCs w:val="20"/>
          <w:highlight w:val="none"/>
          <w:vertAlign w:val="subscript"/>
        </w:rPr>
        <w:t>T</w:t>
      </w:r>
      <w:r>
        <w:rPr>
          <w:rFonts w:ascii="Times New Roman" w:hAnsi="Times New Roman" w:cs="Times New Roman" w:eastAsiaTheme="minorEastAsia"/>
          <w:bCs/>
          <w:color w:val="auto"/>
          <w:w w:val="99"/>
          <w:kern w:val="21"/>
          <w:szCs w:val="20"/>
          <w:highlight w:val="none"/>
        </w:rPr>
        <w:t>—横向y方向的弥散系数m</w:t>
      </w:r>
      <w:r>
        <w:rPr>
          <w:rFonts w:ascii="Times New Roman" w:hAnsi="Times New Roman" w:cs="Times New Roman" w:eastAsiaTheme="minorEastAsia"/>
          <w:bCs/>
          <w:color w:val="auto"/>
          <w:w w:val="99"/>
          <w:kern w:val="21"/>
          <w:szCs w:val="20"/>
          <w:highlight w:val="none"/>
          <w:vertAlign w:val="superscript"/>
        </w:rPr>
        <w:t>2</w:t>
      </w:r>
      <w:r>
        <w:rPr>
          <w:rFonts w:ascii="Times New Roman" w:hAnsi="Times New Roman" w:cs="Times New Roman" w:eastAsiaTheme="minorEastAsia"/>
          <w:bCs/>
          <w:color w:val="auto"/>
          <w:w w:val="99"/>
          <w:kern w:val="21"/>
          <w:szCs w:val="20"/>
          <w:highlight w:val="none"/>
        </w:rPr>
        <w:t>/d；</w:t>
      </w:r>
    </w:p>
    <w:p>
      <w:pPr>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π—圆周率；</w:t>
      </w:r>
    </w:p>
    <w:p>
      <w:pPr>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K</w:t>
      </w:r>
      <w:r>
        <w:rPr>
          <w:rFonts w:ascii="Times New Roman" w:hAnsi="Times New Roman" w:cs="Times New Roman" w:eastAsiaTheme="minorEastAsia"/>
          <w:bCs/>
          <w:color w:val="auto"/>
          <w:w w:val="99"/>
          <w:kern w:val="21"/>
          <w:szCs w:val="20"/>
          <w:highlight w:val="none"/>
          <w:vertAlign w:val="subscript"/>
        </w:rPr>
        <w:t>0</w:t>
      </w:r>
      <w:r>
        <w:rPr>
          <w:rFonts w:ascii="Times New Roman" w:hAnsi="Times New Roman" w:cs="Times New Roman" w:eastAsiaTheme="minorEastAsia"/>
          <w:bCs/>
          <w:color w:val="auto"/>
          <w:w w:val="99"/>
          <w:kern w:val="21"/>
          <w:szCs w:val="20"/>
          <w:highlight w:val="none"/>
        </w:rPr>
        <w:t>（β）—第二类零阶修正贝塞尔函数，（可查《地下水动力学获得》；</w:t>
      </w:r>
    </w:p>
    <w:p>
      <w:pPr>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W（u</w:t>
      </w:r>
      <w:r>
        <w:rPr>
          <w:rFonts w:ascii="Times New Roman" w:hAnsi="Times New Roman" w:cs="Times New Roman" w:eastAsiaTheme="minorEastAsia"/>
          <w:bCs/>
          <w:color w:val="auto"/>
          <w:w w:val="99"/>
          <w:kern w:val="21"/>
          <w:szCs w:val="20"/>
          <w:highlight w:val="none"/>
          <w:vertAlign w:val="superscript"/>
        </w:rPr>
        <w:t>2</w:t>
      </w:r>
      <w:r>
        <w:rPr>
          <w:rFonts w:ascii="Times New Roman" w:hAnsi="Times New Roman" w:cs="Times New Roman" w:eastAsiaTheme="minorEastAsia"/>
          <w:bCs/>
          <w:color w:val="auto"/>
          <w:w w:val="99"/>
          <w:kern w:val="21"/>
          <w:szCs w:val="20"/>
          <w:highlight w:val="none"/>
        </w:rPr>
        <w:t>t/4D</w:t>
      </w:r>
      <w:r>
        <w:rPr>
          <w:rFonts w:ascii="Times New Roman" w:hAnsi="Times New Roman" w:cs="Times New Roman" w:eastAsiaTheme="minorEastAsia"/>
          <w:bCs/>
          <w:color w:val="auto"/>
          <w:w w:val="99"/>
          <w:kern w:val="21"/>
          <w:szCs w:val="20"/>
          <w:highlight w:val="none"/>
          <w:vertAlign w:val="subscript"/>
        </w:rPr>
        <w:t>L</w:t>
      </w:r>
      <w:r>
        <w:rPr>
          <w:rFonts w:ascii="Times New Roman" w:hAnsi="Times New Roman" w:cs="Times New Roman" w:eastAsiaTheme="minorEastAsia"/>
          <w:bCs/>
          <w:color w:val="auto"/>
          <w:w w:val="99"/>
          <w:kern w:val="21"/>
          <w:szCs w:val="20"/>
          <w:highlight w:val="none"/>
        </w:rPr>
        <w:t>，β）—第一类越流系统井函数，（可查《地下水动力学获得》。</w:t>
      </w:r>
    </w:p>
    <w:p>
      <w:pPr>
        <w:widowControl w:val="0"/>
        <w:adjustRightInd w:val="0"/>
        <w:snapToGrid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（7）预测结果</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color w:val="auto"/>
          <w:w w:val="99"/>
          <w:kern w:val="2"/>
          <w:highlight w:val="none"/>
        </w:rPr>
        <w:t>预测结果见表5.5-4及图5.5-3、图5.5-4。</w:t>
      </w:r>
    </w:p>
    <w:p>
      <w:pPr>
        <w:spacing w:line="500" w:lineRule="exact"/>
        <w:ind w:firstLine="476" w:firstLineChars="200"/>
        <w:jc w:val="both"/>
        <w:rPr>
          <w:rFonts w:ascii="Times New Roman" w:hAnsi="Times New Roman" w:cs="Times New Roman" w:eastAsiaTheme="minorEastAsia"/>
          <w:b/>
          <w:bCs w:val="0"/>
          <w:color w:val="auto"/>
          <w:w w:val="99"/>
          <w:kern w:val="21"/>
          <w:szCs w:val="20"/>
          <w:highlight w:val="none"/>
        </w:rPr>
      </w:pPr>
      <w:r>
        <w:rPr>
          <w:rFonts w:ascii="Times New Roman" w:hAnsi="Times New Roman" w:cs="Times New Roman" w:eastAsiaTheme="minorEastAsia"/>
          <w:b/>
          <w:bCs w:val="0"/>
          <w:color w:val="auto"/>
          <w:w w:val="99"/>
          <w:kern w:val="21"/>
          <w:szCs w:val="20"/>
          <w:highlight w:val="none"/>
        </w:rPr>
        <w:t>表</w:t>
      </w:r>
      <w:r>
        <w:rPr>
          <w:rFonts w:ascii="Times New Roman" w:hAnsi="Times New Roman" w:cs="Times New Roman" w:eastAsiaTheme="minorEastAsia"/>
          <w:b/>
          <w:bCs w:val="0"/>
          <w:color w:val="auto"/>
          <w:w w:val="99"/>
          <w:kern w:val="2"/>
          <w:highlight w:val="none"/>
        </w:rPr>
        <w:t>5.5-4</w:t>
      </w:r>
      <w:r>
        <w:rPr>
          <w:rFonts w:ascii="Times New Roman" w:hAnsi="Times New Roman" w:cs="Times New Roman" w:eastAsiaTheme="minorEastAsia"/>
          <w:b/>
          <w:bCs w:val="0"/>
          <w:color w:val="auto"/>
          <w:w w:val="99"/>
          <w:kern w:val="21"/>
          <w:szCs w:val="20"/>
          <w:highlight w:val="none"/>
        </w:rPr>
        <w:t xml:space="preserve">              套管破损</w:t>
      </w:r>
      <w:r>
        <w:rPr>
          <w:rFonts w:hint="eastAsia" w:ascii="Times New Roman" w:hAnsi="Times New Roman" w:cs="Times New Roman" w:eastAsiaTheme="minorEastAsia"/>
          <w:b/>
          <w:bCs w:val="0"/>
          <w:color w:val="auto"/>
          <w:w w:val="99"/>
          <w:kern w:val="21"/>
          <w:szCs w:val="20"/>
          <w:highlight w:val="none"/>
          <w:lang w:eastAsia="zh-CN"/>
        </w:rPr>
        <w:t>耗氧量</w:t>
      </w:r>
      <w:r>
        <w:rPr>
          <w:rFonts w:ascii="Times New Roman" w:hAnsi="Times New Roman" w:cs="Times New Roman" w:eastAsiaTheme="minorEastAsia"/>
          <w:b/>
          <w:bCs w:val="0"/>
          <w:color w:val="auto"/>
          <w:w w:val="99"/>
          <w:kern w:val="21"/>
          <w:szCs w:val="20"/>
          <w:highlight w:val="none"/>
        </w:rPr>
        <w:t xml:space="preserve">泄漏预测结果表    </w:t>
      </w:r>
    </w:p>
    <w:tbl>
      <w:tblPr>
        <w:tblStyle w:val="8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1"/>
        <w:gridCol w:w="1367"/>
        <w:gridCol w:w="1872"/>
        <w:gridCol w:w="1363"/>
        <w:gridCol w:w="1872"/>
        <w:gridCol w:w="16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0"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污染物</w:t>
            </w:r>
          </w:p>
        </w:tc>
        <w:tc>
          <w:tcPr>
            <w:tcW w:w="736"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预测时间</w:t>
            </w:r>
          </w:p>
        </w:tc>
        <w:tc>
          <w:tcPr>
            <w:tcW w:w="1008"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超标距离</w:t>
            </w:r>
          </w:p>
        </w:tc>
        <w:tc>
          <w:tcPr>
            <w:tcW w:w="734"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超标面积</w:t>
            </w:r>
          </w:p>
        </w:tc>
        <w:tc>
          <w:tcPr>
            <w:tcW w:w="1008"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最远影响距离</w:t>
            </w:r>
          </w:p>
        </w:tc>
        <w:tc>
          <w:tcPr>
            <w:tcW w:w="894"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影响面积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0" w:type="pct"/>
            <w:vMerge w:val="restart"/>
            <w:vAlign w:val="center"/>
          </w:tcPr>
          <w:p>
            <w:pPr>
              <w:spacing w:line="360" w:lineRule="exact"/>
              <w:jc w:val="center"/>
              <w:rPr>
                <w:rFonts w:hint="eastAsia" w:ascii="Times New Roman" w:hAnsi="Times New Roman" w:cs="Times New Roman" w:eastAsiaTheme="minorEastAsia"/>
                <w:color w:val="auto"/>
                <w:w w:val="99"/>
                <w:kern w:val="2"/>
                <w:sz w:val="21"/>
                <w:szCs w:val="21"/>
                <w:highlight w:val="none"/>
                <w:lang w:eastAsia="zh-CN"/>
              </w:rPr>
            </w:pPr>
            <w:r>
              <w:rPr>
                <w:rFonts w:hint="eastAsia" w:ascii="Times New Roman" w:hAnsi="Times New Roman" w:cs="Times New Roman" w:eastAsiaTheme="minorEastAsia"/>
                <w:color w:val="auto"/>
                <w:w w:val="99"/>
                <w:kern w:val="2"/>
                <w:sz w:val="21"/>
                <w:szCs w:val="21"/>
                <w:highlight w:val="none"/>
                <w:lang w:eastAsia="zh-CN"/>
              </w:rPr>
              <w:t>耗氧量</w:t>
            </w:r>
          </w:p>
        </w:tc>
        <w:tc>
          <w:tcPr>
            <w:tcW w:w="736"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100天</w:t>
            </w:r>
          </w:p>
        </w:tc>
        <w:tc>
          <w:tcPr>
            <w:tcW w:w="1008"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w:t>
            </w:r>
            <w:r>
              <w:rPr>
                <w:rFonts w:hint="eastAsia" w:ascii="Times New Roman" w:hAnsi="Times New Roman" w:cs="Times New Roman" w:eastAsiaTheme="minorEastAsia"/>
                <w:color w:val="auto"/>
                <w:w w:val="99"/>
                <w:kern w:val="2"/>
                <w:sz w:val="21"/>
                <w:szCs w:val="21"/>
                <w:highlight w:val="none"/>
              </w:rPr>
              <w:t>2</w:t>
            </w:r>
            <w:r>
              <w:rPr>
                <w:rFonts w:ascii="Times New Roman" w:hAnsi="Times New Roman" w:cs="Times New Roman" w:eastAsiaTheme="minorEastAsia"/>
                <w:color w:val="auto"/>
                <w:w w:val="99"/>
                <w:kern w:val="2"/>
                <w:sz w:val="21"/>
                <w:szCs w:val="21"/>
                <w:highlight w:val="none"/>
              </w:rPr>
              <w:t>m</w:t>
            </w:r>
          </w:p>
        </w:tc>
        <w:tc>
          <w:tcPr>
            <w:tcW w:w="734"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254</w:t>
            </w:r>
            <w:r>
              <w:rPr>
                <w:rFonts w:ascii="Times New Roman" w:hAnsi="Times New Roman" w:cs="Times New Roman" w:eastAsiaTheme="minorEastAsia"/>
                <w:color w:val="auto"/>
                <w:w w:val="99"/>
                <w:kern w:val="2"/>
                <w:sz w:val="21"/>
                <w:szCs w:val="21"/>
                <w:highlight w:val="none"/>
              </w:rPr>
              <w:t>m</w:t>
            </w:r>
            <w:r>
              <w:rPr>
                <w:rFonts w:ascii="Times New Roman" w:hAnsi="Times New Roman" w:cs="Times New Roman" w:eastAsiaTheme="minorEastAsia"/>
                <w:color w:val="auto"/>
                <w:w w:val="99"/>
                <w:kern w:val="2"/>
                <w:sz w:val="21"/>
                <w:szCs w:val="21"/>
                <w:highlight w:val="none"/>
                <w:vertAlign w:val="superscript"/>
              </w:rPr>
              <w:t>2</w:t>
            </w:r>
          </w:p>
        </w:tc>
        <w:tc>
          <w:tcPr>
            <w:tcW w:w="1008"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25</w:t>
            </w:r>
            <w:r>
              <w:rPr>
                <w:rFonts w:ascii="Times New Roman" w:hAnsi="Times New Roman" w:cs="Times New Roman" w:eastAsiaTheme="minorEastAsia"/>
                <w:color w:val="auto"/>
                <w:w w:val="99"/>
                <w:kern w:val="2"/>
                <w:sz w:val="21"/>
                <w:szCs w:val="21"/>
                <w:highlight w:val="none"/>
              </w:rPr>
              <w:t>m</w:t>
            </w:r>
          </w:p>
        </w:tc>
        <w:tc>
          <w:tcPr>
            <w:tcW w:w="894"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372</w:t>
            </w:r>
            <w:r>
              <w:rPr>
                <w:rFonts w:ascii="Times New Roman" w:hAnsi="Times New Roman" w:cs="Times New Roman" w:eastAsiaTheme="minorEastAsia"/>
                <w:color w:val="auto"/>
                <w:w w:val="99"/>
                <w:kern w:val="2"/>
                <w:sz w:val="21"/>
                <w:szCs w:val="21"/>
                <w:highlight w:val="none"/>
              </w:rPr>
              <w:t>m</w:t>
            </w:r>
            <w:r>
              <w:rPr>
                <w:rFonts w:ascii="Times New Roman" w:hAnsi="Times New Roman" w:cs="Times New Roman" w:eastAsiaTheme="minorEastAsia"/>
                <w:color w:val="auto"/>
                <w:w w:val="99"/>
                <w:kern w:val="2"/>
                <w:sz w:val="21"/>
                <w:szCs w:val="21"/>
                <w:highlight w:val="none"/>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0" w:type="pct"/>
            <w:vMerge w:val="continue"/>
            <w:vAlign w:val="center"/>
          </w:tcPr>
          <w:p>
            <w:pPr>
              <w:spacing w:line="360" w:lineRule="exact"/>
              <w:jc w:val="center"/>
              <w:rPr>
                <w:rFonts w:ascii="Times New Roman" w:hAnsi="Times New Roman" w:cs="Times New Roman" w:eastAsiaTheme="minorEastAsia"/>
                <w:color w:val="auto"/>
                <w:w w:val="99"/>
                <w:kern w:val="2"/>
                <w:sz w:val="21"/>
                <w:szCs w:val="21"/>
                <w:highlight w:val="none"/>
              </w:rPr>
            </w:pPr>
          </w:p>
        </w:tc>
        <w:tc>
          <w:tcPr>
            <w:tcW w:w="736"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1000天</w:t>
            </w:r>
          </w:p>
        </w:tc>
        <w:tc>
          <w:tcPr>
            <w:tcW w:w="1008"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w:t>
            </w:r>
            <w:r>
              <w:rPr>
                <w:rFonts w:hint="eastAsia" w:ascii="Times New Roman" w:hAnsi="Times New Roman" w:cs="Times New Roman" w:eastAsiaTheme="minorEastAsia"/>
                <w:color w:val="auto"/>
                <w:w w:val="99"/>
                <w:kern w:val="2"/>
                <w:sz w:val="21"/>
                <w:szCs w:val="21"/>
                <w:highlight w:val="none"/>
              </w:rPr>
              <w:t>05</w:t>
            </w:r>
            <w:r>
              <w:rPr>
                <w:rFonts w:ascii="Times New Roman" w:hAnsi="Times New Roman" w:cs="Times New Roman" w:eastAsiaTheme="minorEastAsia"/>
                <w:color w:val="auto"/>
                <w:w w:val="99"/>
                <w:kern w:val="2"/>
                <w:sz w:val="21"/>
                <w:szCs w:val="21"/>
                <w:highlight w:val="none"/>
              </w:rPr>
              <w:t>m</w:t>
            </w:r>
          </w:p>
        </w:tc>
        <w:tc>
          <w:tcPr>
            <w:tcW w:w="734"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2932</w:t>
            </w:r>
            <w:r>
              <w:rPr>
                <w:rFonts w:ascii="Times New Roman" w:hAnsi="Times New Roman" w:cs="Times New Roman" w:eastAsiaTheme="minorEastAsia"/>
                <w:color w:val="auto"/>
                <w:w w:val="99"/>
                <w:kern w:val="2"/>
                <w:sz w:val="21"/>
                <w:szCs w:val="21"/>
                <w:highlight w:val="none"/>
              </w:rPr>
              <w:t>m</w:t>
            </w:r>
            <w:r>
              <w:rPr>
                <w:rFonts w:ascii="Times New Roman" w:hAnsi="Times New Roman" w:cs="Times New Roman" w:eastAsiaTheme="minorEastAsia"/>
                <w:color w:val="auto"/>
                <w:w w:val="99"/>
                <w:kern w:val="2"/>
                <w:sz w:val="21"/>
                <w:szCs w:val="21"/>
                <w:highlight w:val="none"/>
                <w:vertAlign w:val="superscript"/>
              </w:rPr>
              <w:t>2</w:t>
            </w:r>
          </w:p>
        </w:tc>
        <w:tc>
          <w:tcPr>
            <w:tcW w:w="1008"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w:t>
            </w:r>
            <w:r>
              <w:rPr>
                <w:rFonts w:hint="eastAsia" w:ascii="Times New Roman" w:hAnsi="Times New Roman" w:cs="Times New Roman" w:eastAsiaTheme="minorEastAsia"/>
                <w:color w:val="auto"/>
                <w:w w:val="99"/>
                <w:kern w:val="2"/>
                <w:sz w:val="21"/>
                <w:szCs w:val="21"/>
                <w:highlight w:val="none"/>
              </w:rPr>
              <w:t>18</w:t>
            </w:r>
            <w:r>
              <w:rPr>
                <w:rFonts w:ascii="Times New Roman" w:hAnsi="Times New Roman" w:cs="Times New Roman" w:eastAsiaTheme="minorEastAsia"/>
                <w:color w:val="auto"/>
                <w:w w:val="99"/>
                <w:kern w:val="2"/>
                <w:sz w:val="21"/>
                <w:szCs w:val="21"/>
                <w:highlight w:val="none"/>
              </w:rPr>
              <w:t>m</w:t>
            </w:r>
          </w:p>
        </w:tc>
        <w:tc>
          <w:tcPr>
            <w:tcW w:w="894"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4108</w:t>
            </w:r>
            <w:r>
              <w:rPr>
                <w:rFonts w:ascii="Times New Roman" w:hAnsi="Times New Roman" w:cs="Times New Roman" w:eastAsiaTheme="minorEastAsia"/>
                <w:color w:val="auto"/>
                <w:w w:val="99"/>
                <w:kern w:val="2"/>
                <w:sz w:val="21"/>
                <w:szCs w:val="21"/>
                <w:highlight w:val="none"/>
              </w:rPr>
              <w:t>m</w:t>
            </w:r>
            <w:r>
              <w:rPr>
                <w:rFonts w:ascii="Times New Roman" w:hAnsi="Times New Roman" w:cs="Times New Roman" w:eastAsiaTheme="minorEastAsia"/>
                <w:color w:val="auto"/>
                <w:w w:val="99"/>
                <w:kern w:val="2"/>
                <w:sz w:val="21"/>
                <w:szCs w:val="21"/>
                <w:highlight w:val="none"/>
                <w:vertAlign w:val="superscript"/>
              </w:rPr>
              <w:t>2</w:t>
            </w:r>
          </w:p>
        </w:tc>
      </w:tr>
    </w:tbl>
    <w:p>
      <w:pPr>
        <w:jc w:val="center"/>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color w:val="auto"/>
          <w:w w:val="99"/>
          <w:highlight w:val="none"/>
        </w:rPr>
        <mc:AlternateContent>
          <mc:Choice Requires="wpg">
            <w:drawing>
              <wp:anchor distT="0" distB="0" distL="114300" distR="114300" simplePos="0" relativeHeight="251665408" behindDoc="0" locked="0" layoutInCell="1" allowOverlap="1">
                <wp:simplePos x="0" y="0"/>
                <wp:positionH relativeFrom="margin">
                  <wp:posOffset>2686685</wp:posOffset>
                </wp:positionH>
                <wp:positionV relativeFrom="paragraph">
                  <wp:posOffset>1576070</wp:posOffset>
                </wp:positionV>
                <wp:extent cx="1724025" cy="1677670"/>
                <wp:effectExtent l="0" t="3175" r="0" b="0"/>
                <wp:wrapNone/>
                <wp:docPr id="456" name="组合 456"/>
                <wp:cNvGraphicFramePr/>
                <a:graphic xmlns:a="http://schemas.openxmlformats.org/drawingml/2006/main">
                  <a:graphicData uri="http://schemas.microsoft.com/office/word/2010/wordprocessingGroup">
                    <wpg:wgp>
                      <wpg:cNvGrpSpPr/>
                      <wpg:grpSpPr>
                        <a:xfrm>
                          <a:off x="0" y="0"/>
                          <a:ext cx="1724168" cy="1677671"/>
                          <a:chOff x="105755" y="2312263"/>
                          <a:chExt cx="1884823" cy="846648"/>
                        </a:xfrm>
                      </wpg:grpSpPr>
                      <wps:wsp>
                        <wps:cNvPr id="460" name="直接箭头连接符 460"/>
                        <wps:cNvCnPr/>
                        <wps:spPr>
                          <a:xfrm flipH="1">
                            <a:off x="105755" y="2312263"/>
                            <a:ext cx="1515369" cy="696994"/>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7" name="矩形 467"/>
                        <wps:cNvSpPr/>
                        <wps:spPr>
                          <a:xfrm rot="2520000">
                            <a:off x="777071" y="2598752"/>
                            <a:ext cx="1213507" cy="5601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地</w:t>
                              </w:r>
                            </w:p>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下</w:t>
                              </w:r>
                            </w:p>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水</w:t>
                              </w:r>
                            </w:p>
                            <w:p>
                              <w:pPr>
                                <w:jc w:val="both"/>
                                <w:rPr>
                                  <w:color w:val="000000" w:themeColor="text1"/>
                                  <w14:textFill>
                                    <w14:solidFill>
                                      <w14:schemeClr w14:val="tx1"/>
                                    </w14:solidFill>
                                  </w14:textFill>
                                </w:rPr>
                              </w:pPr>
                              <w:r>
                                <w:rPr>
                                  <w:color w:val="000000" w:themeColor="text1"/>
                                  <w14:textFill>
                                    <w14:solidFill>
                                      <w14:schemeClr w14:val="tx1"/>
                                    </w14:solidFill>
                                  </w14:textFill>
                                </w:rPr>
                                <w:t>流</w:t>
                              </w:r>
                            </w:p>
                            <w:p>
                              <w:pPr>
                                <w:jc w:val="both"/>
                                <w:rPr>
                                  <w:color w:val="000000" w:themeColor="text1"/>
                                  <w14:textFill>
                                    <w14:solidFill>
                                      <w14:schemeClr w14:val="tx1"/>
                                    </w14:solidFill>
                                  </w14:textFill>
                                </w:rPr>
                              </w:pPr>
                              <w:r>
                                <w:rPr>
                                  <w:color w:val="000000" w:themeColor="text1"/>
                                  <w14:textFill>
                                    <w14:solidFill>
                                      <w14:schemeClr w14:val="tx1"/>
                                    </w14:solidFill>
                                  </w14:textFill>
                                </w:rPr>
                                <w:t>向</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11.55pt;margin-top:124.1pt;height:132.1pt;width:135.75pt;mso-position-horizontal-relative:margin;z-index:251665408;mso-width-relative:page;mso-height-relative:page;" coordorigin="105755,2312263" coordsize="1884823,846648" o:gfxdata="UEsDBAoAAAAAAIdO4kAAAAAAAAAAAAAAAAAEAAAAZHJzL1BLAwQUAAAACACHTuJANqcp1NwAAAAL&#10;AQAADwAAAGRycy9kb3ducmV2LnhtbE2PwWrDMBBE74X+g9hCb40sxTGJazmU0PYUCk0KJTfF2tgm&#10;1spYip38fdVTe1zmMfO2WF9tx0YcfOtIgZglwJAqZ1qqFXzt356WwHzQZHTnCBXc0MO6vL8rdG7c&#10;RJ847kLNYgn5XCtoQuhzzn3VoNV+5nqkmJ3cYHWI51BzM+gpltuOyyTJuNUtxYVG97hpsDrvLlbB&#10;+6Snl7l4Hbfn0+Z22C8+vrcClXp8EMkzsIDX8AfDr35UhzI6Hd2FjGedglTORUQVyHQpgUUiW6UZ&#10;sKOChZAp8LLg/38ofwBQSwMEFAAAAAgAh07iQMkrbDSoAwAAKggAAA4AAABkcnMvZTJvRG9jLnht&#10;bL1VS28kNRC+I/EfLN/JdPf0Y6aVySpMNgEpYiOF1Z49Hne3JbdtbE9mwnkPnBD3lRYJARISu6e9&#10;IcSvCcvPoGx3T7JhkQJIzKHHj3I9vvqq6vDRrhfoihnLlVzg9CDBiEmq1ly2C/z089OPZhhZR+Sa&#10;CCXZAl8zix8dffjB4VbXLFOdEmtmECiRtt7qBe6c0/VkYmnHemIPlGYSLhtleuJga9rJ2pAtaO/F&#10;JEuScrJVZq2NosxaOD2Jl3jQaB6iUDUNp+xE0U3PpItaDRPEQUi249rio+Bt0zDqnjSNZQ6JBYZI&#10;XfiCEViv/HdydEjq1hDdcTq4QB7iwr2YesIlGN2rOiGOoI3hf1HVc2qUVY07oKqfxEACIhBFmtzD&#10;5syojQ6xtPW21XvQIVH3UP/XaulnVxcG8fUC50WJkSQ9pPztL89vvvkK+RPAZ6vbGsTOjL7UF2Y4&#10;aOPOh7xrTO//IRi0C8he75FlO4coHKZVlqclMIvCXVpWVVmlEXvaQYL8uzQpqqLACASyaZpl5XQU&#10;eDwqmc3yWTaNSmZ5WeYzLzIZXZh4T/eObTXw096CZv8baJcd0Szkwno0RtBKINIA2os3v3/9w9vX&#10;r26+f/PHby/9+ucfUQ4CAbLwaikHAG1tAcsRPdQIrj8BCAKFBhz/Do89pEVaTMt5RKOcl/N5/g4a&#10;pNbGujOmeuQXC2ydIbzt3FJJCXWhTDRHrs6tizCOD7xfUp1yIeCc1EKi7QKX0wJipQRKvoFSg2Wv&#10;gTZWthgR0UIvoc6EAKwSfO1f+8fWtKulMOiK+ApMPk5AS7T2jpg3fUJsF+XClRcjdc8dtBvB+wWe&#10;Jf4Xjx3h4rFcI3etgbDOcCJbwQbNQgIrfP4jyH61UuvrgH04B154Xv8vBKn2BPn2p5tfvwNGVN5N&#10;bx14tC+p0dlIZmQUZCwroGFCxB6HgRVVVSVQOqFKivmsKrKIx54VWQp5Apu+0IoySYv5AMpYpmOS&#10;B1YYoEIw8FAepFkFLj2ICHc49M/yCyX9nhy63Wo3IBfTGVECZ6ympxwYdE6suyAGOjgcwoxzT+DT&#10;CAX0VcMKo06ZL9937uWhR8AtRluYCMDtLzbEMIzEpxK6xzzNc1DrwiYvqgw25u7N6u6N3PRLBZSH&#10;XIF3YenlnRiXjVH9MxiFx94qXBFJwXasomGzdHFSwTCl7Pg4iMHY0MSdy0tNx4Yh1fHGqYaHKr4l&#10;+1ADgeuhNcIICd1yGHd+Rt3dB/nbEX/0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0GAABbQ29udGVudF9UeXBlc10ueG1sUEsBAhQACgAAAAAA&#10;h07iQAAAAAAAAAAAAAAAAAYAAAAAAAAAAAAQAAAA/wQAAF9yZWxzL1BLAQIUABQAAAAIAIdO4kCK&#10;FGY80QAAAJQBAAALAAAAAAAAAAEAIAAAACMFAABfcmVscy8ucmVsc1BLAQIUAAoAAAAAAIdO4kAA&#10;AAAAAAAAAAAAAAAEAAAAAAAAAAAAEAAAAAAAAABkcnMvUEsBAhQAFAAAAAgAh07iQDanKdTcAAAA&#10;CwEAAA8AAAAAAAAAAQAgAAAAIgAAAGRycy9kb3ducmV2LnhtbFBLAQIUABQAAAAIAIdO4kDJK2w0&#10;qAMAACoIAAAOAAAAAAAAAAEAIAAAACsBAABkcnMvZTJvRG9jLnhtbFBLBQYAAAAABgAGAFkBAABF&#10;BwAAAAA=&#10;">
                <o:lock v:ext="edit" aspectratio="f"/>
                <v:shape id="_x0000_s1026" o:spid="_x0000_s1026" o:spt="32" type="#_x0000_t32" style="position:absolute;left:105755;top:2312263;flip:x;height:696994;width:1515369;" filled="f" stroked="t" coordsize="21600,21600" o:gfxdata="UEsDBAoAAAAAAIdO4kAAAAAAAAAAAAAAAAAEAAAAZHJzL1BLAwQUAAAACACHTuJAmZ0tLLwAAADc&#10;AAAADwAAAGRycy9kb3ducmV2LnhtbEVPTWvCQBC9F/wPywi91Y1tlBBdBUsDoQehUdDjkB2TYHY2&#10;ZNck/ffdg9Dj431v95NpxUC9aywrWC4iEMSl1Q1XCs6n7C0B4TyyxtYyKfglB/vd7GWLqbYj/9BQ&#10;+EqEEHYpKqi971IpXVmTQbewHXHgbrY36APsK6l7HEO4aeV7FK2lwYZDQ40dfdZU3ouHUfA4XuLk&#10;kBWr01c+JCv3HX8U7qrU63wZbUB4mvy/+OnOtYJ4HeaHM+EIyN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dLSy8AAAA&#10;3AAAAA8AAAAAAAAAAQAgAAAAIgAAAGRycy9kb3ducmV2LnhtbFBLAQIUABQAAAAIAIdO4kAzLwWe&#10;OwAAADkAAAAQAAAAAAAAAAEAIAAAAAsBAABkcnMvc2hhcGV4bWwueG1sUEsFBgAAAAAGAAYAWwEA&#10;ALUDAAAAAA==&#10;">
                  <v:fill on="f" focussize="0,0"/>
                  <v:stroke weight="0.5pt" color="#00B050 [3204]" miterlimit="8" joinstyle="miter" endarrow="block"/>
                  <v:imagedata o:title=""/>
                  <o:lock v:ext="edit" aspectratio="f"/>
                </v:shape>
                <v:rect id="_x0000_s1026" o:spid="_x0000_s1026" o:spt="1" style="position:absolute;left:777071;top:2598752;height:560159;width:1213507;rotation:2752512f;v-text-anchor:middle;" filled="f" stroked="f" coordsize="21600,21600" o:gfxdata="UEsDBAoAAAAAAIdO4kAAAAAAAAAAAAAAAAAEAAAAZHJzL1BLAwQUAAAACACHTuJAms56Pb0AAADc&#10;AAAADwAAAGRycy9kb3ducmV2LnhtbEWPQWsCMRSE70L/Q3gFb5pVi8pq9FAoKFJEbQ/eHpvnZjF5&#10;WTZxV/+9EQo9DjPzDbNc350VLTWh8qxgNMxAEBdeV1wq+Dl9DeYgQkTWaD2TggcFWK/eekvMte/4&#10;QO0xliJBOOSowMRY51KGwpDDMPQ1cfIuvnEYk2xKqRvsEtxZOc6yqXRYcVowWNOnoeJ6vDkF7aS+&#10;yE7P3KHYdb/n7d7uzLdVqv8+yhYgIt3jf/ivvdEKPqYzeJ1JR0C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zno9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地</w:t>
                        </w:r>
                      </w:p>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下</w:t>
                        </w:r>
                      </w:p>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水</w:t>
                        </w:r>
                      </w:p>
                      <w:p>
                        <w:pPr>
                          <w:jc w:val="both"/>
                          <w:rPr>
                            <w:color w:val="000000" w:themeColor="text1"/>
                            <w14:textFill>
                              <w14:solidFill>
                                <w14:schemeClr w14:val="tx1"/>
                              </w14:solidFill>
                            </w14:textFill>
                          </w:rPr>
                        </w:pPr>
                        <w:r>
                          <w:rPr>
                            <w:color w:val="000000" w:themeColor="text1"/>
                            <w14:textFill>
                              <w14:solidFill>
                                <w14:schemeClr w14:val="tx1"/>
                              </w14:solidFill>
                            </w14:textFill>
                          </w:rPr>
                          <w:t>流</w:t>
                        </w:r>
                      </w:p>
                      <w:p>
                        <w:pPr>
                          <w:jc w:val="both"/>
                          <w:rPr>
                            <w:color w:val="000000" w:themeColor="text1"/>
                            <w14:textFill>
                              <w14:solidFill>
                                <w14:schemeClr w14:val="tx1"/>
                              </w14:solidFill>
                            </w14:textFill>
                          </w:rPr>
                        </w:pPr>
                        <w:r>
                          <w:rPr>
                            <w:color w:val="000000" w:themeColor="text1"/>
                            <w14:textFill>
                              <w14:solidFill>
                                <w14:schemeClr w14:val="tx1"/>
                              </w14:solidFill>
                            </w14:textFill>
                          </w:rPr>
                          <w:t>向</w:t>
                        </w:r>
                      </w:p>
                    </w:txbxContent>
                  </v:textbox>
                </v:rect>
              </v:group>
            </w:pict>
          </mc:Fallback>
        </mc:AlternateContent>
      </w:r>
      <w:r>
        <w:rPr>
          <w:color w:val="auto"/>
          <w:highlight w:val="none"/>
        </w:rPr>
        <w:drawing>
          <wp:inline distT="0" distB="0" distL="114300" distR="114300">
            <wp:extent cx="5695950" cy="4035425"/>
            <wp:effectExtent l="0" t="0" r="0" b="317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42"/>
                    <a:stretch>
                      <a:fillRect/>
                    </a:stretch>
                  </pic:blipFill>
                  <pic:spPr>
                    <a:xfrm>
                      <a:off x="0" y="0"/>
                      <a:ext cx="5695950" cy="4035425"/>
                    </a:xfrm>
                    <a:prstGeom prst="rect">
                      <a:avLst/>
                    </a:prstGeom>
                    <a:noFill/>
                    <a:ln>
                      <a:noFill/>
                    </a:ln>
                  </pic:spPr>
                </pic:pic>
              </a:graphicData>
            </a:graphic>
          </wp:inline>
        </w:drawing>
      </w:r>
    </w:p>
    <w:p>
      <w:pPr>
        <w:ind w:firstLine="474" w:firstLineChars="200"/>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图5.5-3        套管破损</w:t>
      </w:r>
      <w:r>
        <w:rPr>
          <w:rFonts w:hint="eastAsia" w:ascii="Times New Roman" w:hAnsi="Times New Roman" w:cs="Times New Roman" w:eastAsiaTheme="minorEastAsia"/>
          <w:bCs/>
          <w:color w:val="auto"/>
          <w:w w:val="99"/>
          <w:kern w:val="21"/>
          <w:szCs w:val="20"/>
          <w:highlight w:val="none"/>
          <w:lang w:eastAsia="zh-CN"/>
        </w:rPr>
        <w:t>耗氧量</w:t>
      </w:r>
      <w:r>
        <w:rPr>
          <w:rFonts w:ascii="Times New Roman" w:hAnsi="Times New Roman" w:cs="Times New Roman" w:eastAsiaTheme="minorEastAsia"/>
          <w:bCs/>
          <w:color w:val="auto"/>
          <w:w w:val="99"/>
          <w:kern w:val="21"/>
          <w:szCs w:val="20"/>
          <w:highlight w:val="none"/>
        </w:rPr>
        <w:t>泄漏100d预测范围图</w:t>
      </w:r>
    </w:p>
    <w:p>
      <w:pPr>
        <w:jc w:val="center"/>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color w:val="auto"/>
          <w:w w:val="99"/>
          <w:highlight w:val="none"/>
        </w:rPr>
        <mc:AlternateContent>
          <mc:Choice Requires="wpg">
            <w:drawing>
              <wp:anchor distT="0" distB="0" distL="114300" distR="114300" simplePos="0" relativeHeight="251666432" behindDoc="0" locked="0" layoutInCell="1" allowOverlap="1">
                <wp:simplePos x="0" y="0"/>
                <wp:positionH relativeFrom="column">
                  <wp:posOffset>2834640</wp:posOffset>
                </wp:positionH>
                <wp:positionV relativeFrom="paragraph">
                  <wp:posOffset>1901190</wp:posOffset>
                </wp:positionV>
                <wp:extent cx="1809115" cy="1647825"/>
                <wp:effectExtent l="0" t="3810" r="0" b="0"/>
                <wp:wrapNone/>
                <wp:docPr id="468" name="组合 468"/>
                <wp:cNvGraphicFramePr/>
                <a:graphic xmlns:a="http://schemas.openxmlformats.org/drawingml/2006/main">
                  <a:graphicData uri="http://schemas.microsoft.com/office/word/2010/wordprocessingGroup">
                    <wpg:wgp>
                      <wpg:cNvGrpSpPr/>
                      <wpg:grpSpPr>
                        <a:xfrm>
                          <a:off x="0" y="0"/>
                          <a:ext cx="1808798" cy="1647508"/>
                          <a:chOff x="726592" y="414465"/>
                          <a:chExt cx="1808798" cy="1647508"/>
                        </a:xfrm>
                      </wpg:grpSpPr>
                      <wps:wsp>
                        <wps:cNvPr id="471" name="直接箭头连接符 471"/>
                        <wps:cNvCnPr/>
                        <wps:spPr>
                          <a:xfrm flipH="1">
                            <a:off x="726592" y="414465"/>
                            <a:ext cx="1418590" cy="127000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2" name="矩形 472"/>
                        <wps:cNvSpPr/>
                        <wps:spPr>
                          <a:xfrm rot="2880000">
                            <a:off x="1385722" y="912305"/>
                            <a:ext cx="969645" cy="13296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地</w:t>
                              </w:r>
                            </w:p>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下</w:t>
                              </w:r>
                            </w:p>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水</w:t>
                              </w:r>
                            </w:p>
                            <w:p>
                              <w:pPr>
                                <w:jc w:val="both"/>
                                <w:rPr>
                                  <w:color w:val="000000" w:themeColor="text1"/>
                                  <w14:textFill>
                                    <w14:solidFill>
                                      <w14:schemeClr w14:val="tx1"/>
                                    </w14:solidFill>
                                  </w14:textFill>
                                </w:rPr>
                              </w:pPr>
                              <w:r>
                                <w:rPr>
                                  <w:color w:val="000000" w:themeColor="text1"/>
                                  <w14:textFill>
                                    <w14:solidFill>
                                      <w14:schemeClr w14:val="tx1"/>
                                    </w14:solidFill>
                                  </w14:textFill>
                                </w:rPr>
                                <w:t>流</w:t>
                              </w:r>
                            </w:p>
                            <w:p>
                              <w:pPr>
                                <w:jc w:val="both"/>
                                <w:rPr>
                                  <w:color w:val="000000" w:themeColor="text1"/>
                                  <w14:textFill>
                                    <w14:solidFill>
                                      <w14:schemeClr w14:val="tx1"/>
                                    </w14:solidFill>
                                  </w14:textFill>
                                </w:rPr>
                              </w:pPr>
                              <w:r>
                                <w:rPr>
                                  <w:color w:val="000000" w:themeColor="text1"/>
                                  <w14:textFill>
                                    <w14:solidFill>
                                      <w14:schemeClr w14:val="tx1"/>
                                    </w14:solidFill>
                                  </w14:textFill>
                                </w:rPr>
                                <w:t>向</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23.2pt;margin-top:149.7pt;height:129.75pt;width:142.45pt;z-index:251666432;mso-width-relative:page;mso-height-relative:page;" coordorigin="726592,414465" coordsize="1808798,1647508" o:gfxdata="UEsDBAoAAAAAAIdO4kAAAAAAAAAAAAAAAAAEAAAAZHJzL1BLAwQUAAAACACHTuJA018uldwAAAAL&#10;AQAADwAAAGRycy9kb3ducmV2LnhtbE2PwU7DMAyG70i8Q2QkbizN2o61azqhCThNSGxIaDev8dpq&#10;TVI1Wbu9PeEEN1v+9Pv7i/VVd2ykwbXWSBCzCBiZyqrW1BK+9m9PS2DOo1HYWUMSbuRgXd7fFZgr&#10;O5lPGne+ZiHEuBwlNN73Oeeuakijm9meTLid7KDRh3WouRpwCuG64/MoWnCNrQkfGuxp01B13l20&#10;hPcJp5dYvI7b82lzO+zTj++tICkfH0S0Aubp6v9g+NUP6lAGp6O9GOVYJyFJFklAJcyzLAyBeI5F&#10;DOwoIU2XGfCy4P87lD9QSwMEFAAAAAgAh07iQCll9QCUAwAAKggAAA4AAABkcnMvZTJvRG9jLnht&#10;bL1VS2/cNhC+F+h/IHiv9bD2JVgO3HXsFjAaA26QM5eiJAIUyZJca91zDjkFvQdIgKANEKDJKbei&#10;6K9x05/RISWtN06Kui3QPWj5GM7jm29mDu5tWoEumbFcyQInezFGTFJVclkX+OG3J1/MMbKOyJII&#10;JVmBr5jF9w4//+yg0zlLVaNEyQwCJdLmnS5w45zOo8jShrXE7inNJFxWyrTEwdbUUWlIB9pbEaVx&#10;PI06ZUptFGXWwulxf4kHjeYuClVVccqOFV23TLpeq2GCOAjJNlxbfBi8rSpG3YOqsswhUWCI1IUv&#10;GIH1yn+jwwOS14bohtPBBXIXF27F1BIuwehW1TFxBK0N/0hVy6lRVlVuj6o26gMJiEAUSXwLm1Oj&#10;1jrEUuddrbegQ6Juof6v1dJvLs8N4mWBsykkXpIWUv7+l8fXPzxB/gTw6XSdg9ip0Rf63AwHdb/z&#10;IW8q0/p/CAZtArJXW2TZxiEKh8k8ns8WYIDCXTLNZpM46CY5bSBB/t0snU4WKUYgkCVZNp30uaHN&#10;/b/REY0uRN7TrWOdBn7aG9DsfwPtoiGahVxYj8YI2izZgvbs3e9Pf3r/9s31j+/++O25X//8CmUg&#10;ECALr5ZyANDmFrAc0UOV4PorACZQaMDxL/DYIpol88kCaBwQTWcx/LylLRok18a6U6Za5BcFts4Q&#10;XjduqaSEulCmN0cuz6zrH44PvF9SnXAh4JzkQqKuwNP9ibdGoOQrKDVYthpoY2WNERE19BLqTAjA&#10;KsFL/9o/tqZeLYVBl8RXYPxlDFp6ax+IedPHxDa9XLjq899yB+1G8LbAcx/jULKOcHFflshdaSCs&#10;M5zIWrBBs5CAg89/D7JfrVR5FbAP58ALz+v/hSBA6aGqXry+/vUlMCL1bnrrwKNtSY3O9mRGRkHG&#10;0nkIeZcVyf58Mkv7Mlkk6X48lMlIi8V0Mc0mAyv2U9iOcI9lOiZ5YIUBKgQDd+VB4rl2NyLscOif&#10;5RdI/Ikcus1qMyDXp7NHCZyxmp5wYNAZse6cGOjgcAgzzj2ATyUU0FcNK4waZb7/1LmXhx4Btxh1&#10;MBGA29+tiWEYia8ldI8FdCVQ68ImgyzAxuzerHZv5LpdKqA89AfwLiy9vBPjsjKqfQSj8MhbhSsi&#10;Kdjuq2jYLF0/qWCYUnZ0FMRgbGjizuSFpmPDkOpo7VTFQxXfkH2ogcD10BphhIT+MIw7P6N290H+&#10;ZsQf/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JBgAAW0NvbnRlbnRfVHlwZXNdLnhtbFBLAQIUAAoAAAAAAIdO4kAAAAAAAAAAAAAAAAAGAAAA&#10;AAAAAAAAEAAAAOsEAABfcmVscy9QSwECFAAUAAAACACHTuJAihRmPNEAAACUAQAACwAAAAAAAAAB&#10;ACAAAAAPBQAAX3JlbHMvLnJlbHNQSwECFAAKAAAAAACHTuJAAAAAAAAAAAAAAAAABAAAAAAAAAAA&#10;ABAAAAAAAAAAZHJzL1BLAQIUABQAAAAIAIdO4kDTXy6V3AAAAAsBAAAPAAAAAAAAAAEAIAAAACIA&#10;AABkcnMvZG93bnJldi54bWxQSwECFAAUAAAACACHTuJAKWX1AJQDAAAqCAAADgAAAAAAAAABACAA&#10;AAArAQAAZHJzL2Uyb0RvYy54bWxQSwUGAAAAAAYABgBZAQAAMQcAAAAA&#10;">
                <o:lock v:ext="edit" aspectratio="f"/>
                <v:shape id="_x0000_s1026" o:spid="_x0000_s1026" o:spt="32" type="#_x0000_t32" style="position:absolute;left:726592;top:414465;flip:x;height:1270000;width:1418590;" filled="f" stroked="t" coordsize="21600,21600" o:gfxdata="UEsDBAoAAAAAAIdO4kAAAAAAAAAAAAAAAAAEAAAAZHJzL1BLAwQUAAAACACHTuJAcwgear4AAADc&#10;AAAADwAAAGRycy9kb3ducmV2LnhtbEWPQWvCQBSE70L/w/IK3uomGm2IrkJFQXooGAt6fGSfSWj2&#10;bciuUf99VxA8DjPzDbNY3UwjeupcbVlBPIpAEBdW11wq+D1sP1IQziNrbCyTgjs5WC3fBgvMtL3y&#10;nvrclyJA2GWooPK+zaR0RUUG3ci2xME7286gD7Irpe7wGuCmkeMomkmDNYeFCltaV1T85Rej4PJz&#10;TNKvbT49bHZ9OnXfySR3J6WG73E0B+Hp5l/hZ3unFSSfMTzOhCM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gear4A&#10;AADcAAAADwAAAAAAAAABACAAAAAiAAAAZHJzL2Rvd25yZXYueG1sUEsBAhQAFAAAAAgAh07iQDMv&#10;BZ47AAAAOQAAABAAAAAAAAAAAQAgAAAADQEAAGRycy9zaGFwZXhtbC54bWxQSwUGAAAAAAYABgBb&#10;AQAAtwMAAAAA&#10;">
                  <v:fill on="f" focussize="0,0"/>
                  <v:stroke weight="0.5pt" color="#00B050 [3204]" miterlimit="8" joinstyle="miter" endarrow="block"/>
                  <v:imagedata o:title=""/>
                  <o:lock v:ext="edit" aspectratio="f"/>
                </v:shape>
                <v:rect id="_x0000_s1026" o:spid="_x0000_s1026" o:spt="1" style="position:absolute;left:1385722;top:912305;height:1329690;width:969645;rotation:3145728f;v-text-anchor:middle;" filled="f" stroked="f" coordsize="21600,21600" o:gfxdata="UEsDBAoAAAAAAIdO4kAAAAAAAAAAAAAAAAAEAAAAZHJzL1BLAwQUAAAACACHTuJA3Fmh/MAAAADc&#10;AAAADwAAAGRycy9kb3ducmV2LnhtbEWPQWvCQBSE70L/w/IK3sxGKbZNs3pQLCL2oM2lt9fsM0nN&#10;vo3ZNYn/vlsQehxm5hsmXQ6mFh21rrKsYBrFIIhzqysuFGSfm8kLCOeRNdaWScGNHCwXD6MUE217&#10;PlB39IUIEHYJKii9bxIpXV6SQRfZhjh4J9sa9EG2hdQt9gFuajmL47k0WHFYKLGhVUn5+Xg1Cr52&#10;t4/1+VXvT++XYfV98Os6cz9KjR+n8RsIT4P/D9/bW63g6XkGf2fCEZ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WaH8&#10;wAAAANwAAAAPAAAAAAAAAAEAIAAAACIAAABkcnMvZG93bnJldi54bWxQSwECFAAUAAAACACHTuJA&#10;My8FnjsAAAA5AAAAEAAAAAAAAAABACAAAAAPAQAAZHJzL3NoYXBleG1sLnhtbFBLBQYAAAAABgAG&#10;AFsBAAC5AwAAAAA=&#10;">
                  <v:fill on="f" focussize="0,0"/>
                  <v:stroke on="f" weight="1pt" miterlimit="8" joinstyle="miter"/>
                  <v:imagedata o:title=""/>
                  <o:lock v:ext="edit" aspectratio="f"/>
                  <v:textbox>
                    <w:txbxContent>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地</w:t>
                        </w:r>
                      </w:p>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下</w:t>
                        </w:r>
                      </w:p>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水</w:t>
                        </w:r>
                      </w:p>
                      <w:p>
                        <w:pPr>
                          <w:jc w:val="both"/>
                          <w:rPr>
                            <w:color w:val="000000" w:themeColor="text1"/>
                            <w14:textFill>
                              <w14:solidFill>
                                <w14:schemeClr w14:val="tx1"/>
                              </w14:solidFill>
                            </w14:textFill>
                          </w:rPr>
                        </w:pPr>
                        <w:r>
                          <w:rPr>
                            <w:color w:val="000000" w:themeColor="text1"/>
                            <w14:textFill>
                              <w14:solidFill>
                                <w14:schemeClr w14:val="tx1"/>
                              </w14:solidFill>
                            </w14:textFill>
                          </w:rPr>
                          <w:t>流</w:t>
                        </w:r>
                      </w:p>
                      <w:p>
                        <w:pPr>
                          <w:jc w:val="both"/>
                          <w:rPr>
                            <w:color w:val="000000" w:themeColor="text1"/>
                            <w14:textFill>
                              <w14:solidFill>
                                <w14:schemeClr w14:val="tx1"/>
                              </w14:solidFill>
                            </w14:textFill>
                          </w:rPr>
                        </w:pPr>
                        <w:r>
                          <w:rPr>
                            <w:color w:val="000000" w:themeColor="text1"/>
                            <w14:textFill>
                              <w14:solidFill>
                                <w14:schemeClr w14:val="tx1"/>
                              </w14:solidFill>
                            </w14:textFill>
                          </w:rPr>
                          <w:t>向</w:t>
                        </w:r>
                      </w:p>
                    </w:txbxContent>
                  </v:textbox>
                </v:rect>
              </v:group>
            </w:pict>
          </mc:Fallback>
        </mc:AlternateContent>
      </w:r>
      <w:r>
        <w:rPr>
          <w:color w:val="auto"/>
          <w:highlight w:val="none"/>
        </w:rPr>
        <w:drawing>
          <wp:inline distT="0" distB="0" distL="114300" distR="114300">
            <wp:extent cx="5754370" cy="4434205"/>
            <wp:effectExtent l="0" t="0" r="17780" b="444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43"/>
                    <a:stretch>
                      <a:fillRect/>
                    </a:stretch>
                  </pic:blipFill>
                  <pic:spPr>
                    <a:xfrm>
                      <a:off x="0" y="0"/>
                      <a:ext cx="5754370" cy="4434205"/>
                    </a:xfrm>
                    <a:prstGeom prst="rect">
                      <a:avLst/>
                    </a:prstGeom>
                    <a:noFill/>
                    <a:ln>
                      <a:noFill/>
                    </a:ln>
                  </pic:spPr>
                </pic:pic>
              </a:graphicData>
            </a:graphic>
          </wp:inline>
        </w:drawing>
      </w:r>
      <w:r>
        <w:rPr>
          <w:rFonts w:ascii="Times New Roman" w:hAnsi="Times New Roman" w:cs="Times New Roman" w:eastAsiaTheme="minorEastAsia"/>
          <w:color w:val="auto"/>
          <w:w w:val="99"/>
          <w:sz w:val="22"/>
          <w:szCs w:val="22"/>
          <w:highlight w:val="none"/>
        </w:rPr>
        <mc:AlternateContent>
          <mc:Choice Requires="wps">
            <w:drawing>
              <wp:anchor distT="0" distB="0" distL="114300" distR="114300" simplePos="0" relativeHeight="251662336" behindDoc="0" locked="0" layoutInCell="1" allowOverlap="1">
                <wp:simplePos x="0" y="0"/>
                <wp:positionH relativeFrom="column">
                  <wp:posOffset>1647190</wp:posOffset>
                </wp:positionH>
                <wp:positionV relativeFrom="paragraph">
                  <wp:posOffset>2284095</wp:posOffset>
                </wp:positionV>
                <wp:extent cx="308610" cy="176530"/>
                <wp:effectExtent l="0" t="0" r="0" b="0"/>
                <wp:wrapNone/>
                <wp:docPr id="32" name="矩形 32"/>
                <wp:cNvGraphicFramePr/>
                <a:graphic xmlns:a="http://schemas.openxmlformats.org/drawingml/2006/main">
                  <a:graphicData uri="http://schemas.microsoft.com/office/word/2010/wordprocessingShape">
                    <wps:wsp>
                      <wps:cNvSpPr>
                        <a:spLocks noChangeArrowheads="1"/>
                      </wps:cNvSpPr>
                      <wps:spPr bwMode="auto">
                        <a:xfrm>
                          <a:off x="0" y="0"/>
                          <a:ext cx="308610" cy="176530"/>
                        </a:xfrm>
                        <a:prstGeom prst="rect">
                          <a:avLst/>
                        </a:prstGeom>
                        <a:noFill/>
                        <a:ln>
                          <a:noFill/>
                        </a:ln>
                      </wps:spPr>
                      <wps:txbx>
                        <w:txbxContent>
                          <w:p>
                            <w:pPr>
                              <w:rPr>
                                <w:rFonts w:ascii="Times New Roman" w:hAnsi="Times New Roman"/>
                                <w:sz w:val="10"/>
                                <w:szCs w:val="10"/>
                              </w:rPr>
                            </w:pPr>
                            <w:r>
                              <w:rPr>
                                <w:rFonts w:ascii="Times New Roman" w:hAnsi="Times New Roman"/>
                                <w:sz w:val="10"/>
                                <w:szCs w:val="10"/>
                              </w:rPr>
                              <w:t>0.05</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9.7pt;margin-top:179.85pt;height:13.9pt;width:24.3pt;z-index:251662336;mso-width-relative:page;mso-height-relative:page;" filled="f" stroked="f" coordsize="21600,21600" o:gfxdata="UEsDBAoAAAAAAIdO4kAAAAAAAAAAAAAAAAAEAAAAZHJzL1BLAwQUAAAACACHTuJAl/8gktwAAAAL&#10;AQAADwAAAGRycy9kb3ducmV2LnhtbE2PwU7DMAyG70i8Q2QkLogl2yjrStMdJiEmNGmig52z1rQV&#10;jdM1WTveHnOCmy1/+v396epiWzFg7xtHGqYTBQKpcGVDlYb3/fN9DMIHQ6VpHaGGb/Swyq6vUpOU&#10;bqQ3HPJQCQ4hnxgNdQhdIqUvarTGT1yHxLdP11sTeO0rWfZm5HDbyplSj9KahvhDbTpc11h85Wer&#10;YSx2w2G/fZG7u8PG0WlzWucfr1rf3kzVE4iAl/AHw68+q0PGTkd3ptKLVsMsWj4wqmEeLRcgmJir&#10;mNsdeYgXEcgslf87ZD9QSwMEFAAAAAgAh07iQJHwBboOAgAACQQAAA4AAABkcnMvZTJvRG9jLnht&#10;bK1T3W7TMBS+R+IdLN/TNG3XjajpNK0aQhowafAAruM0FrGPOXablJdB4o6H4HEQr8Gx05Vu3OyC&#10;m8jnx5+/7zsni8vetGyn0GuwJc9HY86UlVBpuyn5p483ry4480HYSrRgVcn3yvPL5csXi84VagIN&#10;tJVCRiDWF50reROCK7LMy0YZ4UfglKViDWhEoBA3WYWiI3TTZpPxeJ51gJVDkMp7yq6GIj8g4nMA&#10;oa61VCuQW6NsGFBRtSKQJN9o5/kysa1rJcOHuvYqsLbkpDSkLz1C53X8ZsuFKDYoXKPlgYJ4DoUn&#10;mozQlh49Qq1EEGyL+h8ooyWChzqMJJhsEJIcIRX5+Ik3941wKmkhq707mu7/H6x8v7tDpquSTyec&#10;WWFo4r+//fj18zujBLnTOV9Q0727w6jPu1uQnz2zcN0Iu1FXiNA1SlTEKY/92aMLMfB0la27d1AR&#10;ttgGSEb1NZoISBawPs1jf5yH6gOTlJyOL+Y5TUpSKT+fn03TvDJRPFx26MMbBYbFQ8mRxp3Axe7W&#10;h0hGFA8t8S0LN7pt08hb+yhBjTGTyEe+g+7Qr/uDBWuo9iQDYdgg+n/o0AB+5ayj7Sm5/7IVqDhr&#10;31qy4nU+m8V1S8Hs7HxCAZ5W1qcVYSVBlTxwNhyvw7CiW4d609BLeZJl4Yrsq3WSFq0dWB1404Yk&#10;xYdtjit4Gqeuv3/w8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X/yCS3AAAAAsBAAAPAAAAAAAA&#10;AAEAIAAAACIAAABkcnMvZG93bnJldi54bWxQSwECFAAUAAAACACHTuJAkfAFug4CAAAJBAAADgAA&#10;AAAAAAABACAAAAArAQAAZHJzL2Uyb0RvYy54bWxQSwUGAAAAAAYABgBZAQAAqwUAAAAA&#10;">
                <v:fill on="f" focussize="0,0"/>
                <v:stroke on="f"/>
                <v:imagedata o:title=""/>
                <o:lock v:ext="edit" aspectratio="f"/>
                <v:textbox>
                  <w:txbxContent>
                    <w:p>
                      <w:pPr>
                        <w:rPr>
                          <w:rFonts w:ascii="Times New Roman" w:hAnsi="Times New Roman"/>
                          <w:sz w:val="10"/>
                          <w:szCs w:val="10"/>
                        </w:rPr>
                      </w:pPr>
                      <w:r>
                        <w:rPr>
                          <w:rFonts w:ascii="Times New Roman" w:hAnsi="Times New Roman"/>
                          <w:sz w:val="10"/>
                          <w:szCs w:val="10"/>
                        </w:rPr>
                        <w:t>0.05</w:t>
                      </w:r>
                    </w:p>
                  </w:txbxContent>
                </v:textbox>
              </v:rect>
            </w:pict>
          </mc:Fallback>
        </mc:AlternateContent>
      </w:r>
    </w:p>
    <w:p>
      <w:pPr>
        <w:ind w:firstLine="474" w:firstLineChars="200"/>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图5.5-4        套管破损</w:t>
      </w:r>
      <w:r>
        <w:rPr>
          <w:rFonts w:hint="eastAsia" w:ascii="Times New Roman" w:hAnsi="Times New Roman" w:cs="Times New Roman" w:eastAsiaTheme="minorEastAsia"/>
          <w:bCs/>
          <w:color w:val="auto"/>
          <w:w w:val="99"/>
          <w:kern w:val="21"/>
          <w:szCs w:val="20"/>
          <w:highlight w:val="none"/>
          <w:lang w:eastAsia="zh-CN"/>
        </w:rPr>
        <w:t>耗氧量</w:t>
      </w:r>
      <w:r>
        <w:rPr>
          <w:rFonts w:ascii="Times New Roman" w:hAnsi="Times New Roman" w:cs="Times New Roman" w:eastAsiaTheme="minorEastAsia"/>
          <w:bCs/>
          <w:color w:val="auto"/>
          <w:w w:val="99"/>
          <w:kern w:val="21"/>
          <w:szCs w:val="20"/>
          <w:highlight w:val="none"/>
        </w:rPr>
        <w:t>泄漏1000d预测范围图</w:t>
      </w:r>
    </w:p>
    <w:p>
      <w:pPr>
        <w:snapToGrid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由预测结果可知，随着时间增加，污染范围有所增加，</w:t>
      </w:r>
      <w:r>
        <w:rPr>
          <w:rFonts w:ascii="Times New Roman" w:hAnsi="Times New Roman" w:cs="Times New Roman" w:eastAsiaTheme="minorEastAsia"/>
          <w:bCs/>
          <w:color w:val="auto"/>
          <w:w w:val="99"/>
          <w:highlight w:val="none"/>
        </w:rPr>
        <w:t>套管破损泄漏</w:t>
      </w:r>
      <w:r>
        <w:rPr>
          <w:rFonts w:ascii="Times New Roman" w:hAnsi="Times New Roman" w:cs="Times New Roman" w:eastAsiaTheme="minorEastAsia"/>
          <w:color w:val="auto"/>
          <w:w w:val="99"/>
          <w:highlight w:val="none"/>
        </w:rPr>
        <w:t>100d后，超标距离为下游</w:t>
      </w:r>
      <w:r>
        <w:rPr>
          <w:rFonts w:ascii="Times New Roman" w:hAnsi="Times New Roman" w:cs="Times New Roman" w:eastAsiaTheme="minorEastAsia"/>
          <w:color w:val="auto"/>
          <w:w w:val="99"/>
          <w:kern w:val="2"/>
          <w:sz w:val="21"/>
          <w:szCs w:val="21"/>
          <w:highlight w:val="none"/>
        </w:rPr>
        <w:t>2</w:t>
      </w:r>
      <w:r>
        <w:rPr>
          <w:rFonts w:hint="eastAsia" w:ascii="Times New Roman" w:hAnsi="Times New Roman" w:cs="Times New Roman" w:eastAsiaTheme="minorEastAsia"/>
          <w:color w:val="auto"/>
          <w:w w:val="99"/>
          <w:kern w:val="2"/>
          <w:sz w:val="21"/>
          <w:szCs w:val="21"/>
          <w:highlight w:val="none"/>
        </w:rPr>
        <w:t>2</w:t>
      </w:r>
      <w:r>
        <w:rPr>
          <w:rFonts w:ascii="Times New Roman" w:hAnsi="Times New Roman" w:cs="Times New Roman" w:eastAsiaTheme="minorEastAsia"/>
          <w:color w:val="auto"/>
          <w:w w:val="99"/>
          <w:highlight w:val="none"/>
        </w:rPr>
        <w:t>m，预测范围内超标面积为</w:t>
      </w:r>
      <w:r>
        <w:rPr>
          <w:rFonts w:hint="eastAsia" w:ascii="Times New Roman" w:hAnsi="Times New Roman" w:cs="Times New Roman" w:eastAsiaTheme="minorEastAsia"/>
          <w:color w:val="auto"/>
          <w:w w:val="99"/>
          <w:highlight w:val="none"/>
        </w:rPr>
        <w:t>252</w:t>
      </w:r>
      <w:r>
        <w:rPr>
          <w:rFonts w:ascii="Times New Roman" w:hAnsi="Times New Roman" w:cs="Times New Roman" w:eastAsiaTheme="minorEastAsia"/>
          <w:color w:val="auto"/>
          <w:w w:val="99"/>
          <w:highlight w:val="none"/>
        </w:rPr>
        <w:t>m</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；影响距离为下游</w:t>
      </w:r>
      <w:r>
        <w:rPr>
          <w:rFonts w:hint="eastAsia" w:ascii="Times New Roman" w:hAnsi="Times New Roman" w:cs="Times New Roman" w:eastAsiaTheme="minorEastAsia"/>
          <w:color w:val="auto"/>
          <w:w w:val="99"/>
          <w:highlight w:val="none"/>
        </w:rPr>
        <w:t>25</w:t>
      </w:r>
      <w:r>
        <w:rPr>
          <w:rFonts w:ascii="Times New Roman" w:hAnsi="Times New Roman" w:cs="Times New Roman" w:eastAsiaTheme="minorEastAsia"/>
          <w:color w:val="auto"/>
          <w:w w:val="99"/>
          <w:highlight w:val="none"/>
        </w:rPr>
        <w:t>m，预测范围内影响面积为</w:t>
      </w:r>
      <w:r>
        <w:rPr>
          <w:rFonts w:hint="eastAsia" w:ascii="Times New Roman" w:hAnsi="Times New Roman" w:cs="Times New Roman" w:eastAsiaTheme="minorEastAsia"/>
          <w:color w:val="auto"/>
          <w:w w:val="99"/>
          <w:highlight w:val="none"/>
        </w:rPr>
        <w:t>372</w:t>
      </w:r>
      <w:r>
        <w:rPr>
          <w:rFonts w:ascii="Times New Roman" w:hAnsi="Times New Roman" w:cs="Times New Roman" w:eastAsiaTheme="minorEastAsia"/>
          <w:color w:val="auto"/>
          <w:w w:val="99"/>
          <w:highlight w:val="none"/>
        </w:rPr>
        <w:t>m</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w:t>
      </w:r>
      <w:r>
        <w:rPr>
          <w:rFonts w:ascii="Times New Roman" w:hAnsi="Times New Roman" w:cs="Times New Roman" w:eastAsiaTheme="minorEastAsia"/>
          <w:bCs/>
          <w:color w:val="auto"/>
          <w:w w:val="99"/>
          <w:highlight w:val="none"/>
        </w:rPr>
        <w:t>套管破损泄漏</w:t>
      </w:r>
      <w:r>
        <w:rPr>
          <w:rFonts w:ascii="Times New Roman" w:hAnsi="Times New Roman" w:cs="Times New Roman" w:eastAsiaTheme="minorEastAsia"/>
          <w:color w:val="auto"/>
          <w:w w:val="99"/>
          <w:highlight w:val="none"/>
        </w:rPr>
        <w:t>1000d后，超标距离为下游</w:t>
      </w:r>
      <w:r>
        <w:rPr>
          <w:rFonts w:hint="eastAsia" w:ascii="Times New Roman" w:hAnsi="Times New Roman" w:cs="Times New Roman" w:eastAsiaTheme="minorEastAsia"/>
          <w:color w:val="auto"/>
          <w:w w:val="99"/>
          <w:highlight w:val="none"/>
        </w:rPr>
        <w:t>105</w:t>
      </w:r>
      <w:r>
        <w:rPr>
          <w:rFonts w:ascii="Times New Roman" w:hAnsi="Times New Roman" w:cs="Times New Roman" w:eastAsiaTheme="minorEastAsia"/>
          <w:color w:val="auto"/>
          <w:w w:val="99"/>
          <w:highlight w:val="none"/>
        </w:rPr>
        <w:t>m，预测范围内超标面积为</w:t>
      </w:r>
      <w:r>
        <w:rPr>
          <w:rFonts w:hint="eastAsia" w:ascii="Times New Roman" w:hAnsi="Times New Roman" w:cs="Times New Roman" w:eastAsiaTheme="minorEastAsia"/>
          <w:color w:val="auto"/>
          <w:w w:val="99"/>
          <w:highlight w:val="none"/>
        </w:rPr>
        <w:t>2932</w:t>
      </w:r>
      <w:r>
        <w:rPr>
          <w:rFonts w:ascii="Times New Roman" w:hAnsi="Times New Roman" w:cs="Times New Roman" w:eastAsiaTheme="minorEastAsia"/>
          <w:color w:val="auto"/>
          <w:w w:val="99"/>
          <w:highlight w:val="none"/>
        </w:rPr>
        <w:t>m</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；影响距离为下游1</w:t>
      </w:r>
      <w:r>
        <w:rPr>
          <w:rFonts w:hint="eastAsia" w:ascii="Times New Roman" w:hAnsi="Times New Roman" w:cs="Times New Roman" w:eastAsiaTheme="minorEastAsia"/>
          <w:color w:val="auto"/>
          <w:w w:val="99"/>
          <w:highlight w:val="none"/>
        </w:rPr>
        <w:t>18</w:t>
      </w:r>
      <w:r>
        <w:rPr>
          <w:rFonts w:ascii="Times New Roman" w:hAnsi="Times New Roman" w:cs="Times New Roman" w:eastAsiaTheme="minorEastAsia"/>
          <w:color w:val="auto"/>
          <w:w w:val="99"/>
          <w:highlight w:val="none"/>
        </w:rPr>
        <w:t>m，预测范围内影响面积为</w:t>
      </w:r>
      <w:r>
        <w:rPr>
          <w:rFonts w:hint="eastAsia" w:ascii="Times New Roman" w:hAnsi="Times New Roman" w:cs="Times New Roman" w:eastAsiaTheme="minorEastAsia"/>
          <w:color w:val="auto"/>
          <w:w w:val="99"/>
          <w:highlight w:val="none"/>
        </w:rPr>
        <w:t>4108</w:t>
      </w:r>
      <w:r>
        <w:rPr>
          <w:rFonts w:ascii="Times New Roman" w:hAnsi="Times New Roman" w:cs="Times New Roman" w:eastAsiaTheme="minorEastAsia"/>
          <w:color w:val="auto"/>
          <w:w w:val="99"/>
          <w:highlight w:val="none"/>
        </w:rPr>
        <w:t>m</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w:t>
      </w:r>
    </w:p>
    <w:p>
      <w:pPr>
        <w:snapToGrid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本项目拟钻井场下游1</w:t>
      </w:r>
      <w:r>
        <w:rPr>
          <w:rFonts w:hint="eastAsia" w:ascii="Times New Roman" w:hAnsi="Times New Roman" w:cs="Times New Roman" w:eastAsiaTheme="minorEastAsia"/>
          <w:color w:val="auto"/>
          <w:w w:val="99"/>
          <w:highlight w:val="none"/>
        </w:rPr>
        <w:t>18</w:t>
      </w:r>
      <w:r>
        <w:rPr>
          <w:rFonts w:ascii="Times New Roman" w:hAnsi="Times New Roman" w:cs="Times New Roman" w:eastAsiaTheme="minorEastAsia"/>
          <w:color w:val="auto"/>
          <w:w w:val="99"/>
          <w:highlight w:val="none"/>
        </w:rPr>
        <w:t>m范围内无地下水饮用水源井，</w:t>
      </w:r>
      <w:r>
        <w:rPr>
          <w:rFonts w:ascii="Times New Roman" w:hAnsi="Times New Roman" w:cs="Times New Roman" w:eastAsiaTheme="minorEastAsia"/>
          <w:bCs/>
          <w:color w:val="auto"/>
          <w:w w:val="99"/>
          <w:highlight w:val="none"/>
        </w:rPr>
        <w:t>套管破损泄漏</w:t>
      </w:r>
      <w:r>
        <w:rPr>
          <w:rFonts w:ascii="Times New Roman" w:hAnsi="Times New Roman" w:cs="Times New Roman" w:eastAsiaTheme="minorEastAsia"/>
          <w:color w:val="auto"/>
          <w:w w:val="99"/>
          <w:highlight w:val="none"/>
        </w:rPr>
        <w:t>对环境敏感点的影响较小。</w:t>
      </w:r>
    </w:p>
    <w:p>
      <w:pPr>
        <w:pStyle w:val="7"/>
        <w:keepNext w:val="0"/>
        <w:keepLines w:val="0"/>
        <w:widowControl w:val="0"/>
        <w:jc w:val="both"/>
        <w:rPr>
          <w:b/>
          <w:color w:val="auto"/>
          <w:w w:val="99"/>
          <w:kern w:val="2"/>
          <w:sz w:val="24"/>
          <w:szCs w:val="24"/>
          <w:highlight w:val="none"/>
        </w:rPr>
      </w:pPr>
      <w:bookmarkStart w:id="1000" w:name="_Toc71372017"/>
      <w:bookmarkStart w:id="1001" w:name="_Toc13816"/>
      <w:bookmarkStart w:id="1002" w:name="_Toc77667375"/>
      <w:bookmarkStart w:id="1003" w:name="_Toc69690888"/>
      <w:bookmarkStart w:id="1004" w:name="_Toc67523670"/>
      <w:bookmarkStart w:id="1005" w:name="_Toc61597299"/>
      <w:bookmarkStart w:id="1006" w:name="_Toc80105231"/>
      <w:bookmarkStart w:id="1007" w:name="_Toc74812162"/>
      <w:bookmarkStart w:id="1008" w:name="_Toc74812401"/>
      <w:bookmarkStart w:id="1009" w:name="_Toc15503_WPSOffice_Level2"/>
      <w:r>
        <w:rPr>
          <w:b/>
          <w:color w:val="auto"/>
          <w:w w:val="99"/>
          <w:kern w:val="2"/>
          <w:sz w:val="24"/>
          <w:szCs w:val="24"/>
          <w:highlight w:val="none"/>
        </w:rPr>
        <w:t>5.5.3地下水环境预测影响评价结论</w:t>
      </w:r>
      <w:bookmarkEnd w:id="1000"/>
      <w:bookmarkEnd w:id="1001"/>
      <w:bookmarkEnd w:id="1002"/>
      <w:bookmarkEnd w:id="1003"/>
      <w:bookmarkEnd w:id="1004"/>
      <w:bookmarkEnd w:id="1005"/>
      <w:bookmarkEnd w:id="1006"/>
      <w:bookmarkEnd w:id="1007"/>
      <w:bookmarkEnd w:id="1008"/>
      <w:bookmarkEnd w:id="1009"/>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井场钢制泥浆槽短时泄漏，1000后，</w:t>
      </w:r>
      <w:r>
        <w:rPr>
          <w:rFonts w:hint="eastAsia" w:ascii="Times New Roman" w:hAnsi="Times New Roman" w:cs="Times New Roman" w:eastAsiaTheme="minorEastAsia"/>
          <w:bCs/>
          <w:color w:val="auto"/>
          <w:w w:val="99"/>
          <w:kern w:val="21"/>
          <w:szCs w:val="20"/>
          <w:highlight w:val="none"/>
          <w:lang w:eastAsia="zh-CN"/>
        </w:rPr>
        <w:t>耗氧量</w:t>
      </w:r>
      <w:r>
        <w:rPr>
          <w:rFonts w:ascii="Times New Roman" w:hAnsi="Times New Roman" w:cs="Times New Roman" w:eastAsiaTheme="minorEastAsia"/>
          <w:bCs/>
          <w:color w:val="auto"/>
          <w:w w:val="99"/>
          <w:kern w:val="21"/>
          <w:szCs w:val="20"/>
          <w:highlight w:val="none"/>
        </w:rPr>
        <w:t>污染物沿着潜水地下水流向迁移距离最长为57m。可见拟建项目地下水环境不敏感，因此本项目若发生井场钢制泥浆槽泄漏时，及时采取措施，</w:t>
      </w:r>
      <w:r>
        <w:rPr>
          <w:rFonts w:hint="eastAsia" w:ascii="Times New Roman" w:hAnsi="Times New Roman" w:cs="Times New Roman" w:eastAsiaTheme="minorEastAsia"/>
          <w:bCs/>
          <w:color w:val="auto"/>
          <w:w w:val="99"/>
          <w:kern w:val="21"/>
          <w:szCs w:val="20"/>
          <w:highlight w:val="none"/>
        </w:rPr>
        <w:t>不会对</w:t>
      </w:r>
      <w:r>
        <w:rPr>
          <w:rFonts w:ascii="Times New Roman" w:hAnsi="Times New Roman" w:cs="Times New Roman" w:eastAsiaTheme="minorEastAsia"/>
          <w:bCs/>
          <w:color w:val="auto"/>
          <w:w w:val="99"/>
          <w:kern w:val="21"/>
          <w:szCs w:val="20"/>
          <w:highlight w:val="none"/>
        </w:rPr>
        <w:t>周围饮用水源井产生影响。</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套管破损泄漏1000后，</w:t>
      </w:r>
      <w:r>
        <w:rPr>
          <w:rFonts w:hint="eastAsia" w:ascii="Times New Roman" w:hAnsi="Times New Roman" w:cs="Times New Roman" w:eastAsiaTheme="minorEastAsia"/>
          <w:bCs/>
          <w:color w:val="auto"/>
          <w:w w:val="99"/>
          <w:kern w:val="21"/>
          <w:szCs w:val="20"/>
          <w:highlight w:val="none"/>
          <w:lang w:eastAsia="zh-CN"/>
        </w:rPr>
        <w:t>耗氧量</w:t>
      </w:r>
      <w:r>
        <w:rPr>
          <w:rFonts w:ascii="Times New Roman" w:hAnsi="Times New Roman" w:cs="Times New Roman" w:eastAsiaTheme="minorEastAsia"/>
          <w:bCs/>
          <w:color w:val="auto"/>
          <w:w w:val="99"/>
          <w:kern w:val="21"/>
          <w:szCs w:val="20"/>
          <w:highlight w:val="none"/>
        </w:rPr>
        <w:t>污染物沿着承压水地下水流向迁移距离最长为1</w:t>
      </w:r>
      <w:r>
        <w:rPr>
          <w:rFonts w:hint="eastAsia" w:ascii="Times New Roman" w:hAnsi="Times New Roman" w:cs="Times New Roman" w:eastAsiaTheme="minorEastAsia"/>
          <w:bCs/>
          <w:color w:val="auto"/>
          <w:w w:val="99"/>
          <w:kern w:val="21"/>
          <w:szCs w:val="20"/>
          <w:highlight w:val="none"/>
        </w:rPr>
        <w:t>05</w:t>
      </w:r>
      <w:r>
        <w:rPr>
          <w:rFonts w:ascii="Times New Roman" w:hAnsi="Times New Roman" w:cs="Times New Roman" w:eastAsiaTheme="minorEastAsia"/>
          <w:bCs/>
          <w:color w:val="auto"/>
          <w:w w:val="99"/>
          <w:kern w:val="21"/>
          <w:szCs w:val="20"/>
          <w:highlight w:val="none"/>
        </w:rPr>
        <w:t>m。</w:t>
      </w:r>
      <w:r>
        <w:rPr>
          <w:rFonts w:ascii="Times New Roman" w:hAnsi="Times New Roman" w:cs="Times New Roman" w:eastAsiaTheme="minorEastAsia"/>
          <w:color w:val="auto"/>
          <w:w w:val="99"/>
          <w:highlight w:val="none"/>
        </w:rPr>
        <w:t>本项目拟钻井场下游1</w:t>
      </w:r>
      <w:r>
        <w:rPr>
          <w:rFonts w:hint="eastAsia" w:ascii="Times New Roman" w:hAnsi="Times New Roman" w:cs="Times New Roman" w:eastAsiaTheme="minorEastAsia"/>
          <w:color w:val="auto"/>
          <w:w w:val="99"/>
          <w:highlight w:val="none"/>
        </w:rPr>
        <w:t>05</w:t>
      </w:r>
      <w:r>
        <w:rPr>
          <w:rFonts w:ascii="Times New Roman" w:hAnsi="Times New Roman" w:cs="Times New Roman" w:eastAsiaTheme="minorEastAsia"/>
          <w:color w:val="auto"/>
          <w:w w:val="99"/>
          <w:highlight w:val="none"/>
        </w:rPr>
        <w:t>m范围内无地下水饮用水源井</w:t>
      </w:r>
      <w:r>
        <w:rPr>
          <w:rFonts w:ascii="Times New Roman" w:hAnsi="Times New Roman" w:cs="Times New Roman" w:eastAsiaTheme="minorEastAsia"/>
          <w:bCs/>
          <w:color w:val="auto"/>
          <w:w w:val="99"/>
          <w:kern w:val="21"/>
          <w:szCs w:val="20"/>
          <w:highlight w:val="none"/>
        </w:rPr>
        <w:t>，可见拟建项目地下水环境不敏感，因此本项目若发生套管破损泄漏时，只要及时采取措施，对饮用水水源地无明显影响。</w:t>
      </w:r>
    </w:p>
    <w:p>
      <w:pPr>
        <w:pStyle w:val="5"/>
        <w:keepNext w:val="0"/>
        <w:keepLines w:val="0"/>
        <w:widowControl w:val="0"/>
        <w:jc w:val="both"/>
        <w:rPr>
          <w:rFonts w:ascii="Times New Roman" w:hAnsi="Times New Roman"/>
          <w:b/>
          <w:snapToGrid w:val="0"/>
          <w:color w:val="auto"/>
          <w:w w:val="99"/>
          <w:highlight w:val="none"/>
        </w:rPr>
      </w:pPr>
      <w:bookmarkStart w:id="1010" w:name="_Toc80105232"/>
      <w:r>
        <w:rPr>
          <w:rFonts w:ascii="Times New Roman" w:hAnsi="Times New Roman"/>
          <w:b/>
          <w:snapToGrid w:val="0"/>
          <w:color w:val="auto"/>
          <w:w w:val="99"/>
          <w:highlight w:val="none"/>
        </w:rPr>
        <w:t>5.6生态环境影响预测分析</w:t>
      </w:r>
      <w:bookmarkEnd w:id="975"/>
      <w:bookmarkEnd w:id="976"/>
      <w:bookmarkEnd w:id="977"/>
      <w:bookmarkEnd w:id="978"/>
      <w:bookmarkEnd w:id="979"/>
      <w:bookmarkEnd w:id="980"/>
      <w:bookmarkEnd w:id="1010"/>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bookmarkStart w:id="1011" w:name="_Toc415146703"/>
      <w:bookmarkStart w:id="1012" w:name="_Toc502736504"/>
      <w:bookmarkStart w:id="1013" w:name="_Toc480447671"/>
      <w:r>
        <w:rPr>
          <w:rFonts w:ascii="Times New Roman" w:hAnsi="Times New Roman" w:cs="Times New Roman" w:eastAsiaTheme="minorEastAsia"/>
          <w:color w:val="auto"/>
          <w:w w:val="99"/>
          <w:kern w:val="2"/>
          <w:szCs w:val="28"/>
          <w:highlight w:val="none"/>
        </w:rPr>
        <w:t>本工程影响生态环境的因素主要是在钻井施工期间，在此期间会对井场所征用土地的植被进行清除，改变土地利用现状；对井场用地进行开挖、平整会改变土壤结构，造成地表裸露，开挖的土石方临时就近堆放，可能引起新的水土流失；环境改变和施工噪声可能会影响周围栖息的动物。钻井工程对生态环境的影响主要源于污染物的排放和环境风险事故。</w:t>
      </w:r>
    </w:p>
    <w:p>
      <w:pPr>
        <w:pStyle w:val="7"/>
        <w:keepNext w:val="0"/>
        <w:keepLines w:val="0"/>
        <w:widowControl w:val="0"/>
        <w:jc w:val="both"/>
        <w:rPr>
          <w:b/>
          <w:color w:val="auto"/>
          <w:w w:val="99"/>
          <w:kern w:val="2"/>
          <w:sz w:val="24"/>
          <w:szCs w:val="24"/>
          <w:highlight w:val="none"/>
        </w:rPr>
      </w:pPr>
      <w:bookmarkStart w:id="1014" w:name="_Toc61597301"/>
      <w:bookmarkStart w:id="1015" w:name="_Toc67523672"/>
      <w:bookmarkStart w:id="1016" w:name="_Toc77667377"/>
      <w:bookmarkStart w:id="1017" w:name="_Toc74812164"/>
      <w:bookmarkStart w:id="1018" w:name="_Toc69690890"/>
      <w:bookmarkStart w:id="1019" w:name="_Toc74812403"/>
      <w:bookmarkStart w:id="1020" w:name="_Toc71372019"/>
      <w:bookmarkStart w:id="1021" w:name="_Toc80105233"/>
      <w:r>
        <w:rPr>
          <w:b/>
          <w:color w:val="auto"/>
          <w:w w:val="99"/>
          <w:kern w:val="2"/>
          <w:sz w:val="24"/>
          <w:szCs w:val="24"/>
          <w:highlight w:val="none"/>
        </w:rPr>
        <w:t>5.6.1</w:t>
      </w:r>
      <w:bookmarkEnd w:id="1014"/>
      <w:bookmarkEnd w:id="1015"/>
      <w:bookmarkEnd w:id="1016"/>
      <w:bookmarkEnd w:id="1017"/>
      <w:bookmarkEnd w:id="1018"/>
      <w:bookmarkEnd w:id="1019"/>
      <w:bookmarkEnd w:id="1020"/>
      <w:r>
        <w:rPr>
          <w:rFonts w:hint="eastAsia"/>
          <w:b/>
          <w:color w:val="auto"/>
          <w:w w:val="99"/>
          <w:kern w:val="2"/>
          <w:sz w:val="24"/>
          <w:szCs w:val="24"/>
          <w:highlight w:val="none"/>
        </w:rPr>
        <w:t>占地对生态环境的影响分析</w:t>
      </w:r>
      <w:bookmarkEnd w:id="1021"/>
    </w:p>
    <w:p>
      <w:pPr>
        <w:widowControl w:val="0"/>
        <w:spacing w:line="500" w:lineRule="exact"/>
        <w:ind w:firstLine="474" w:firstLineChars="200"/>
        <w:jc w:val="both"/>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kern w:val="2"/>
          <w:szCs w:val="28"/>
          <w:highlight w:val="none"/>
        </w:rPr>
        <w:t>本项目总占地</w:t>
      </w:r>
      <w:r>
        <w:rPr>
          <w:rFonts w:hint="eastAsia" w:ascii="Times New Roman" w:hAnsi="Times New Roman" w:cs="Times New Roman" w:eastAsiaTheme="minorEastAsia"/>
          <w:color w:val="auto"/>
          <w:w w:val="99"/>
          <w:kern w:val="2"/>
          <w:szCs w:val="28"/>
          <w:highlight w:val="none"/>
          <w:lang w:val="en-US" w:eastAsia="zh-CN"/>
        </w:rPr>
        <w:t>29.04</w:t>
      </w:r>
      <w:r>
        <w:rPr>
          <w:rFonts w:ascii="Times New Roman" w:hAnsi="Times New Roman" w:cs="Times New Roman" w:eastAsiaTheme="minorEastAsia"/>
          <w:color w:val="auto"/>
          <w:w w:val="99"/>
          <w:kern w:val="2"/>
          <w:szCs w:val="28"/>
          <w:highlight w:val="none"/>
        </w:rPr>
        <w:t>hm</w:t>
      </w:r>
      <w:r>
        <w:rPr>
          <w:rFonts w:ascii="Times New Roman" w:hAnsi="Times New Roman" w:cs="Times New Roman" w:eastAsiaTheme="minorEastAsia"/>
          <w:color w:val="auto"/>
          <w:w w:val="99"/>
          <w:kern w:val="2"/>
          <w:szCs w:val="28"/>
          <w:highlight w:val="none"/>
          <w:vertAlign w:val="superscript"/>
        </w:rPr>
        <w:t>2</w:t>
      </w:r>
      <w:r>
        <w:rPr>
          <w:rFonts w:ascii="Times New Roman" w:hAnsi="Times New Roman" w:cs="Times New Roman" w:eastAsiaTheme="minorEastAsia"/>
          <w:color w:val="auto"/>
          <w:w w:val="99"/>
          <w:kern w:val="2"/>
          <w:szCs w:val="28"/>
          <w:highlight w:val="none"/>
        </w:rPr>
        <w:t>，其中永久占地为</w:t>
      </w:r>
      <w:r>
        <w:rPr>
          <w:rFonts w:hint="eastAsia" w:ascii="Times New Roman" w:hAnsi="Times New Roman" w:cs="Times New Roman" w:eastAsiaTheme="minorEastAsia"/>
          <w:color w:val="auto"/>
          <w:w w:val="99"/>
          <w:kern w:val="2"/>
          <w:szCs w:val="28"/>
          <w:highlight w:val="none"/>
          <w:lang w:val="en-US" w:eastAsia="zh-CN"/>
        </w:rPr>
        <w:t>6.16</w:t>
      </w:r>
      <w:r>
        <w:rPr>
          <w:rFonts w:ascii="Times New Roman" w:hAnsi="Times New Roman" w:cs="Times New Roman" w:eastAsiaTheme="minorEastAsia"/>
          <w:color w:val="auto"/>
          <w:w w:val="99"/>
          <w:kern w:val="2"/>
          <w:szCs w:val="28"/>
          <w:highlight w:val="none"/>
        </w:rPr>
        <w:t>hm</w:t>
      </w:r>
      <w:r>
        <w:rPr>
          <w:rFonts w:ascii="Times New Roman" w:hAnsi="Times New Roman" w:cs="Times New Roman" w:eastAsiaTheme="minorEastAsia"/>
          <w:color w:val="auto"/>
          <w:w w:val="99"/>
          <w:kern w:val="2"/>
          <w:szCs w:val="28"/>
          <w:highlight w:val="none"/>
          <w:vertAlign w:val="superscript"/>
        </w:rPr>
        <w:t>2</w:t>
      </w:r>
      <w:r>
        <w:rPr>
          <w:rFonts w:ascii="Times New Roman" w:hAnsi="Times New Roman" w:cs="Times New Roman" w:eastAsiaTheme="minorEastAsia"/>
          <w:color w:val="auto"/>
          <w:w w:val="99"/>
          <w:kern w:val="2"/>
          <w:szCs w:val="28"/>
          <w:highlight w:val="none"/>
        </w:rPr>
        <w:t>，临时占地为</w:t>
      </w:r>
      <w:r>
        <w:rPr>
          <w:rFonts w:hint="eastAsia" w:ascii="Times New Roman" w:hAnsi="Times New Roman" w:cs="Times New Roman" w:eastAsiaTheme="minorEastAsia"/>
          <w:color w:val="auto"/>
          <w:w w:val="99"/>
          <w:kern w:val="2"/>
          <w:szCs w:val="28"/>
          <w:highlight w:val="none"/>
          <w:lang w:val="en-US" w:eastAsia="zh-CN"/>
        </w:rPr>
        <w:t>22.88</w:t>
      </w:r>
      <w:r>
        <w:rPr>
          <w:rFonts w:hint="eastAsia" w:ascii="Times New Roman" w:hAnsi="Times New Roman" w:cs="Times New Roman" w:eastAsiaTheme="minorEastAsia"/>
          <w:color w:val="auto"/>
          <w:w w:val="99"/>
          <w:kern w:val="2"/>
          <w:szCs w:val="28"/>
          <w:highlight w:val="none"/>
        </w:rPr>
        <w:t>hm</w:t>
      </w:r>
      <w:r>
        <w:rPr>
          <w:rFonts w:hint="eastAsia" w:ascii="Times New Roman" w:hAnsi="Times New Roman" w:cs="Times New Roman" w:eastAsiaTheme="minorEastAsia"/>
          <w:color w:val="auto"/>
          <w:w w:val="99"/>
          <w:kern w:val="2"/>
          <w:szCs w:val="28"/>
          <w:highlight w:val="none"/>
          <w:vertAlign w:val="superscript"/>
        </w:rPr>
        <w:t>2</w:t>
      </w:r>
      <w:r>
        <w:rPr>
          <w:rFonts w:ascii="Times New Roman" w:hAnsi="Times New Roman" w:cs="Times New Roman" w:eastAsiaTheme="minorEastAsia"/>
          <w:color w:val="auto"/>
          <w:w w:val="99"/>
          <w:kern w:val="2"/>
          <w:szCs w:val="28"/>
          <w:highlight w:val="none"/>
        </w:rPr>
        <w:t>，主要为新建井场的永久占地及施工作业人员临时生活区活动板房占地和钻井配套设施临时占地，占地类型为耕地（</w:t>
      </w:r>
      <w:r>
        <w:rPr>
          <w:rFonts w:hint="eastAsia" w:ascii="Times New Roman" w:hAnsi="Times New Roman" w:cs="Times New Roman" w:eastAsiaTheme="minorEastAsia"/>
          <w:color w:val="auto"/>
          <w:w w:val="99"/>
          <w:kern w:val="2"/>
          <w:szCs w:val="28"/>
          <w:highlight w:val="none"/>
          <w:lang w:eastAsia="zh-CN"/>
        </w:rPr>
        <w:t>非</w:t>
      </w:r>
      <w:r>
        <w:rPr>
          <w:rFonts w:ascii="Times New Roman" w:hAnsi="Times New Roman" w:cs="Times New Roman" w:eastAsiaTheme="minorEastAsia"/>
          <w:color w:val="auto"/>
          <w:w w:val="99"/>
          <w:kern w:val="2"/>
          <w:szCs w:val="28"/>
          <w:highlight w:val="none"/>
        </w:rPr>
        <w:t>基本农田</w:t>
      </w:r>
      <w:r>
        <w:rPr>
          <w:rFonts w:hint="eastAsia" w:ascii="Times New Roman" w:hAnsi="Times New Roman" w:cs="Times New Roman" w:eastAsiaTheme="minorEastAsia"/>
          <w:color w:val="auto"/>
          <w:w w:val="99"/>
          <w:kern w:val="2"/>
          <w:szCs w:val="28"/>
          <w:highlight w:val="none"/>
          <w:lang w:eastAsia="zh-CN"/>
        </w:rPr>
        <w:t>、少量永久基本农田</w:t>
      </w:r>
      <w:r>
        <w:rPr>
          <w:rFonts w:ascii="Times New Roman" w:hAnsi="Times New Roman" w:cs="Times New Roman" w:eastAsiaTheme="minorEastAsia"/>
          <w:color w:val="auto"/>
          <w:w w:val="99"/>
          <w:kern w:val="2"/>
          <w:szCs w:val="28"/>
          <w:highlight w:val="none"/>
        </w:rPr>
        <w:t>），临时占地时间约</w:t>
      </w:r>
      <w:r>
        <w:rPr>
          <w:rFonts w:hint="eastAsia" w:ascii="Times New Roman" w:hAnsi="Times New Roman" w:cs="Times New Roman" w:eastAsiaTheme="minorEastAsia"/>
          <w:color w:val="auto"/>
          <w:w w:val="99"/>
          <w:kern w:val="2"/>
          <w:szCs w:val="28"/>
          <w:highlight w:val="none"/>
          <w:lang w:val="en-US" w:eastAsia="zh-CN"/>
        </w:rPr>
        <w:t>308</w:t>
      </w:r>
      <w:r>
        <w:rPr>
          <w:rFonts w:ascii="Times New Roman" w:hAnsi="Times New Roman" w:cs="Times New Roman" w:eastAsiaTheme="minorEastAsia"/>
          <w:color w:val="auto"/>
          <w:w w:val="99"/>
          <w:kern w:val="2"/>
          <w:szCs w:val="28"/>
          <w:highlight w:val="none"/>
        </w:rPr>
        <w:t>d。本项目的临时占地在占用完毕后都可在较短时间内恢复，根据现场调查，项目新增临时占地在当地现有土地利用类型中所占比例很小，不会导致区域土地利用格局的变化，对区域土地利用格局产生的影响甚微。</w:t>
      </w:r>
      <w:r>
        <w:rPr>
          <w:rFonts w:ascii="Times New Roman" w:hAnsi="Times New Roman" w:cs="Times New Roman" w:eastAsiaTheme="minorEastAsia"/>
          <w:color w:val="auto"/>
          <w:w w:val="99"/>
          <w:szCs w:val="28"/>
          <w:highlight w:val="none"/>
        </w:rPr>
        <w:t>本工程永久占地在原来连续分布的生态环境中形成生态斑块，产生地表温度等物理性质发生异常，以及干扰地面植被，影响生态环境的类型和结构。本工程井场占地类型为耕地，工程投产后其影响是长期不可逆的。</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0"/>
          <w:highlight w:val="none"/>
        </w:rPr>
        <w:t>本项目施工完毕后1年内，临时占地全部恢复原有植被类型，即</w:t>
      </w:r>
      <w:r>
        <w:rPr>
          <w:rFonts w:hint="eastAsia" w:ascii="Times New Roman" w:hAnsi="Times New Roman" w:cs="Times New Roman" w:eastAsiaTheme="minorEastAsia"/>
          <w:color w:val="auto"/>
          <w:w w:val="99"/>
          <w:kern w:val="2"/>
          <w:szCs w:val="20"/>
          <w:highlight w:val="none"/>
        </w:rPr>
        <w:t>临时</w:t>
      </w:r>
      <w:r>
        <w:rPr>
          <w:rFonts w:ascii="Times New Roman" w:hAnsi="Times New Roman" w:cs="Times New Roman" w:eastAsiaTheme="minorEastAsia"/>
          <w:color w:val="auto"/>
          <w:w w:val="99"/>
          <w:kern w:val="2"/>
          <w:szCs w:val="20"/>
          <w:highlight w:val="none"/>
        </w:rPr>
        <w:t>占用耕地全部恢复。临时</w:t>
      </w:r>
      <w:r>
        <w:rPr>
          <w:rFonts w:hint="eastAsia" w:ascii="Times New Roman" w:hAnsi="Times New Roman" w:cs="Times New Roman" w:eastAsiaTheme="minorEastAsia"/>
          <w:color w:val="auto"/>
          <w:w w:val="99"/>
          <w:kern w:val="2"/>
          <w:szCs w:val="20"/>
          <w:highlight w:val="none"/>
        </w:rPr>
        <w:t>占用的</w:t>
      </w:r>
      <w:r>
        <w:rPr>
          <w:rFonts w:ascii="Times New Roman" w:hAnsi="Times New Roman" w:cs="Times New Roman" w:eastAsiaTheme="minorEastAsia"/>
          <w:color w:val="auto"/>
          <w:w w:val="99"/>
          <w:kern w:val="2"/>
          <w:szCs w:val="20"/>
          <w:highlight w:val="none"/>
        </w:rPr>
        <w:t>耕地也可在征地过程中给予农民一定的费用补偿，由农民自行进行土地恢复。永久占地占用耕地面积共</w:t>
      </w:r>
      <w:r>
        <w:rPr>
          <w:rFonts w:hint="eastAsia" w:ascii="Times New Roman" w:hAnsi="Times New Roman" w:cs="Times New Roman" w:eastAsiaTheme="minorEastAsia"/>
          <w:color w:val="auto"/>
          <w:w w:val="99"/>
          <w:kern w:val="2"/>
          <w:szCs w:val="20"/>
          <w:highlight w:val="none"/>
          <w:lang w:val="en-US" w:eastAsia="zh-CN"/>
        </w:rPr>
        <w:t>6.16</w:t>
      </w:r>
      <w:r>
        <w:rPr>
          <w:rFonts w:ascii="Times New Roman" w:hAnsi="Times New Roman" w:cs="Times New Roman" w:eastAsiaTheme="minorEastAsia"/>
          <w:color w:val="auto"/>
          <w:w w:val="99"/>
          <w:kern w:val="2"/>
          <w:szCs w:val="20"/>
          <w:highlight w:val="none"/>
        </w:rPr>
        <w:t>hm</w:t>
      </w:r>
      <w:r>
        <w:rPr>
          <w:rFonts w:ascii="Times New Roman" w:hAnsi="Times New Roman" w:cs="Times New Roman" w:eastAsiaTheme="minorEastAsia"/>
          <w:color w:val="auto"/>
          <w:w w:val="99"/>
          <w:kern w:val="2"/>
          <w:szCs w:val="20"/>
          <w:highlight w:val="none"/>
          <w:vertAlign w:val="superscript"/>
        </w:rPr>
        <w:t>2</w:t>
      </w:r>
      <w:r>
        <w:rPr>
          <w:rFonts w:ascii="Times New Roman" w:hAnsi="Times New Roman" w:cs="Times New Roman" w:eastAsiaTheme="minorEastAsia"/>
          <w:color w:val="auto"/>
          <w:w w:val="99"/>
          <w:kern w:val="2"/>
          <w:szCs w:val="20"/>
          <w:highlight w:val="none"/>
        </w:rPr>
        <w:t>，补偿可按当地耕地补偿标准给予</w:t>
      </w:r>
      <w:r>
        <w:rPr>
          <w:rFonts w:hint="eastAsia" w:ascii="Times New Roman" w:hAnsi="Times New Roman" w:cs="Times New Roman" w:eastAsiaTheme="minorEastAsia"/>
          <w:color w:val="auto"/>
          <w:w w:val="99"/>
          <w:kern w:val="2"/>
          <w:szCs w:val="20"/>
          <w:highlight w:val="none"/>
        </w:rPr>
        <w:t>补偿</w:t>
      </w:r>
      <w:r>
        <w:rPr>
          <w:rFonts w:ascii="Times New Roman" w:hAnsi="Times New Roman" w:cs="Times New Roman" w:eastAsiaTheme="minorEastAsia"/>
          <w:color w:val="auto"/>
          <w:w w:val="99"/>
          <w:kern w:val="2"/>
          <w:szCs w:val="20"/>
          <w:highlight w:val="none"/>
        </w:rPr>
        <w:t>。</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本项目对农业生产的直接影响主要体现为占用耕地而造成粮食减产，对于临时占地造成的农作物减产，除应对其进行经济补偿外，工程开工前，应先剥离占地范围内表层土，井场范围表层土堆置于井场东西两侧的耕植土堆放场，并对堆放场做好水保措施，待钻井工程结束后，回填占地范围，并采用表土复耕，增肥作业，恢复临时占用耕地的生产力，本项目的建设对当地土地利用格局影响在可接受范围内。</w:t>
      </w:r>
    </w:p>
    <w:p>
      <w:pPr>
        <w:pStyle w:val="7"/>
        <w:keepNext w:val="0"/>
        <w:keepLines w:val="0"/>
        <w:widowControl w:val="0"/>
        <w:jc w:val="both"/>
        <w:rPr>
          <w:b/>
          <w:color w:val="auto"/>
          <w:w w:val="99"/>
          <w:kern w:val="2"/>
          <w:sz w:val="24"/>
          <w:szCs w:val="24"/>
          <w:highlight w:val="none"/>
        </w:rPr>
      </w:pPr>
      <w:bookmarkStart w:id="1022" w:name="_Toc74812165"/>
      <w:bookmarkStart w:id="1023" w:name="_Toc80105234"/>
      <w:bookmarkStart w:id="1024" w:name="_Toc61597302"/>
      <w:bookmarkStart w:id="1025" w:name="_Toc67523673"/>
      <w:bookmarkStart w:id="1026" w:name="_Toc77667378"/>
      <w:bookmarkStart w:id="1027" w:name="_Toc69690891"/>
      <w:bookmarkStart w:id="1028" w:name="_Toc74812404"/>
      <w:bookmarkStart w:id="1029" w:name="_Toc71372020"/>
      <w:r>
        <w:rPr>
          <w:b/>
          <w:color w:val="auto"/>
          <w:w w:val="99"/>
          <w:kern w:val="2"/>
          <w:sz w:val="24"/>
          <w:szCs w:val="24"/>
          <w:highlight w:val="none"/>
        </w:rPr>
        <w:t>5.6.2对土壤环境影响分析</w:t>
      </w:r>
      <w:bookmarkEnd w:id="1022"/>
      <w:bookmarkEnd w:id="1023"/>
      <w:bookmarkEnd w:id="1024"/>
      <w:bookmarkEnd w:id="1025"/>
      <w:bookmarkEnd w:id="1026"/>
      <w:bookmarkEnd w:id="1027"/>
      <w:bookmarkEnd w:id="1028"/>
      <w:bookmarkEnd w:id="1029"/>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工程对土壤的影响主要体现在工程建设期的开挖、填埋行为对土壤结构的破坏。对井场施工剥离的表层土集中临时堆放，钻井结束后用于</w:t>
      </w:r>
      <w:r>
        <w:rPr>
          <w:rFonts w:hint="eastAsia" w:ascii="Times New Roman" w:hAnsi="Times New Roman" w:cs="Times New Roman" w:eastAsiaTheme="minorEastAsia"/>
          <w:color w:val="auto"/>
          <w:w w:val="99"/>
          <w:kern w:val="2"/>
          <w:szCs w:val="28"/>
          <w:highlight w:val="none"/>
        </w:rPr>
        <w:t>临时</w:t>
      </w:r>
      <w:r>
        <w:rPr>
          <w:rFonts w:ascii="Times New Roman" w:hAnsi="Times New Roman" w:cs="Times New Roman" w:eastAsiaTheme="minorEastAsia"/>
          <w:color w:val="auto"/>
          <w:w w:val="99"/>
          <w:kern w:val="2"/>
          <w:szCs w:val="28"/>
          <w:highlight w:val="none"/>
        </w:rPr>
        <w:t>占地植被恢复。对耕植土堆放场进行苫盖防止水土流失。本项目选用环保合格的柴油机并使用轻质环保的柴油提供动力，柴油机废气排放时间短，区域敏感作物少，对农作物生长影响很小。钻井期间井场地面均铺设防渗布保护占地原表层土壤，钻井废水和钻井泥浆均排入井场泥浆槽，不会对土壤产生影响。对于被占地农户进行青苗补偿，根据耕地不同作物的市场价格，与损失方协商后进行经济补偿，对于临时性占地，钻井工程施工结束后，拆除临时设施，由建设方给予被占地农民经济补偿，委托其恢复地表植被或作物。随着工程施工的结束，生态保护和临时占地的植被恢复措施的进行，有效的保护和恢复措施能保证工程对井场周边的土壤和农作物的影响得到尽快的恢复。通过上述措施，本项目建设对项目所在地土壤环境影响在当地环境可接受范围内。</w:t>
      </w:r>
    </w:p>
    <w:p>
      <w:pPr>
        <w:pStyle w:val="7"/>
        <w:keepNext w:val="0"/>
        <w:keepLines w:val="0"/>
        <w:widowControl w:val="0"/>
        <w:jc w:val="both"/>
        <w:rPr>
          <w:b/>
          <w:color w:val="auto"/>
          <w:w w:val="99"/>
          <w:kern w:val="2"/>
          <w:sz w:val="24"/>
          <w:szCs w:val="24"/>
          <w:highlight w:val="none"/>
        </w:rPr>
      </w:pPr>
      <w:bookmarkStart w:id="1030" w:name="_Toc71372021"/>
      <w:bookmarkStart w:id="1031" w:name="_Toc80105235"/>
      <w:bookmarkStart w:id="1032" w:name="_Toc61597303"/>
      <w:bookmarkStart w:id="1033" w:name="_Toc74812405"/>
      <w:bookmarkStart w:id="1034" w:name="_Toc67523674"/>
      <w:bookmarkStart w:id="1035" w:name="_Toc77667379"/>
      <w:bookmarkStart w:id="1036" w:name="_Toc69690892"/>
      <w:bookmarkStart w:id="1037" w:name="_Toc74812166"/>
      <w:r>
        <w:rPr>
          <w:b/>
          <w:color w:val="auto"/>
          <w:w w:val="99"/>
          <w:kern w:val="2"/>
          <w:sz w:val="24"/>
          <w:szCs w:val="24"/>
          <w:highlight w:val="none"/>
        </w:rPr>
        <w:t>5.6.3对植被环境影响分析</w:t>
      </w:r>
      <w:bookmarkEnd w:id="1030"/>
      <w:bookmarkEnd w:id="1031"/>
      <w:bookmarkEnd w:id="1032"/>
      <w:bookmarkEnd w:id="1033"/>
      <w:bookmarkEnd w:id="1034"/>
      <w:bookmarkEnd w:id="1035"/>
      <w:bookmarkEnd w:id="1036"/>
      <w:bookmarkEnd w:id="1037"/>
    </w:p>
    <w:p>
      <w:pPr>
        <w:widowControl w:val="0"/>
        <w:spacing w:line="500" w:lineRule="exact"/>
        <w:ind w:firstLine="474" w:firstLineChars="200"/>
        <w:jc w:val="both"/>
        <w:rPr>
          <w:rFonts w:ascii="Times New Roman" w:hAnsi="Times New Roman" w:cs="Times New Roman" w:eastAsiaTheme="minorEastAsia"/>
          <w:bCs/>
          <w:color w:val="auto"/>
          <w:w w:val="99"/>
          <w:kern w:val="2"/>
          <w:szCs w:val="28"/>
          <w:highlight w:val="none"/>
        </w:rPr>
      </w:pPr>
      <w:r>
        <w:rPr>
          <w:rFonts w:ascii="Times New Roman" w:hAnsi="Times New Roman" w:cs="Times New Roman" w:eastAsiaTheme="minorEastAsia"/>
          <w:bCs/>
          <w:color w:val="auto"/>
          <w:w w:val="99"/>
          <w:kern w:val="2"/>
          <w:szCs w:val="28"/>
          <w:highlight w:val="none"/>
        </w:rPr>
        <w:t>由于本工程永久占地面积较小，临时占地的占用期限很短，在完工后可以及时恢复，所以不会对当地地表植被产生大的影响。</w:t>
      </w:r>
    </w:p>
    <w:p>
      <w:pPr>
        <w:widowControl w:val="0"/>
        <w:spacing w:line="500" w:lineRule="exact"/>
        <w:ind w:firstLine="474" w:firstLineChars="200"/>
        <w:jc w:val="both"/>
        <w:rPr>
          <w:rFonts w:ascii="Times New Roman" w:hAnsi="Times New Roman" w:cs="Times New Roman" w:eastAsiaTheme="minorEastAsia"/>
          <w:bCs/>
          <w:color w:val="auto"/>
          <w:w w:val="99"/>
          <w:kern w:val="2"/>
          <w:szCs w:val="28"/>
          <w:highlight w:val="none"/>
        </w:rPr>
      </w:pPr>
      <w:r>
        <w:rPr>
          <w:rFonts w:ascii="Times New Roman" w:hAnsi="Times New Roman" w:cs="Times New Roman" w:eastAsiaTheme="minorEastAsia"/>
          <w:bCs/>
          <w:color w:val="auto"/>
          <w:w w:val="99"/>
          <w:kern w:val="2"/>
          <w:szCs w:val="28"/>
          <w:highlight w:val="none"/>
        </w:rPr>
        <w:t>施工过程中，车辆碾压，机械推挖、人员践踏及</w:t>
      </w:r>
      <w:r>
        <w:rPr>
          <w:rFonts w:hint="eastAsia" w:ascii="Times New Roman" w:hAnsi="Times New Roman" w:cs="Times New Roman" w:eastAsiaTheme="minorEastAsia"/>
          <w:bCs/>
          <w:color w:val="auto"/>
          <w:w w:val="99"/>
          <w:kern w:val="2"/>
          <w:szCs w:val="28"/>
          <w:highlight w:val="none"/>
        </w:rPr>
        <w:t>施工便道</w:t>
      </w:r>
      <w:r>
        <w:rPr>
          <w:rFonts w:ascii="Times New Roman" w:hAnsi="Times New Roman" w:cs="Times New Roman" w:eastAsiaTheme="minorEastAsia"/>
          <w:bCs/>
          <w:color w:val="auto"/>
          <w:w w:val="99"/>
          <w:kern w:val="2"/>
          <w:szCs w:val="28"/>
          <w:highlight w:val="none"/>
        </w:rPr>
        <w:t>修建对地表进行的平整将会对地表植被造成很大破坏，这种影响是短期可逆的，施工结束后，被占用土地开始恢复。自然植被演替的规律是先是一、二年生的植物，3-5年后可恢复到冷篙、杂草类，10年后可达到原来的顶级群落。人工植被当季无法种植作物，将耽误全年收成。施工结束后永久性占地仍无法种植作物。</w:t>
      </w:r>
    </w:p>
    <w:p>
      <w:pPr>
        <w:widowControl w:val="0"/>
        <w:spacing w:line="500" w:lineRule="exact"/>
        <w:ind w:firstLine="474" w:firstLineChars="200"/>
        <w:jc w:val="both"/>
        <w:rPr>
          <w:rFonts w:ascii="Times New Roman" w:hAnsi="Times New Roman" w:cs="Times New Roman" w:eastAsiaTheme="minorEastAsia"/>
          <w:bCs/>
          <w:color w:val="auto"/>
          <w:w w:val="99"/>
          <w:kern w:val="2"/>
          <w:szCs w:val="28"/>
          <w:highlight w:val="none"/>
        </w:rPr>
      </w:pPr>
      <w:r>
        <w:rPr>
          <w:rFonts w:ascii="Times New Roman" w:hAnsi="Times New Roman" w:cs="Times New Roman" w:eastAsiaTheme="minorEastAsia"/>
          <w:bCs/>
          <w:color w:val="auto"/>
          <w:w w:val="99"/>
          <w:kern w:val="2"/>
          <w:szCs w:val="28"/>
          <w:highlight w:val="none"/>
        </w:rPr>
        <w:t>占地对耕地的影响</w:t>
      </w:r>
    </w:p>
    <w:p>
      <w:pPr>
        <w:widowControl w:val="0"/>
        <w:spacing w:line="500" w:lineRule="exact"/>
        <w:ind w:firstLine="474" w:firstLineChars="200"/>
        <w:jc w:val="both"/>
        <w:rPr>
          <w:rFonts w:ascii="Times New Roman" w:hAnsi="Times New Roman" w:cs="Times New Roman" w:eastAsiaTheme="minorEastAsia"/>
          <w:bCs/>
          <w:color w:val="auto"/>
          <w:w w:val="99"/>
          <w:kern w:val="2"/>
          <w:szCs w:val="28"/>
          <w:highlight w:val="none"/>
        </w:rPr>
      </w:pPr>
      <w:r>
        <w:rPr>
          <w:rFonts w:ascii="Times New Roman" w:hAnsi="Times New Roman" w:cs="Times New Roman" w:eastAsiaTheme="minorEastAsia"/>
          <w:bCs/>
          <w:color w:val="auto"/>
          <w:w w:val="99"/>
          <w:kern w:val="2"/>
          <w:szCs w:val="28"/>
          <w:highlight w:val="none"/>
        </w:rPr>
        <w:t>本工程永久占用耕地面积为</w:t>
      </w:r>
      <w:r>
        <w:rPr>
          <w:rFonts w:hint="eastAsia" w:ascii="Times New Roman" w:hAnsi="Times New Roman" w:cs="Times New Roman" w:eastAsiaTheme="minorEastAsia"/>
          <w:bCs/>
          <w:color w:val="auto"/>
          <w:w w:val="99"/>
          <w:kern w:val="2"/>
          <w:szCs w:val="28"/>
          <w:highlight w:val="none"/>
          <w:lang w:val="en-US" w:eastAsia="zh-CN"/>
        </w:rPr>
        <w:t>6.16</w:t>
      </w:r>
      <w:r>
        <w:rPr>
          <w:rFonts w:ascii="Times New Roman" w:hAnsi="Times New Roman" w:cs="Times New Roman" w:eastAsiaTheme="minorEastAsia"/>
          <w:bCs/>
          <w:color w:val="auto"/>
          <w:w w:val="99"/>
          <w:kern w:val="2"/>
          <w:szCs w:val="28"/>
          <w:highlight w:val="none"/>
        </w:rPr>
        <w:t>hm</w:t>
      </w:r>
      <w:r>
        <w:rPr>
          <w:rFonts w:ascii="Times New Roman" w:hAnsi="Times New Roman" w:cs="Times New Roman" w:eastAsiaTheme="minorEastAsia"/>
          <w:bCs/>
          <w:color w:val="auto"/>
          <w:w w:val="99"/>
          <w:kern w:val="2"/>
          <w:szCs w:val="28"/>
          <w:highlight w:val="none"/>
          <w:vertAlign w:val="superscript"/>
        </w:rPr>
        <w:t>2</w:t>
      </w:r>
      <w:r>
        <w:rPr>
          <w:rFonts w:ascii="Times New Roman" w:hAnsi="Times New Roman" w:cs="Times New Roman" w:eastAsiaTheme="minorEastAsia"/>
          <w:bCs/>
          <w:color w:val="auto"/>
          <w:w w:val="99"/>
          <w:kern w:val="2"/>
          <w:szCs w:val="28"/>
          <w:highlight w:val="none"/>
        </w:rPr>
        <w:t>，占用的农作物均为玉米，玉米产量按7.5t/hm</w:t>
      </w:r>
      <w:r>
        <w:rPr>
          <w:rFonts w:ascii="Times New Roman" w:hAnsi="Times New Roman" w:cs="Times New Roman" w:eastAsiaTheme="minorEastAsia"/>
          <w:bCs/>
          <w:color w:val="auto"/>
          <w:w w:val="99"/>
          <w:kern w:val="2"/>
          <w:szCs w:val="28"/>
          <w:highlight w:val="none"/>
          <w:vertAlign w:val="superscript"/>
        </w:rPr>
        <w:t>2</w:t>
      </w:r>
      <w:r>
        <w:rPr>
          <w:rFonts w:ascii="Times New Roman" w:hAnsi="Times New Roman" w:cs="Times New Roman" w:eastAsiaTheme="minorEastAsia"/>
          <w:bCs/>
          <w:color w:val="auto"/>
          <w:w w:val="99"/>
          <w:kern w:val="2"/>
          <w:szCs w:val="28"/>
          <w:highlight w:val="none"/>
        </w:rPr>
        <w:t>计算，永久占地按10年损失计算，共损失玉米</w:t>
      </w:r>
      <w:r>
        <w:rPr>
          <w:rFonts w:hint="eastAsia" w:ascii="Times New Roman" w:hAnsi="Times New Roman" w:cs="Times New Roman" w:eastAsiaTheme="minorEastAsia"/>
          <w:bCs/>
          <w:color w:val="auto"/>
          <w:w w:val="99"/>
          <w:kern w:val="2"/>
          <w:szCs w:val="28"/>
          <w:highlight w:val="none"/>
        </w:rPr>
        <w:t>462</w:t>
      </w:r>
      <w:r>
        <w:rPr>
          <w:rFonts w:ascii="Times New Roman" w:hAnsi="Times New Roman" w:cs="Times New Roman" w:eastAsiaTheme="minorEastAsia"/>
          <w:bCs/>
          <w:color w:val="auto"/>
          <w:w w:val="99"/>
          <w:kern w:val="2"/>
          <w:szCs w:val="28"/>
          <w:highlight w:val="none"/>
        </w:rPr>
        <w:t>t，玉米价格按2200元/t计算，其经济价值约为</w:t>
      </w:r>
      <w:r>
        <w:rPr>
          <w:rFonts w:hint="eastAsia" w:ascii="Times New Roman" w:hAnsi="Times New Roman" w:cs="Times New Roman" w:eastAsiaTheme="minorEastAsia"/>
          <w:bCs/>
          <w:color w:val="auto"/>
          <w:w w:val="99"/>
          <w:kern w:val="2"/>
          <w:szCs w:val="28"/>
          <w:highlight w:val="none"/>
          <w:lang w:val="en-US" w:eastAsia="zh-CN"/>
        </w:rPr>
        <w:t>101.64</w:t>
      </w:r>
      <w:r>
        <w:rPr>
          <w:rFonts w:ascii="Times New Roman" w:hAnsi="Times New Roman" w:cs="Times New Roman" w:eastAsiaTheme="minorEastAsia"/>
          <w:bCs/>
          <w:color w:val="auto"/>
          <w:w w:val="99"/>
          <w:kern w:val="2"/>
          <w:szCs w:val="28"/>
          <w:highlight w:val="none"/>
        </w:rPr>
        <w:t>万元。本工程占用的耕地为</w:t>
      </w:r>
      <w:r>
        <w:rPr>
          <w:rFonts w:hint="eastAsia" w:ascii="Times New Roman" w:hAnsi="Times New Roman" w:cs="Times New Roman" w:eastAsiaTheme="minorEastAsia"/>
          <w:bCs/>
          <w:color w:val="auto"/>
          <w:w w:val="99"/>
          <w:kern w:val="2"/>
          <w:szCs w:val="28"/>
          <w:highlight w:val="none"/>
          <w:lang w:eastAsia="zh-CN"/>
        </w:rPr>
        <w:t>非</w:t>
      </w:r>
      <w:r>
        <w:rPr>
          <w:rFonts w:ascii="Times New Roman" w:hAnsi="Times New Roman" w:cs="Times New Roman" w:eastAsiaTheme="minorEastAsia"/>
          <w:bCs/>
          <w:color w:val="auto"/>
          <w:w w:val="99"/>
          <w:kern w:val="2"/>
          <w:szCs w:val="28"/>
          <w:highlight w:val="none"/>
        </w:rPr>
        <w:t>基本农田</w:t>
      </w:r>
      <w:r>
        <w:rPr>
          <w:rFonts w:hint="eastAsia" w:ascii="Times New Roman" w:hAnsi="Times New Roman" w:cs="Times New Roman" w:eastAsiaTheme="minorEastAsia"/>
          <w:bCs/>
          <w:color w:val="auto"/>
          <w:w w:val="99"/>
          <w:kern w:val="2"/>
          <w:szCs w:val="28"/>
          <w:highlight w:val="none"/>
          <w:lang w:eastAsia="zh-CN"/>
        </w:rPr>
        <w:t>、少量永久基本农田</w:t>
      </w:r>
      <w:r>
        <w:rPr>
          <w:rFonts w:ascii="Times New Roman" w:hAnsi="Times New Roman" w:cs="Times New Roman" w:eastAsiaTheme="minorEastAsia"/>
          <w:bCs/>
          <w:color w:val="auto"/>
          <w:w w:val="99"/>
          <w:kern w:val="2"/>
          <w:szCs w:val="28"/>
          <w:highlight w:val="none"/>
        </w:rPr>
        <w:t>，对永久占用的耕地进行经济补偿。临时占地上层翻动使肥力下降，第二、三年产量将下降 20%-50%。本工程临时占用耕地</w:t>
      </w:r>
      <w:r>
        <w:rPr>
          <w:rFonts w:hint="eastAsia" w:ascii="Times New Roman" w:hAnsi="Times New Roman" w:cs="Times New Roman" w:eastAsiaTheme="minorEastAsia"/>
          <w:bCs/>
          <w:color w:val="auto"/>
          <w:w w:val="99"/>
          <w:kern w:val="2"/>
          <w:szCs w:val="28"/>
          <w:highlight w:val="none"/>
          <w:lang w:val="en-US" w:eastAsia="zh-CN"/>
        </w:rPr>
        <w:t>22.88</w:t>
      </w:r>
      <w:r>
        <w:rPr>
          <w:rFonts w:ascii="Times New Roman" w:hAnsi="Times New Roman" w:cs="Times New Roman" w:eastAsiaTheme="minorEastAsia"/>
          <w:bCs/>
          <w:color w:val="auto"/>
          <w:w w:val="99"/>
          <w:kern w:val="2"/>
          <w:szCs w:val="28"/>
          <w:highlight w:val="none"/>
        </w:rPr>
        <w:t>hm</w:t>
      </w:r>
      <w:r>
        <w:rPr>
          <w:rFonts w:ascii="Times New Roman" w:hAnsi="Times New Roman" w:cs="Times New Roman" w:eastAsiaTheme="minorEastAsia"/>
          <w:bCs/>
          <w:color w:val="auto"/>
          <w:w w:val="99"/>
          <w:kern w:val="2"/>
          <w:szCs w:val="28"/>
          <w:highlight w:val="none"/>
          <w:vertAlign w:val="superscript"/>
        </w:rPr>
        <w:t>2</w:t>
      </w:r>
      <w:r>
        <w:rPr>
          <w:rFonts w:ascii="Times New Roman" w:hAnsi="Times New Roman" w:cs="Times New Roman" w:eastAsiaTheme="minorEastAsia"/>
          <w:bCs/>
          <w:color w:val="auto"/>
          <w:w w:val="99"/>
          <w:kern w:val="2"/>
          <w:szCs w:val="28"/>
          <w:highlight w:val="none"/>
        </w:rPr>
        <w:t>，玉米产量按7.5t/hm</w:t>
      </w:r>
      <w:r>
        <w:rPr>
          <w:rFonts w:ascii="Times New Roman" w:hAnsi="Times New Roman" w:cs="Times New Roman" w:eastAsiaTheme="minorEastAsia"/>
          <w:bCs/>
          <w:color w:val="auto"/>
          <w:w w:val="99"/>
          <w:kern w:val="2"/>
          <w:szCs w:val="28"/>
          <w:highlight w:val="none"/>
          <w:vertAlign w:val="superscript"/>
        </w:rPr>
        <w:t>2</w:t>
      </w:r>
      <w:r>
        <w:rPr>
          <w:rFonts w:ascii="Times New Roman" w:hAnsi="Times New Roman" w:cs="Times New Roman" w:eastAsiaTheme="minorEastAsia"/>
          <w:bCs/>
          <w:color w:val="auto"/>
          <w:w w:val="99"/>
          <w:kern w:val="2"/>
          <w:szCs w:val="28"/>
          <w:highlight w:val="none"/>
        </w:rPr>
        <w:t>计算，临时占地按第1年产量完全损失，第2年损失50%</w:t>
      </w:r>
      <w:r>
        <w:rPr>
          <w:rFonts w:hint="eastAsia" w:ascii="Times New Roman" w:hAnsi="Times New Roman" w:cs="Times New Roman" w:eastAsiaTheme="minorEastAsia"/>
          <w:bCs/>
          <w:color w:val="auto"/>
          <w:w w:val="99"/>
          <w:kern w:val="2"/>
          <w:szCs w:val="28"/>
          <w:highlight w:val="none"/>
        </w:rPr>
        <w:t>，</w:t>
      </w:r>
      <w:r>
        <w:rPr>
          <w:rFonts w:ascii="Times New Roman" w:hAnsi="Times New Roman" w:cs="Times New Roman" w:eastAsiaTheme="minorEastAsia"/>
          <w:bCs/>
          <w:color w:val="auto"/>
          <w:w w:val="99"/>
          <w:kern w:val="2"/>
          <w:szCs w:val="28"/>
          <w:highlight w:val="none"/>
        </w:rPr>
        <w:t>第3年损失20%计算，三年间总共损失玉米为</w:t>
      </w:r>
      <w:r>
        <w:rPr>
          <w:rFonts w:hint="eastAsia" w:ascii="Times New Roman" w:hAnsi="Times New Roman" w:cs="Times New Roman" w:eastAsiaTheme="minorEastAsia"/>
          <w:bCs/>
          <w:color w:val="auto"/>
          <w:w w:val="99"/>
          <w:kern w:val="2"/>
          <w:szCs w:val="28"/>
          <w:highlight w:val="none"/>
        </w:rPr>
        <w:t>291.72</w:t>
      </w:r>
      <w:r>
        <w:rPr>
          <w:rFonts w:ascii="Times New Roman" w:hAnsi="Times New Roman" w:cs="Times New Roman" w:eastAsiaTheme="minorEastAsia"/>
          <w:bCs/>
          <w:color w:val="auto"/>
          <w:w w:val="99"/>
          <w:kern w:val="2"/>
          <w:szCs w:val="28"/>
          <w:highlight w:val="none"/>
        </w:rPr>
        <w:t>t。玉米价格按2200元/t 计算，其经济价值为</w:t>
      </w:r>
      <w:r>
        <w:rPr>
          <w:rFonts w:hint="eastAsia" w:ascii="Times New Roman" w:hAnsi="Times New Roman" w:cs="Times New Roman" w:eastAsiaTheme="minorEastAsia"/>
          <w:bCs/>
          <w:color w:val="auto"/>
          <w:w w:val="99"/>
          <w:kern w:val="2"/>
          <w:szCs w:val="28"/>
          <w:highlight w:val="none"/>
        </w:rPr>
        <w:t>64</w:t>
      </w:r>
      <w:r>
        <w:rPr>
          <w:rFonts w:hint="eastAsia" w:ascii="Times New Roman" w:hAnsi="Times New Roman" w:cs="Times New Roman" w:eastAsiaTheme="minorEastAsia"/>
          <w:bCs/>
          <w:color w:val="auto"/>
          <w:w w:val="99"/>
          <w:kern w:val="2"/>
          <w:szCs w:val="28"/>
          <w:highlight w:val="none"/>
          <w:lang w:val="en-US" w:eastAsia="zh-CN"/>
        </w:rPr>
        <w:t>.</w:t>
      </w:r>
      <w:r>
        <w:rPr>
          <w:rFonts w:hint="eastAsia" w:ascii="Times New Roman" w:hAnsi="Times New Roman" w:cs="Times New Roman" w:eastAsiaTheme="minorEastAsia"/>
          <w:bCs/>
          <w:color w:val="auto"/>
          <w:w w:val="99"/>
          <w:kern w:val="2"/>
          <w:szCs w:val="28"/>
          <w:highlight w:val="none"/>
        </w:rPr>
        <w:t>1784</w:t>
      </w:r>
      <w:r>
        <w:rPr>
          <w:rFonts w:ascii="Times New Roman" w:hAnsi="Times New Roman" w:cs="Times New Roman" w:eastAsiaTheme="minorEastAsia"/>
          <w:bCs/>
          <w:color w:val="auto"/>
          <w:w w:val="99"/>
          <w:kern w:val="2"/>
          <w:szCs w:val="28"/>
          <w:highlight w:val="none"/>
        </w:rPr>
        <w:t>万元。工程完工后，临时占地逐年恢复生产力，继续种植农作物，并且将所占耕地恢复为原本质量的耕地。</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采取上述措施后，本项目建设对当地</w:t>
      </w:r>
      <w:r>
        <w:rPr>
          <w:rFonts w:hint="eastAsia" w:ascii="Times New Roman" w:hAnsi="Times New Roman" w:cs="Times New Roman" w:eastAsiaTheme="minorEastAsia"/>
          <w:color w:val="auto"/>
          <w:w w:val="99"/>
          <w:kern w:val="2"/>
          <w:szCs w:val="28"/>
          <w:highlight w:val="none"/>
        </w:rPr>
        <w:t>植被</w:t>
      </w:r>
      <w:r>
        <w:rPr>
          <w:rFonts w:ascii="Times New Roman" w:hAnsi="Times New Roman" w:cs="Times New Roman" w:eastAsiaTheme="minorEastAsia"/>
          <w:color w:val="auto"/>
          <w:w w:val="99"/>
          <w:kern w:val="2"/>
          <w:szCs w:val="28"/>
          <w:highlight w:val="none"/>
        </w:rPr>
        <w:t>影响在可接受范围内。</w:t>
      </w:r>
    </w:p>
    <w:p>
      <w:pPr>
        <w:pStyle w:val="7"/>
        <w:keepNext w:val="0"/>
        <w:keepLines w:val="0"/>
        <w:widowControl w:val="0"/>
        <w:jc w:val="both"/>
        <w:rPr>
          <w:b/>
          <w:color w:val="auto"/>
          <w:w w:val="99"/>
          <w:kern w:val="2"/>
          <w:sz w:val="24"/>
          <w:szCs w:val="24"/>
          <w:highlight w:val="none"/>
        </w:rPr>
      </w:pPr>
      <w:bookmarkStart w:id="1038" w:name="_Toc61597304"/>
      <w:bookmarkStart w:id="1039" w:name="_Toc77667380"/>
      <w:bookmarkStart w:id="1040" w:name="_Toc71372022"/>
      <w:bookmarkStart w:id="1041" w:name="_Toc80105236"/>
      <w:bookmarkStart w:id="1042" w:name="_Toc74812406"/>
      <w:bookmarkStart w:id="1043" w:name="_Toc67523675"/>
      <w:bookmarkStart w:id="1044" w:name="_Toc74812167"/>
      <w:bookmarkStart w:id="1045" w:name="_Toc69690893"/>
      <w:r>
        <w:rPr>
          <w:b/>
          <w:color w:val="auto"/>
          <w:w w:val="99"/>
          <w:kern w:val="2"/>
          <w:sz w:val="24"/>
          <w:szCs w:val="24"/>
          <w:highlight w:val="none"/>
        </w:rPr>
        <w:t>5.6.4对陆生动物环境影响分析</w:t>
      </w:r>
      <w:bookmarkEnd w:id="1038"/>
      <w:bookmarkEnd w:id="1039"/>
      <w:bookmarkEnd w:id="1040"/>
      <w:bookmarkEnd w:id="1041"/>
      <w:bookmarkEnd w:id="1042"/>
      <w:bookmarkEnd w:id="1043"/>
      <w:bookmarkEnd w:id="1044"/>
      <w:bookmarkEnd w:id="1045"/>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本次评价区内野生动物种类较少，未见大型野生哺乳动物出没迹象，现有的野生动物多为一些常见的啮齿类、鸟类及昆虫等，无珍稀保护动物。</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本项目新增占地面积较小，对当地地表植被的影响也是局部的，不会引起该区域野生动物生存环境大面积的明显改变，因此，本项目的建设对野生动物影响不大。钻井活动对野生动物的影响主要来自钻井过程中人类活动、生产机具噪声等影响，但这种影响是局部和暂时的，随钻井工程的结束而消失，不会引起该区域野生动物大面积迁移或消亡。</w:t>
      </w:r>
    </w:p>
    <w:p>
      <w:pPr>
        <w:widowControl w:val="0"/>
        <w:spacing w:line="500" w:lineRule="exact"/>
        <w:jc w:val="both"/>
        <w:outlineLvl w:val="2"/>
        <w:rPr>
          <w:rFonts w:ascii="Times New Roman" w:hAnsi="Times New Roman" w:eastAsia="黑体" w:cs="Times New Roman"/>
          <w:b/>
          <w:bCs/>
          <w:color w:val="auto"/>
          <w:w w:val="99"/>
          <w:kern w:val="2"/>
          <w:sz w:val="24"/>
          <w:szCs w:val="24"/>
          <w:highlight w:val="none"/>
          <w:lang w:val="en-US" w:eastAsia="zh-CN" w:bidi="ar-SA"/>
        </w:rPr>
      </w:pPr>
      <w:bookmarkStart w:id="1046" w:name="_Toc61597305"/>
      <w:bookmarkStart w:id="1047" w:name="_Toc69690894"/>
      <w:bookmarkStart w:id="1048" w:name="_Toc67523676"/>
      <w:bookmarkStart w:id="1049" w:name="_Toc80105237"/>
      <w:bookmarkStart w:id="1050" w:name="_Toc74812407"/>
      <w:bookmarkStart w:id="1051" w:name="_Toc77667381"/>
      <w:bookmarkStart w:id="1052" w:name="_Toc74812168"/>
      <w:bookmarkStart w:id="1053" w:name="_Toc71372023"/>
      <w:r>
        <w:rPr>
          <w:rFonts w:ascii="Times New Roman" w:hAnsi="Times New Roman" w:eastAsia="黑体" w:cs="Times New Roman"/>
          <w:b/>
          <w:bCs/>
          <w:color w:val="auto"/>
          <w:w w:val="99"/>
          <w:kern w:val="2"/>
          <w:sz w:val="24"/>
          <w:szCs w:val="24"/>
          <w:highlight w:val="none"/>
          <w:lang w:val="en-US" w:eastAsia="zh-CN" w:bidi="ar-SA"/>
        </w:rPr>
        <w:t>5.6.5</w:t>
      </w:r>
      <w:bookmarkEnd w:id="1046"/>
      <w:bookmarkEnd w:id="1047"/>
      <w:bookmarkEnd w:id="1048"/>
      <w:bookmarkEnd w:id="1049"/>
      <w:bookmarkEnd w:id="1050"/>
      <w:bookmarkEnd w:id="1051"/>
      <w:bookmarkEnd w:id="1052"/>
      <w:bookmarkEnd w:id="1053"/>
      <w:bookmarkStart w:id="1054" w:name="_Toc61597306"/>
      <w:r>
        <w:rPr>
          <w:rFonts w:ascii="Times New Roman" w:hAnsi="Times New Roman" w:eastAsia="黑体" w:cs="Times New Roman"/>
          <w:b/>
          <w:bCs/>
          <w:color w:val="auto"/>
          <w:w w:val="99"/>
          <w:kern w:val="2"/>
          <w:sz w:val="24"/>
          <w:szCs w:val="24"/>
          <w:highlight w:val="none"/>
          <w:lang w:val="en-US" w:eastAsia="zh-CN" w:bidi="ar-SA"/>
        </w:rPr>
        <w:t>完井期生态环境影响分析</w:t>
      </w:r>
      <w:bookmarkEnd w:id="1054"/>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完井后将对井场内设备、基础进行拆除、搬迁，封井口作业，本项目的环境影响因素将不再存在，无“三废”排放、无噪声影响，通过井场设施搬迁，设备基础、构建筑将拆除，以及临时占地土地平整，恢复生态、改善环境，完井期项目区域生态将逐渐得到恢复。</w:t>
      </w:r>
    </w:p>
    <w:p>
      <w:pPr>
        <w:pStyle w:val="7"/>
        <w:keepNext w:val="0"/>
        <w:keepLines w:val="0"/>
        <w:widowControl w:val="0"/>
        <w:jc w:val="both"/>
        <w:rPr>
          <w:b/>
          <w:color w:val="auto"/>
          <w:w w:val="99"/>
          <w:kern w:val="2"/>
          <w:sz w:val="24"/>
          <w:szCs w:val="24"/>
          <w:highlight w:val="none"/>
        </w:rPr>
      </w:pPr>
      <w:bookmarkStart w:id="1055" w:name="_Toc69690895"/>
      <w:bookmarkStart w:id="1056" w:name="_Toc67523677"/>
      <w:bookmarkStart w:id="1057" w:name="_Toc77667382"/>
      <w:bookmarkStart w:id="1058" w:name="_Toc74812169"/>
      <w:bookmarkStart w:id="1059" w:name="_Toc80105238"/>
      <w:bookmarkStart w:id="1060" w:name="_Toc74812408"/>
      <w:bookmarkStart w:id="1061" w:name="_Toc71372024"/>
      <w:r>
        <w:rPr>
          <w:b/>
          <w:color w:val="auto"/>
          <w:w w:val="99"/>
          <w:kern w:val="2"/>
          <w:sz w:val="24"/>
          <w:szCs w:val="24"/>
          <w:highlight w:val="none"/>
        </w:rPr>
        <w:t>5.6.</w:t>
      </w:r>
      <w:r>
        <w:rPr>
          <w:rFonts w:hint="eastAsia"/>
          <w:b/>
          <w:color w:val="auto"/>
          <w:w w:val="99"/>
          <w:kern w:val="2"/>
          <w:sz w:val="24"/>
          <w:szCs w:val="24"/>
          <w:highlight w:val="none"/>
          <w:lang w:val="en-US" w:eastAsia="zh-CN"/>
        </w:rPr>
        <w:t>6</w:t>
      </w:r>
      <w:r>
        <w:rPr>
          <w:b/>
          <w:color w:val="auto"/>
          <w:w w:val="99"/>
          <w:kern w:val="2"/>
          <w:sz w:val="24"/>
          <w:szCs w:val="24"/>
          <w:highlight w:val="none"/>
        </w:rPr>
        <w:t>防沙治沙环境影响分析</w:t>
      </w:r>
      <w:bookmarkEnd w:id="1055"/>
      <w:bookmarkEnd w:id="1056"/>
      <w:bookmarkEnd w:id="1057"/>
      <w:bookmarkEnd w:id="1058"/>
      <w:bookmarkEnd w:id="1059"/>
      <w:bookmarkEnd w:id="1060"/>
      <w:bookmarkEnd w:id="1061"/>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根据黑龙江省防沙治沙工作领导小组《关于印发&lt;关于贯彻落实《沙化土地封禁保护修复制度方案》的实施意见&gt;的通知》，</w:t>
      </w:r>
      <w:r>
        <w:rPr>
          <w:rFonts w:hint="eastAsia" w:ascii="Times New Roman" w:hAnsi="Times New Roman" w:cs="Times New Roman" w:eastAsiaTheme="minorEastAsia"/>
          <w:color w:val="auto"/>
          <w:w w:val="99"/>
          <w:kern w:val="2"/>
          <w:szCs w:val="28"/>
          <w:highlight w:val="none"/>
          <w:lang w:eastAsia="zh-CN"/>
        </w:rPr>
        <w:t>肇源县</w:t>
      </w:r>
      <w:r>
        <w:rPr>
          <w:rFonts w:ascii="Times New Roman" w:hAnsi="Times New Roman" w:cs="Times New Roman" w:eastAsiaTheme="minorEastAsia"/>
          <w:color w:val="auto"/>
          <w:w w:val="99"/>
          <w:kern w:val="2"/>
          <w:szCs w:val="28"/>
          <w:highlight w:val="none"/>
        </w:rPr>
        <w:t>属于沙化土地所在县（区），当重点增加、恢复和保护林草植被，治理土地沙化和草原退化、沙化、碱化。本工程开发区域沙化土壤分布较少，主要地类为土壤性能良好的耕地，区域内沙化土地所占的比重较小，为减轻植被破坏和农田生态系统受工程影响可能导致的沙化现象，防患于未然，建设单位应采取以下措施进行控制：</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hint="eastAsia"/>
          <w:color w:val="auto"/>
          <w:w w:val="99"/>
          <w:kern w:val="2"/>
          <w:szCs w:val="28"/>
          <w:highlight w:val="none"/>
        </w:rPr>
        <w:t>①</w:t>
      </w:r>
      <w:r>
        <w:rPr>
          <w:rFonts w:ascii="Times New Roman" w:hAnsi="Times New Roman" w:cs="Times New Roman" w:eastAsiaTheme="minorEastAsia"/>
          <w:color w:val="auto"/>
          <w:w w:val="99"/>
          <w:kern w:val="2"/>
          <w:szCs w:val="28"/>
          <w:highlight w:val="none"/>
        </w:rPr>
        <w:t>做好施工期开挖土方临时堆存的水土保持措施，确保土方水土流失得到有效控制。对开挖井场造成植被破坏或地表裸露的，必须采取有效的修复措施，所有生态措施应在井场投运半年内完成。</w:t>
      </w:r>
    </w:p>
    <w:p>
      <w:pPr>
        <w:pStyle w:val="49"/>
        <w:spacing w:after="0" w:line="500" w:lineRule="exact"/>
        <w:ind w:left="0" w:leftChars="0" w:firstLine="474" w:firstLineChars="200"/>
        <w:rPr>
          <w:rFonts w:eastAsiaTheme="minorEastAsia"/>
          <w:bCs/>
          <w:color w:val="auto"/>
          <w:w w:val="99"/>
          <w:sz w:val="24"/>
          <w:highlight w:val="none"/>
        </w:rPr>
      </w:pPr>
      <w:r>
        <w:rPr>
          <w:rFonts w:hint="eastAsia" w:ascii="宋体" w:hAnsi="宋体" w:cs="宋体"/>
          <w:bCs/>
          <w:color w:val="auto"/>
          <w:w w:val="99"/>
          <w:sz w:val="24"/>
          <w:highlight w:val="none"/>
        </w:rPr>
        <w:t>②</w:t>
      </w:r>
      <w:r>
        <w:rPr>
          <w:rFonts w:eastAsiaTheme="minorEastAsia"/>
          <w:bCs/>
          <w:color w:val="auto"/>
          <w:w w:val="99"/>
          <w:sz w:val="24"/>
          <w:highlight w:val="none"/>
        </w:rPr>
        <w:t>在施工活动结束后，要立即对施工现场进行回填平整，形成新的合适坡度，并尽可能覆土压实，基本程序是回填－平整－覆土－压实。工程回填物应首先考虑弃土、弃石和弃渣，并力求做到“挖填平衡”。</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hint="eastAsia"/>
          <w:color w:val="auto"/>
          <w:w w:val="99"/>
          <w:kern w:val="2"/>
          <w:szCs w:val="28"/>
          <w:highlight w:val="none"/>
        </w:rPr>
        <w:t>③</w:t>
      </w:r>
      <w:r>
        <w:rPr>
          <w:rFonts w:ascii="Times New Roman" w:hAnsi="Times New Roman" w:cs="Times New Roman" w:eastAsiaTheme="minorEastAsia"/>
          <w:color w:val="auto"/>
          <w:w w:val="99"/>
          <w:kern w:val="2"/>
          <w:szCs w:val="28"/>
          <w:highlight w:val="none"/>
        </w:rPr>
        <w:t>施工时要特别注意保护原始地表与天然植被，划定施工活动范围，严格控制和管理车辆及重型机械的运行范围，所有车辆采用“一”字型作业法，避免并行开辟新路，以减少风蚀沙化活动的范围。</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hint="eastAsia"/>
          <w:color w:val="auto"/>
          <w:w w:val="99"/>
          <w:kern w:val="2"/>
          <w:szCs w:val="28"/>
          <w:highlight w:val="none"/>
        </w:rPr>
        <w:t>④</w:t>
      </w:r>
      <w:r>
        <w:rPr>
          <w:rFonts w:ascii="Times New Roman" w:hAnsi="Times New Roman" w:cs="Times New Roman" w:eastAsiaTheme="minorEastAsia"/>
          <w:color w:val="auto"/>
          <w:w w:val="99"/>
          <w:kern w:val="2"/>
          <w:szCs w:val="28"/>
          <w:highlight w:val="none"/>
        </w:rPr>
        <w:t>施工作业避免在大风天施工。</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hint="eastAsia"/>
          <w:color w:val="auto"/>
          <w:w w:val="99"/>
          <w:kern w:val="2"/>
          <w:szCs w:val="28"/>
          <w:highlight w:val="none"/>
        </w:rPr>
        <w:t>⑤</w:t>
      </w:r>
      <w:r>
        <w:rPr>
          <w:rFonts w:ascii="Times New Roman" w:hAnsi="Times New Roman" w:cs="Times New Roman" w:eastAsiaTheme="minorEastAsia"/>
          <w:color w:val="auto"/>
          <w:w w:val="99"/>
          <w:kern w:val="2"/>
          <w:szCs w:val="28"/>
          <w:highlight w:val="none"/>
        </w:rPr>
        <w:t>路基边坡采取种草措施护坡固土，维护路基稳定和道路安全运行。</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通过以上措施，可有效防止土地沙化。</w:t>
      </w:r>
    </w:p>
    <w:p>
      <w:pPr>
        <w:pStyle w:val="49"/>
        <w:spacing w:after="0" w:line="500" w:lineRule="exact"/>
        <w:ind w:left="0" w:leftChars="0" w:firstLine="474" w:firstLineChars="200"/>
        <w:rPr>
          <w:rFonts w:eastAsiaTheme="minorEastAsia"/>
          <w:bCs/>
          <w:color w:val="auto"/>
          <w:w w:val="99"/>
          <w:sz w:val="24"/>
          <w:highlight w:val="none"/>
        </w:rPr>
      </w:pPr>
      <w:r>
        <w:rPr>
          <w:rFonts w:eastAsiaTheme="minorEastAsia"/>
          <w:bCs/>
          <w:color w:val="auto"/>
          <w:w w:val="99"/>
          <w:sz w:val="24"/>
          <w:highlight w:val="none"/>
        </w:rPr>
        <w:t>本工程应在施工完毕后进行生态影响减缓及恢复措施，具体见表5.6-1。</w:t>
      </w:r>
    </w:p>
    <w:p>
      <w:pPr>
        <w:pStyle w:val="49"/>
        <w:spacing w:after="0" w:line="500" w:lineRule="exact"/>
        <w:ind w:left="0" w:leftChars="0" w:firstLine="476" w:firstLineChars="200"/>
        <w:rPr>
          <w:rFonts w:eastAsiaTheme="minorEastAsia"/>
          <w:b/>
          <w:bCs w:val="0"/>
          <w:color w:val="auto"/>
          <w:w w:val="99"/>
          <w:sz w:val="24"/>
          <w:highlight w:val="none"/>
        </w:rPr>
      </w:pPr>
      <w:r>
        <w:rPr>
          <w:rFonts w:eastAsiaTheme="minorEastAsia"/>
          <w:b/>
          <w:bCs w:val="0"/>
          <w:color w:val="auto"/>
          <w:w w:val="99"/>
          <w:sz w:val="24"/>
          <w:highlight w:val="none"/>
        </w:rPr>
        <w:t>表5.6-1               生态影响减缓及恢复措施</w:t>
      </w:r>
    </w:p>
    <w:tbl>
      <w:tblPr>
        <w:tblStyle w:val="8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17"/>
        <w:gridCol w:w="1238"/>
        <w:gridCol w:w="1279"/>
        <w:gridCol w:w="3402"/>
        <w:gridCol w:w="1248"/>
        <w:gridCol w:w="13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613" w:type="dxa"/>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序号</w:t>
            </w:r>
          </w:p>
        </w:tc>
        <w:tc>
          <w:tcPr>
            <w:tcW w:w="1229" w:type="dxa"/>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项目</w:t>
            </w:r>
          </w:p>
        </w:tc>
        <w:tc>
          <w:tcPr>
            <w:tcW w:w="1270" w:type="dxa"/>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占地类型</w:t>
            </w:r>
          </w:p>
        </w:tc>
        <w:tc>
          <w:tcPr>
            <w:tcW w:w="3377" w:type="dxa"/>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恢复措施</w:t>
            </w:r>
          </w:p>
        </w:tc>
        <w:tc>
          <w:tcPr>
            <w:tcW w:w="1239" w:type="dxa"/>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实施时间</w:t>
            </w:r>
          </w:p>
        </w:tc>
        <w:tc>
          <w:tcPr>
            <w:tcW w:w="1332" w:type="dxa"/>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实施单位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13" w:type="dxa"/>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1</w:t>
            </w:r>
          </w:p>
        </w:tc>
        <w:tc>
          <w:tcPr>
            <w:tcW w:w="1229" w:type="dxa"/>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永久占地</w:t>
            </w:r>
          </w:p>
        </w:tc>
        <w:tc>
          <w:tcPr>
            <w:tcW w:w="1270" w:type="dxa"/>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耕地</w:t>
            </w:r>
          </w:p>
        </w:tc>
        <w:tc>
          <w:tcPr>
            <w:tcW w:w="3377" w:type="dxa"/>
            <w:vAlign w:val="center"/>
          </w:tcPr>
          <w:p>
            <w:pPr>
              <w:adjustRightInd w:val="0"/>
              <w:snapToGrid w:val="0"/>
              <w:spacing w:line="360" w:lineRule="exact"/>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将表层土剥离进行其他土地改良，占地后按照占一补一原则缴纳补偿费用，耕地</w:t>
            </w:r>
            <w:r>
              <w:rPr>
                <w:rFonts w:hint="eastAsia" w:ascii="Times New Roman" w:hAnsi="Times New Roman" w:cs="Times New Roman" w:eastAsiaTheme="minorEastAsia"/>
                <w:snapToGrid w:val="0"/>
                <w:color w:val="auto"/>
                <w:w w:val="99"/>
                <w:sz w:val="21"/>
                <w:szCs w:val="21"/>
                <w:highlight w:val="none"/>
                <w:lang w:val="en-US" w:eastAsia="zh-CN"/>
              </w:rPr>
              <w:t>6.16</w:t>
            </w:r>
            <w:r>
              <w:rPr>
                <w:rFonts w:ascii="Times New Roman" w:hAnsi="Times New Roman" w:cs="Times New Roman" w:eastAsiaTheme="minorEastAsia"/>
                <w:snapToGrid w:val="0"/>
                <w:color w:val="auto"/>
                <w:w w:val="99"/>
                <w:sz w:val="21"/>
                <w:szCs w:val="21"/>
                <w:highlight w:val="none"/>
              </w:rPr>
              <w:t>hm</w:t>
            </w:r>
            <w:r>
              <w:rPr>
                <w:rFonts w:ascii="Times New Roman" w:hAnsi="Times New Roman" w:cs="Times New Roman" w:eastAsiaTheme="minorEastAsia"/>
                <w:snapToGrid w:val="0"/>
                <w:color w:val="auto"/>
                <w:w w:val="99"/>
                <w:sz w:val="21"/>
                <w:szCs w:val="21"/>
                <w:highlight w:val="none"/>
                <w:vertAlign w:val="superscript"/>
              </w:rPr>
              <w:t>2</w:t>
            </w:r>
            <w:r>
              <w:rPr>
                <w:rFonts w:ascii="Times New Roman" w:hAnsi="Times New Roman" w:cs="Times New Roman" w:eastAsiaTheme="minorEastAsia"/>
                <w:snapToGrid w:val="0"/>
                <w:color w:val="auto"/>
                <w:w w:val="99"/>
                <w:sz w:val="21"/>
                <w:szCs w:val="21"/>
                <w:highlight w:val="none"/>
              </w:rPr>
              <w:t>。</w:t>
            </w:r>
          </w:p>
        </w:tc>
        <w:tc>
          <w:tcPr>
            <w:tcW w:w="1239" w:type="dxa"/>
            <w:vMerge w:val="restart"/>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施工完毕后</w:t>
            </w:r>
          </w:p>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1年内</w:t>
            </w:r>
          </w:p>
        </w:tc>
        <w:tc>
          <w:tcPr>
            <w:tcW w:w="1332" w:type="dxa"/>
            <w:vMerge w:val="restart"/>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大庆油田有限责任公司</w:t>
            </w:r>
            <w:r>
              <w:rPr>
                <w:rFonts w:hint="eastAsia" w:ascii="Times New Roman" w:hAnsi="Times New Roman" w:cs="Times New Roman" w:eastAsiaTheme="minorEastAsia"/>
                <w:snapToGrid w:val="0"/>
                <w:color w:val="auto"/>
                <w:w w:val="99"/>
                <w:sz w:val="21"/>
                <w:szCs w:val="21"/>
                <w:highlight w:val="none"/>
              </w:rPr>
              <w:t>第十采油厂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13" w:type="dxa"/>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2</w:t>
            </w:r>
          </w:p>
        </w:tc>
        <w:tc>
          <w:tcPr>
            <w:tcW w:w="1229" w:type="dxa"/>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临时占地</w:t>
            </w:r>
          </w:p>
        </w:tc>
        <w:tc>
          <w:tcPr>
            <w:tcW w:w="1270" w:type="dxa"/>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耕地</w:t>
            </w:r>
          </w:p>
        </w:tc>
        <w:tc>
          <w:tcPr>
            <w:tcW w:w="3377" w:type="dxa"/>
            <w:vAlign w:val="center"/>
          </w:tcPr>
          <w:p>
            <w:pPr>
              <w:adjustRightInd w:val="0"/>
              <w:snapToGrid w:val="0"/>
              <w:spacing w:line="360" w:lineRule="exact"/>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耕地</w:t>
            </w:r>
            <w:r>
              <w:rPr>
                <w:rFonts w:hint="eastAsia" w:ascii="Times New Roman" w:hAnsi="Times New Roman" w:cs="Times New Roman" w:eastAsiaTheme="minorEastAsia"/>
                <w:snapToGrid w:val="0"/>
                <w:color w:val="auto"/>
                <w:w w:val="99"/>
                <w:sz w:val="21"/>
                <w:szCs w:val="21"/>
                <w:highlight w:val="none"/>
              </w:rPr>
              <w:t>恢复</w:t>
            </w:r>
            <w:r>
              <w:rPr>
                <w:rFonts w:hint="eastAsia" w:ascii="Times New Roman" w:hAnsi="Times New Roman" w:cs="Times New Roman" w:eastAsiaTheme="minorEastAsia"/>
                <w:snapToGrid w:val="0"/>
                <w:color w:val="auto"/>
                <w:w w:val="99"/>
                <w:sz w:val="21"/>
                <w:szCs w:val="21"/>
                <w:highlight w:val="none"/>
                <w:lang w:val="en-US" w:eastAsia="zh-CN"/>
              </w:rPr>
              <w:t>22.88</w:t>
            </w:r>
            <w:r>
              <w:rPr>
                <w:rFonts w:hint="eastAsia" w:ascii="Times New Roman" w:hAnsi="Times New Roman" w:cs="Times New Roman" w:eastAsiaTheme="minorEastAsia"/>
                <w:snapToGrid w:val="0"/>
                <w:color w:val="auto"/>
                <w:w w:val="99"/>
                <w:sz w:val="21"/>
                <w:szCs w:val="21"/>
                <w:highlight w:val="none"/>
              </w:rPr>
              <w:t>hm</w:t>
            </w:r>
            <w:r>
              <w:rPr>
                <w:rFonts w:hint="eastAsia" w:ascii="Times New Roman" w:hAnsi="Times New Roman" w:cs="Times New Roman" w:eastAsiaTheme="minorEastAsia"/>
                <w:snapToGrid w:val="0"/>
                <w:color w:val="auto"/>
                <w:w w:val="99"/>
                <w:sz w:val="21"/>
                <w:szCs w:val="21"/>
                <w:highlight w:val="none"/>
                <w:vertAlign w:val="superscript"/>
              </w:rPr>
              <w:t>2</w:t>
            </w:r>
            <w:r>
              <w:rPr>
                <w:rFonts w:ascii="Times New Roman" w:hAnsi="Times New Roman" w:cs="Times New Roman" w:eastAsiaTheme="minorEastAsia"/>
                <w:snapToGrid w:val="0"/>
                <w:color w:val="auto"/>
                <w:w w:val="99"/>
                <w:sz w:val="21"/>
                <w:szCs w:val="21"/>
                <w:highlight w:val="none"/>
              </w:rPr>
              <w:t>，分层开挖，分层回填，并通过生态植被恢复措施可逐年恢复原有农田质量和产量。</w:t>
            </w:r>
          </w:p>
        </w:tc>
        <w:tc>
          <w:tcPr>
            <w:tcW w:w="1239" w:type="dxa"/>
            <w:vMerge w:val="continue"/>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1332" w:type="dxa"/>
            <w:vMerge w:val="continue"/>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p>
        </w:tc>
      </w:tr>
    </w:tbl>
    <w:p>
      <w:pPr>
        <w:pStyle w:val="7"/>
        <w:keepNext w:val="0"/>
        <w:keepLines w:val="0"/>
        <w:widowControl w:val="0"/>
        <w:jc w:val="both"/>
        <w:rPr>
          <w:b/>
          <w:color w:val="auto"/>
          <w:w w:val="99"/>
          <w:kern w:val="2"/>
          <w:sz w:val="24"/>
          <w:szCs w:val="24"/>
          <w:highlight w:val="none"/>
        </w:rPr>
      </w:pPr>
      <w:bookmarkStart w:id="1062" w:name="_Toc74812170"/>
      <w:bookmarkStart w:id="1063" w:name="_Toc77667383"/>
      <w:bookmarkStart w:id="1064" w:name="_Toc74812409"/>
      <w:bookmarkStart w:id="1065" w:name="_Toc71372025"/>
      <w:bookmarkStart w:id="1066" w:name="_Toc67860208"/>
      <w:bookmarkStart w:id="1067" w:name="_Toc80105239"/>
      <w:bookmarkStart w:id="1068" w:name="_Toc70050258"/>
      <w:r>
        <w:rPr>
          <w:b/>
          <w:color w:val="auto"/>
          <w:w w:val="99"/>
          <w:kern w:val="2"/>
          <w:sz w:val="24"/>
          <w:szCs w:val="24"/>
          <w:highlight w:val="none"/>
        </w:rPr>
        <w:t>5.6.</w:t>
      </w:r>
      <w:r>
        <w:rPr>
          <w:rFonts w:hint="eastAsia"/>
          <w:b/>
          <w:color w:val="auto"/>
          <w:w w:val="99"/>
          <w:kern w:val="2"/>
          <w:sz w:val="24"/>
          <w:szCs w:val="24"/>
          <w:highlight w:val="none"/>
          <w:lang w:val="en-US" w:eastAsia="zh-CN"/>
        </w:rPr>
        <w:t>7</w:t>
      </w:r>
      <w:r>
        <w:rPr>
          <w:b/>
          <w:color w:val="auto"/>
          <w:w w:val="99"/>
          <w:kern w:val="2"/>
          <w:sz w:val="24"/>
          <w:szCs w:val="24"/>
          <w:highlight w:val="none"/>
        </w:rPr>
        <w:t>生态环境影响评价结论</w:t>
      </w:r>
      <w:bookmarkEnd w:id="1062"/>
      <w:bookmarkEnd w:id="1063"/>
      <w:bookmarkEnd w:id="1064"/>
      <w:bookmarkEnd w:id="1065"/>
      <w:bookmarkEnd w:id="1066"/>
      <w:bookmarkEnd w:id="1067"/>
      <w:bookmarkEnd w:id="1068"/>
    </w:p>
    <w:p>
      <w:pPr>
        <w:pStyle w:val="49"/>
        <w:spacing w:after="0" w:line="500" w:lineRule="exact"/>
        <w:ind w:left="0" w:leftChars="0" w:firstLine="474" w:firstLineChars="200"/>
        <w:rPr>
          <w:rFonts w:eastAsiaTheme="minorEastAsia"/>
          <w:bCs/>
          <w:color w:val="auto"/>
          <w:w w:val="99"/>
          <w:sz w:val="24"/>
          <w:highlight w:val="none"/>
        </w:rPr>
      </w:pPr>
      <w:r>
        <w:rPr>
          <w:rFonts w:eastAsiaTheme="minorEastAsia"/>
          <w:bCs/>
          <w:color w:val="auto"/>
          <w:w w:val="99"/>
          <w:sz w:val="24"/>
          <w:highlight w:val="none"/>
        </w:rPr>
        <w:t>该项目的井场、</w:t>
      </w:r>
      <w:r>
        <w:rPr>
          <w:rFonts w:hint="eastAsia" w:eastAsiaTheme="minorEastAsia"/>
          <w:bCs/>
          <w:color w:val="auto"/>
          <w:w w:val="99"/>
          <w:sz w:val="24"/>
          <w:highlight w:val="none"/>
        </w:rPr>
        <w:t>施工便道</w:t>
      </w:r>
      <w:r>
        <w:rPr>
          <w:rFonts w:eastAsiaTheme="minorEastAsia"/>
          <w:bCs/>
          <w:color w:val="auto"/>
          <w:w w:val="99"/>
          <w:sz w:val="24"/>
          <w:highlight w:val="none"/>
        </w:rPr>
        <w:t>建设对土地的侵占，对植被的破坏，将使油田开发区内的第一生产者的生物量有一定程度的下降。在采取必要的保护措施后，可以最大程度减小对生态环境的不利影响，加快生态环境的恢复，该项目油田开发对生态环境的影响不会太大，在生态上是可行的。</w:t>
      </w:r>
    </w:p>
    <w:p>
      <w:pPr>
        <w:pStyle w:val="5"/>
        <w:keepNext w:val="0"/>
        <w:keepLines w:val="0"/>
        <w:widowControl w:val="0"/>
        <w:jc w:val="both"/>
        <w:rPr>
          <w:rFonts w:ascii="Times New Roman" w:hAnsi="Times New Roman"/>
          <w:b/>
          <w:snapToGrid w:val="0"/>
          <w:color w:val="auto"/>
          <w:w w:val="99"/>
          <w:highlight w:val="none"/>
        </w:rPr>
      </w:pPr>
      <w:bookmarkStart w:id="1069" w:name="_Toc80105240"/>
      <w:r>
        <w:rPr>
          <w:rFonts w:ascii="Times New Roman" w:hAnsi="Times New Roman"/>
          <w:b/>
          <w:snapToGrid w:val="0"/>
          <w:color w:val="auto"/>
          <w:w w:val="99"/>
          <w:highlight w:val="none"/>
        </w:rPr>
        <w:t>5.7土壤环境影响预测分析</w:t>
      </w:r>
      <w:bookmarkEnd w:id="1069"/>
    </w:p>
    <w:p>
      <w:pPr>
        <w:pStyle w:val="7"/>
        <w:keepNext w:val="0"/>
        <w:keepLines w:val="0"/>
        <w:widowControl w:val="0"/>
        <w:jc w:val="both"/>
        <w:rPr>
          <w:b/>
          <w:color w:val="auto"/>
          <w:w w:val="99"/>
          <w:kern w:val="2"/>
          <w:sz w:val="24"/>
          <w:szCs w:val="24"/>
          <w:highlight w:val="none"/>
        </w:rPr>
      </w:pPr>
      <w:bookmarkStart w:id="1070" w:name="_Toc80105241"/>
      <w:bookmarkStart w:id="1071" w:name="_Toc74812172"/>
      <w:bookmarkStart w:id="1072" w:name="_Toc77667385"/>
      <w:bookmarkStart w:id="1073" w:name="_Toc69690897"/>
      <w:bookmarkStart w:id="1074" w:name="_Toc61597308"/>
      <w:bookmarkStart w:id="1075" w:name="_Toc71372027"/>
      <w:bookmarkStart w:id="1076" w:name="_Toc74812411"/>
      <w:bookmarkStart w:id="1077" w:name="_Toc67523679"/>
      <w:r>
        <w:rPr>
          <w:b/>
          <w:color w:val="auto"/>
          <w:w w:val="99"/>
          <w:kern w:val="2"/>
          <w:sz w:val="24"/>
          <w:szCs w:val="24"/>
          <w:highlight w:val="none"/>
        </w:rPr>
        <w:t>5.7.1土壤影响途径</w:t>
      </w:r>
      <w:bookmarkEnd w:id="1070"/>
      <w:bookmarkEnd w:id="1071"/>
      <w:bookmarkEnd w:id="1072"/>
      <w:bookmarkEnd w:id="1073"/>
      <w:bookmarkEnd w:id="1074"/>
      <w:bookmarkEnd w:id="1075"/>
      <w:bookmarkEnd w:id="1076"/>
      <w:bookmarkEnd w:id="1077"/>
    </w:p>
    <w:p>
      <w:pPr>
        <w:snapToGrid w:val="0"/>
        <w:spacing w:line="500" w:lineRule="exact"/>
        <w:ind w:firstLine="474" w:firstLineChars="200"/>
        <w:jc w:val="both"/>
        <w:rPr>
          <w:rFonts w:ascii="Times New Roman" w:hAnsi="Times New Roman" w:cs="Times New Roman" w:eastAsiaTheme="minorEastAsia"/>
          <w:color w:val="auto"/>
          <w:spacing w:val="-4"/>
          <w:w w:val="99"/>
          <w:highlight w:val="none"/>
        </w:rPr>
      </w:pPr>
      <w:r>
        <w:rPr>
          <w:rFonts w:ascii="Times New Roman" w:hAnsi="Times New Roman" w:cs="Times New Roman" w:eastAsiaTheme="minorEastAsia"/>
          <w:color w:val="auto"/>
          <w:w w:val="99"/>
          <w:highlight w:val="none"/>
        </w:rPr>
        <w:t>本工程对土壤环境的影响主要来自钻井过程中各种大型、重型机械的拖拽、碾压，以及施工便道建设等活动破坏土壤层次、结构，降低土壤肥力，沙化加剧。同时钻井过程中排放的废弃泥浆等进入土壤，引起了土壤理化性质的改变、肥力的降低，从而影响地表植被的生长。</w:t>
      </w:r>
    </w:p>
    <w:p>
      <w:pPr>
        <w:pStyle w:val="7"/>
        <w:keepNext w:val="0"/>
        <w:keepLines w:val="0"/>
        <w:widowControl w:val="0"/>
        <w:jc w:val="both"/>
        <w:rPr>
          <w:b/>
          <w:color w:val="auto"/>
          <w:w w:val="99"/>
          <w:kern w:val="2"/>
          <w:sz w:val="24"/>
          <w:szCs w:val="24"/>
          <w:highlight w:val="none"/>
        </w:rPr>
      </w:pPr>
      <w:bookmarkStart w:id="1078" w:name="_Toc80105242"/>
      <w:bookmarkStart w:id="1079" w:name="_Toc67523680"/>
      <w:bookmarkStart w:id="1080" w:name="_Toc69690898"/>
      <w:bookmarkStart w:id="1081" w:name="_Toc77667386"/>
      <w:bookmarkStart w:id="1082" w:name="_Toc74812173"/>
      <w:bookmarkStart w:id="1083" w:name="_Toc61597309"/>
      <w:bookmarkStart w:id="1084" w:name="_Toc74812412"/>
      <w:bookmarkStart w:id="1085" w:name="_Toc71372028"/>
      <w:r>
        <w:rPr>
          <w:b/>
          <w:color w:val="auto"/>
          <w:w w:val="99"/>
          <w:kern w:val="2"/>
          <w:sz w:val="24"/>
          <w:szCs w:val="24"/>
          <w:highlight w:val="none"/>
        </w:rPr>
        <w:t>5.7.2对土壤环境的影响</w:t>
      </w:r>
      <w:bookmarkEnd w:id="1078"/>
      <w:bookmarkEnd w:id="1079"/>
      <w:bookmarkEnd w:id="1080"/>
      <w:bookmarkEnd w:id="1081"/>
      <w:bookmarkEnd w:id="1082"/>
      <w:bookmarkEnd w:id="1083"/>
      <w:bookmarkEnd w:id="1084"/>
      <w:bookmarkEnd w:id="1085"/>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（1）临时占地对土壤的影响</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钻井施工期间，大型、重型机械设备的碾压，施工人员的践踏等都会破坏地表植被，使土壤紧实度增高，造成局部大片裸地出现，容易引起土壤风蚀和水土流失，特别是风蚀。因此，钻井施工取土时要先将表土推开，取土后再覆盖于取土处表面，并在完井后及时进行植被恢复。</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（2）柴油储罐对土壤的影响</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正常工况条件下，柴油储罐不会污染土壤，但是一旦发生泄漏风险事故时会对井场的土壤产生一定的污染。</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柴油罐为地下罐，且罐区采取防渗布及铺设围堰等措施，因此在发生柴油罐发生泄漏时不会对周围土壤产生影响；井喷时喷出的原油会进入周围土壤，根据类比调查，井喷时会对周围1km内的环境造成污染，</w:t>
      </w:r>
      <w:r>
        <w:rPr>
          <w:rFonts w:ascii="Times New Roman" w:hAnsi="Times New Roman" w:cs="Times New Roman" w:eastAsiaTheme="minorEastAsia"/>
          <w:bCs/>
          <w:color w:val="auto"/>
          <w:w w:val="99"/>
          <w:highlight w:val="none"/>
        </w:rPr>
        <w:t>事故发生后，疏松土质上影响扩展范围较小，原油覆于地表会使土壤透气性下降，降低土壤肥力，在泄漏事故发生的最初，原油在土壤中下渗至一定深度，随泄漏历时的延长，下渗深度增加不大，通过在大庆油田、中原油田和玉门油田等实地调查表明，落地原油一般在土壤内部50cm以上深度内积聚，</w:t>
      </w:r>
      <w:r>
        <w:rPr>
          <w:rFonts w:ascii="Times New Roman" w:hAnsi="Times New Roman" w:cs="Times New Roman" w:eastAsiaTheme="minorEastAsia"/>
          <w:color w:val="auto"/>
          <w:w w:val="99"/>
          <w:highlight w:val="none"/>
        </w:rPr>
        <w:t>在土壤中的迁移深度较浅。</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（3）钻井泥浆对土壤的影响</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有关研究表明钻井泥浆如果长期以自然状态积存于井场，主要会对土壤理化性质如pH、总碱度、总盐产生一定影响，特别对总碱度影响比较明显，可使土壤板结，增强土壤的盐碱化程度。废钻井泥浆若直接与土壤接触，泥浆中的污染物质对土壤环境的影响主要集中在土壤上层，向下影响土壤的深度约为1m左右，渗透最深为1.2m（总碱度），对深层土壤影响较小。为减少钻井泥浆对土壤的污染，本工程采用水基钻井泥浆，使用低毒无害的添加剂，能够防止泥浆上返地面后对土壤的污染，并且废弃钻井泥浆不落地，直接进入井场</w:t>
      </w:r>
      <w:r>
        <w:rPr>
          <w:rFonts w:hint="eastAsia" w:ascii="Times New Roman" w:hAnsi="Times New Roman" w:cs="Times New Roman" w:eastAsiaTheme="minorEastAsia"/>
          <w:color w:val="auto"/>
          <w:w w:val="99"/>
          <w:highlight w:val="none"/>
        </w:rPr>
        <w:t>泥浆槽暂存</w:t>
      </w:r>
      <w:r>
        <w:rPr>
          <w:rFonts w:ascii="Times New Roman" w:hAnsi="Times New Roman" w:cs="Times New Roman" w:eastAsiaTheme="minorEastAsia"/>
          <w:color w:val="auto"/>
          <w:w w:val="99"/>
          <w:highlight w:val="none"/>
        </w:rPr>
        <w:t>，</w:t>
      </w:r>
      <w:r>
        <w:rPr>
          <w:rFonts w:ascii="Times New Roman" w:hAnsi="Times New Roman" w:cs="Times New Roman" w:eastAsiaTheme="minorEastAsia"/>
          <w:bCs/>
          <w:color w:val="auto"/>
          <w:w w:val="99"/>
          <w:highlight w:val="none"/>
        </w:rPr>
        <w:t>由罐车及时拉运</w:t>
      </w:r>
      <w:r>
        <w:rPr>
          <w:rFonts w:hint="eastAsia" w:ascii="Times New Roman" w:hAnsi="Times New Roman" w:cs="Times New Roman" w:eastAsiaTheme="minorEastAsia"/>
          <w:bCs/>
          <w:color w:val="auto"/>
          <w:w w:val="99"/>
          <w:highlight w:val="none"/>
        </w:rPr>
        <w:t>黑龙江龙之润环保工程有限公司废射孔液处理装置</w:t>
      </w:r>
      <w:r>
        <w:rPr>
          <w:rFonts w:ascii="Times New Roman" w:hAnsi="Times New Roman" w:cs="Times New Roman" w:eastAsiaTheme="minorEastAsia"/>
          <w:bCs/>
          <w:color w:val="auto"/>
          <w:w w:val="99"/>
          <w:highlight w:val="none"/>
        </w:rPr>
        <w:t>处理</w:t>
      </w:r>
      <w:r>
        <w:rPr>
          <w:rFonts w:hint="eastAsia" w:ascii="Times New Roman" w:hAnsi="Times New Roman" w:cs="Times New Roman" w:eastAsiaTheme="minorEastAsia"/>
          <w:bCs/>
          <w:color w:val="auto"/>
          <w:w w:val="99"/>
          <w:highlight w:val="none"/>
        </w:rPr>
        <w:t>，</w:t>
      </w:r>
      <w:r>
        <w:rPr>
          <w:rFonts w:ascii="Times New Roman" w:hAnsi="Times New Roman" w:cs="Times New Roman" w:eastAsiaTheme="minorEastAsia"/>
          <w:color w:val="auto"/>
          <w:w w:val="99"/>
          <w:highlight w:val="none"/>
        </w:rPr>
        <w:t>从而阻隔泥浆与建设用地土壤直接接触。在采取了上述措施后，废钻井泥浆对土壤理化性质的影响非常小。</w:t>
      </w:r>
    </w:p>
    <w:p>
      <w:pPr>
        <w:pStyle w:val="7"/>
        <w:keepNext w:val="0"/>
        <w:keepLines w:val="0"/>
        <w:widowControl w:val="0"/>
        <w:jc w:val="both"/>
        <w:rPr>
          <w:b/>
          <w:color w:val="auto"/>
          <w:w w:val="99"/>
          <w:kern w:val="2"/>
          <w:sz w:val="24"/>
          <w:szCs w:val="24"/>
          <w:highlight w:val="none"/>
        </w:rPr>
      </w:pPr>
      <w:bookmarkStart w:id="1086" w:name="_Toc77667387"/>
      <w:bookmarkStart w:id="1087" w:name="_Toc61597310"/>
      <w:bookmarkStart w:id="1088" w:name="_Toc67523681"/>
      <w:bookmarkStart w:id="1089" w:name="_Toc74812174"/>
      <w:bookmarkStart w:id="1090" w:name="_Toc74812413"/>
      <w:bookmarkStart w:id="1091" w:name="_Toc69690899"/>
      <w:bookmarkStart w:id="1092" w:name="_Toc80105243"/>
      <w:bookmarkStart w:id="1093" w:name="_Toc71372029"/>
      <w:r>
        <w:rPr>
          <w:b/>
          <w:color w:val="auto"/>
          <w:w w:val="99"/>
          <w:kern w:val="2"/>
          <w:sz w:val="24"/>
          <w:szCs w:val="24"/>
          <w:highlight w:val="none"/>
        </w:rPr>
        <w:t>5.7.3土壤环境预测与评价</w:t>
      </w:r>
      <w:bookmarkEnd w:id="1086"/>
      <w:bookmarkEnd w:id="1087"/>
      <w:bookmarkEnd w:id="1088"/>
      <w:bookmarkEnd w:id="1089"/>
      <w:bookmarkEnd w:id="1090"/>
      <w:bookmarkEnd w:id="1091"/>
      <w:bookmarkEnd w:id="1092"/>
      <w:bookmarkEnd w:id="1093"/>
    </w:p>
    <w:p>
      <w:pPr>
        <w:spacing w:line="500" w:lineRule="exact"/>
        <w:ind w:firstLine="474" w:firstLineChars="200"/>
        <w:jc w:val="both"/>
        <w:rPr>
          <w:rFonts w:ascii="Times New Roman" w:hAnsi="Times New Roman" w:cs="Times New Roman" w:eastAsiaTheme="minorEastAsia"/>
          <w:color w:val="auto"/>
          <w:w w:val="99"/>
          <w:kern w:val="21"/>
          <w:highlight w:val="none"/>
        </w:rPr>
      </w:pPr>
      <w:bookmarkStart w:id="1094" w:name="_Toc9397_WPSOffice_Level1"/>
      <w:bookmarkStart w:id="1095" w:name="_Toc10625_WPSOffice_Level1"/>
      <w:bookmarkStart w:id="1096" w:name="_Toc23110"/>
      <w:bookmarkStart w:id="1097" w:name="_Toc29878_WPSOffice_Level1"/>
      <w:bookmarkStart w:id="1098" w:name="_Toc25150_WPSOffice_Level1"/>
      <w:r>
        <w:rPr>
          <w:rFonts w:ascii="Times New Roman" w:hAnsi="Times New Roman" w:cs="Times New Roman" w:eastAsiaTheme="minorEastAsia"/>
          <w:color w:val="auto"/>
          <w:w w:val="99"/>
          <w:kern w:val="21"/>
          <w:highlight w:val="none"/>
        </w:rPr>
        <w:t>（1）土壤预测评价范围、预测时段和预测情景设置</w:t>
      </w:r>
      <w:bookmarkEnd w:id="1094"/>
      <w:bookmarkEnd w:id="1095"/>
      <w:bookmarkEnd w:id="1096"/>
      <w:bookmarkEnd w:id="1097"/>
      <w:bookmarkEnd w:id="1098"/>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土壤预测评价范围与调查评价范围一致。评价时段为施工建设期。按项目正常状态为预测情景。</w:t>
      </w:r>
    </w:p>
    <w:p>
      <w:pPr>
        <w:spacing w:line="500" w:lineRule="exact"/>
        <w:ind w:firstLine="474" w:firstLineChars="200"/>
        <w:jc w:val="both"/>
        <w:rPr>
          <w:rFonts w:ascii="Times New Roman" w:hAnsi="Times New Roman" w:cs="Times New Roman" w:eastAsiaTheme="minorEastAsia"/>
          <w:color w:val="auto"/>
          <w:w w:val="99"/>
          <w:kern w:val="21"/>
          <w:highlight w:val="none"/>
        </w:rPr>
      </w:pPr>
      <w:bookmarkStart w:id="1099" w:name="_Toc32191_WPSOffice_Level1"/>
      <w:bookmarkStart w:id="1100" w:name="_Toc2847_WPSOffice_Level1"/>
      <w:bookmarkStart w:id="1101" w:name="_Toc26023_WPSOffice_Level1"/>
      <w:bookmarkStart w:id="1102" w:name="_Toc27830"/>
      <w:bookmarkStart w:id="1103" w:name="_Toc20918_WPSOffice_Level1"/>
      <w:r>
        <w:rPr>
          <w:rFonts w:ascii="Times New Roman" w:hAnsi="Times New Roman" w:cs="Times New Roman" w:eastAsiaTheme="minorEastAsia"/>
          <w:color w:val="auto"/>
          <w:w w:val="99"/>
          <w:kern w:val="21"/>
          <w:highlight w:val="none"/>
        </w:rPr>
        <w:t>（2）预测评价因子</w:t>
      </w:r>
      <w:bookmarkEnd w:id="1099"/>
      <w:bookmarkEnd w:id="1100"/>
      <w:bookmarkEnd w:id="1101"/>
      <w:bookmarkEnd w:id="1102"/>
      <w:bookmarkEnd w:id="1103"/>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评价因子为石油烃。</w:t>
      </w:r>
    </w:p>
    <w:p>
      <w:pPr>
        <w:spacing w:line="500" w:lineRule="exact"/>
        <w:ind w:firstLine="474" w:firstLineChars="200"/>
        <w:jc w:val="both"/>
        <w:rPr>
          <w:rFonts w:ascii="Times New Roman" w:hAnsi="Times New Roman" w:cs="Times New Roman" w:eastAsiaTheme="minorEastAsia"/>
          <w:color w:val="auto"/>
          <w:w w:val="99"/>
          <w:kern w:val="21"/>
          <w:highlight w:val="none"/>
        </w:rPr>
      </w:pPr>
      <w:bookmarkStart w:id="1104" w:name="_Toc29439_WPSOffice_Level1"/>
      <w:bookmarkStart w:id="1105" w:name="_Toc831"/>
      <w:bookmarkStart w:id="1106" w:name="_Toc31902_WPSOffice_Level1"/>
      <w:bookmarkStart w:id="1107" w:name="_Toc21170_WPSOffice_Level1"/>
      <w:bookmarkStart w:id="1108" w:name="_Toc24594_WPSOffice_Level1"/>
      <w:r>
        <w:rPr>
          <w:rFonts w:ascii="Times New Roman" w:hAnsi="Times New Roman" w:cs="Times New Roman" w:eastAsiaTheme="minorEastAsia"/>
          <w:color w:val="auto"/>
          <w:w w:val="99"/>
          <w:kern w:val="21"/>
          <w:highlight w:val="none"/>
        </w:rPr>
        <w:t>（3）预测评价方法及结果分析</w:t>
      </w:r>
      <w:bookmarkEnd w:id="1104"/>
      <w:bookmarkEnd w:id="1105"/>
      <w:bookmarkEnd w:id="1106"/>
      <w:bookmarkEnd w:id="1107"/>
      <w:bookmarkEnd w:id="1108"/>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本次评价采用类比分析法，对项目施工过程中对土壤环境产生的影响进行定性分析。</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（4）预测评价方法及结果分析</w:t>
      </w:r>
    </w:p>
    <w:p>
      <w:pPr>
        <w:widowControl w:val="0"/>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本次土壤评价通过类比本项目区块内周边已钻的油井环评阶段与验收阶段监测数据对比情况，来判定本项目拟钻油水井对区域内土壤的影响。</w:t>
      </w:r>
    </w:p>
    <w:p>
      <w:pPr>
        <w:widowControl w:val="0"/>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大庆油田有限责任公司</w:t>
      </w:r>
      <w:r>
        <w:rPr>
          <w:rFonts w:hint="eastAsia" w:ascii="Times New Roman" w:hAnsi="Times New Roman" w:cs="Times New Roman" w:eastAsiaTheme="minorEastAsia"/>
          <w:color w:val="auto"/>
          <w:w w:val="99"/>
          <w:kern w:val="21"/>
          <w:highlight w:val="none"/>
        </w:rPr>
        <w:t>第十采油厂</w:t>
      </w:r>
      <w:r>
        <w:rPr>
          <w:rFonts w:ascii="Times New Roman" w:hAnsi="Times New Roman" w:cs="Times New Roman" w:eastAsiaTheme="minorEastAsia"/>
          <w:color w:val="auto"/>
          <w:w w:val="99"/>
          <w:kern w:val="21"/>
          <w:highlight w:val="none"/>
        </w:rPr>
        <w:t>《</w:t>
      </w:r>
      <w:r>
        <w:rPr>
          <w:rFonts w:hint="eastAsia" w:ascii="Times New Roman" w:hAnsi="Times New Roman" w:cs="Times New Roman" w:eastAsiaTheme="minorEastAsia"/>
          <w:color w:val="auto"/>
          <w:w w:val="99"/>
          <w:kern w:val="21"/>
          <w:highlight w:val="none"/>
        </w:rPr>
        <w:t>朝阳沟油田源211致密油试验区块2015年产能建设工程</w:t>
      </w:r>
      <w:r>
        <w:rPr>
          <w:rFonts w:ascii="Times New Roman" w:hAnsi="Times New Roman" w:cs="Times New Roman" w:eastAsiaTheme="minorEastAsia"/>
          <w:color w:val="auto"/>
          <w:w w:val="99"/>
          <w:kern w:val="21"/>
          <w:highlight w:val="none"/>
        </w:rPr>
        <w:t>》中已钻</w:t>
      </w:r>
      <w:r>
        <w:rPr>
          <w:rFonts w:hint="eastAsia" w:ascii="Times New Roman" w:hAnsi="Times New Roman" w:cs="Times New Roman" w:eastAsiaTheme="minorEastAsia"/>
          <w:color w:val="auto"/>
          <w:w w:val="99"/>
          <w:kern w:val="21"/>
          <w:highlight w:val="none"/>
        </w:rPr>
        <w:t>井</w:t>
      </w:r>
      <w:r>
        <w:rPr>
          <w:rFonts w:ascii="Times New Roman" w:hAnsi="Times New Roman" w:cs="Times New Roman" w:eastAsiaTheme="minorEastAsia"/>
          <w:color w:val="auto"/>
          <w:w w:val="99"/>
          <w:kern w:val="21"/>
          <w:highlight w:val="none"/>
        </w:rPr>
        <w:t>位于</w:t>
      </w:r>
      <w:r>
        <w:rPr>
          <w:rFonts w:hint="eastAsia" w:ascii="Times New Roman" w:hAnsi="Times New Roman" w:cs="Times New Roman" w:eastAsiaTheme="minorEastAsia"/>
          <w:bCs/>
          <w:color w:val="auto"/>
          <w:w w:val="99"/>
          <w:kern w:val="21"/>
          <w:highlight w:val="none"/>
        </w:rPr>
        <w:t>源212</w:t>
      </w:r>
      <w:r>
        <w:rPr>
          <w:rFonts w:ascii="Times New Roman" w:hAnsi="Times New Roman" w:cs="Times New Roman" w:eastAsiaTheme="minorEastAsia"/>
          <w:bCs/>
          <w:color w:val="auto"/>
          <w:w w:val="99"/>
          <w:kern w:val="21"/>
          <w:highlight w:val="none"/>
        </w:rPr>
        <w:t>区块</w:t>
      </w:r>
      <w:r>
        <w:rPr>
          <w:rFonts w:ascii="Times New Roman" w:hAnsi="Times New Roman" w:cs="Times New Roman" w:eastAsiaTheme="minorEastAsia"/>
          <w:color w:val="auto"/>
          <w:w w:val="99"/>
          <w:kern w:val="21"/>
          <w:highlight w:val="none"/>
        </w:rPr>
        <w:t>内</w:t>
      </w:r>
      <w:r>
        <w:rPr>
          <w:rFonts w:hint="eastAsia" w:ascii="Times New Roman" w:hAnsi="Times New Roman" w:cs="Times New Roman" w:eastAsiaTheme="minorEastAsia"/>
          <w:color w:val="auto"/>
          <w:w w:val="99"/>
          <w:kern w:val="21"/>
          <w:highlight w:val="none"/>
          <w:lang w:eastAsia="zh-CN"/>
        </w:rPr>
        <w:t>，临近源</w:t>
      </w:r>
      <w:r>
        <w:rPr>
          <w:rFonts w:hint="eastAsia" w:ascii="Times New Roman" w:hAnsi="Times New Roman" w:cs="Times New Roman" w:eastAsiaTheme="minorEastAsia"/>
          <w:color w:val="auto"/>
          <w:w w:val="99"/>
          <w:kern w:val="21"/>
          <w:highlight w:val="none"/>
          <w:lang w:val="en-US" w:eastAsia="zh-CN"/>
        </w:rPr>
        <w:t>35区块</w:t>
      </w:r>
      <w:r>
        <w:rPr>
          <w:rFonts w:ascii="Times New Roman" w:hAnsi="Times New Roman" w:cs="Times New Roman" w:eastAsiaTheme="minorEastAsia"/>
          <w:color w:val="auto"/>
          <w:w w:val="99"/>
          <w:kern w:val="21"/>
          <w:highlight w:val="none"/>
        </w:rPr>
        <w:t>，并于20</w:t>
      </w:r>
      <w:r>
        <w:rPr>
          <w:rFonts w:hint="eastAsia" w:ascii="Times New Roman" w:hAnsi="Times New Roman" w:cs="Times New Roman" w:eastAsiaTheme="minorEastAsia"/>
          <w:color w:val="auto"/>
          <w:w w:val="99"/>
          <w:kern w:val="21"/>
          <w:highlight w:val="none"/>
        </w:rPr>
        <w:t>15</w:t>
      </w:r>
      <w:r>
        <w:rPr>
          <w:rFonts w:ascii="Times New Roman" w:hAnsi="Times New Roman" w:cs="Times New Roman" w:eastAsiaTheme="minorEastAsia"/>
          <w:color w:val="auto"/>
          <w:w w:val="99"/>
          <w:kern w:val="21"/>
          <w:highlight w:val="none"/>
        </w:rPr>
        <w:t>年</w:t>
      </w:r>
      <w:r>
        <w:rPr>
          <w:rFonts w:hint="eastAsia" w:ascii="Times New Roman" w:hAnsi="Times New Roman" w:cs="Times New Roman" w:eastAsiaTheme="minorEastAsia"/>
          <w:color w:val="auto"/>
          <w:w w:val="99"/>
          <w:kern w:val="21"/>
          <w:highlight w:val="none"/>
        </w:rPr>
        <w:t>9</w:t>
      </w:r>
      <w:r>
        <w:rPr>
          <w:rFonts w:ascii="Times New Roman" w:hAnsi="Times New Roman" w:cs="Times New Roman" w:eastAsiaTheme="minorEastAsia"/>
          <w:color w:val="auto"/>
          <w:w w:val="99"/>
          <w:kern w:val="21"/>
          <w:highlight w:val="none"/>
        </w:rPr>
        <w:t>月2</w:t>
      </w:r>
      <w:r>
        <w:rPr>
          <w:rFonts w:hint="eastAsia" w:ascii="Times New Roman" w:hAnsi="Times New Roman" w:cs="Times New Roman" w:eastAsiaTheme="minorEastAsia"/>
          <w:color w:val="auto"/>
          <w:w w:val="99"/>
          <w:kern w:val="21"/>
          <w:highlight w:val="none"/>
        </w:rPr>
        <w:t>3</w:t>
      </w:r>
      <w:r>
        <w:rPr>
          <w:rFonts w:ascii="Times New Roman" w:hAnsi="Times New Roman" w:cs="Times New Roman" w:eastAsiaTheme="minorEastAsia"/>
          <w:color w:val="auto"/>
          <w:w w:val="99"/>
          <w:kern w:val="21"/>
          <w:highlight w:val="none"/>
        </w:rPr>
        <w:t>日取得了环评批复，批复文号为（</w:t>
      </w:r>
      <w:r>
        <w:rPr>
          <w:rFonts w:hint="eastAsia" w:ascii="Times New Roman" w:hAnsi="Times New Roman" w:cs="Times New Roman" w:eastAsiaTheme="minorEastAsia"/>
          <w:color w:val="auto"/>
          <w:w w:val="99"/>
          <w:kern w:val="21"/>
          <w:highlight w:val="none"/>
        </w:rPr>
        <w:t>庆环审</w:t>
      </w:r>
      <w:r>
        <w:rPr>
          <w:rFonts w:ascii="Times New Roman" w:hAnsi="Times New Roman" w:cs="Times New Roman" w:eastAsiaTheme="minorEastAsia"/>
          <w:color w:val="auto"/>
          <w:w w:val="99"/>
          <w:kern w:val="21"/>
          <w:highlight w:val="none"/>
        </w:rPr>
        <w:t>[201</w:t>
      </w:r>
      <w:r>
        <w:rPr>
          <w:rFonts w:hint="eastAsia" w:ascii="Times New Roman" w:hAnsi="Times New Roman" w:cs="Times New Roman" w:eastAsiaTheme="minorEastAsia"/>
          <w:color w:val="auto"/>
          <w:w w:val="99"/>
          <w:kern w:val="21"/>
          <w:highlight w:val="none"/>
        </w:rPr>
        <w:t>5</w:t>
      </w:r>
      <w:r>
        <w:rPr>
          <w:rFonts w:ascii="Times New Roman" w:hAnsi="Times New Roman" w:cs="Times New Roman" w:eastAsiaTheme="minorEastAsia"/>
          <w:color w:val="auto"/>
          <w:w w:val="99"/>
          <w:kern w:val="21"/>
          <w:highlight w:val="none"/>
        </w:rPr>
        <w:t>]</w:t>
      </w:r>
      <w:r>
        <w:rPr>
          <w:rFonts w:hint="eastAsia" w:ascii="Times New Roman" w:hAnsi="Times New Roman" w:cs="Times New Roman" w:eastAsiaTheme="minorEastAsia"/>
          <w:color w:val="auto"/>
          <w:w w:val="99"/>
          <w:kern w:val="21"/>
          <w:highlight w:val="none"/>
        </w:rPr>
        <w:t>250</w:t>
      </w:r>
      <w:r>
        <w:rPr>
          <w:rFonts w:ascii="Times New Roman" w:hAnsi="Times New Roman" w:cs="Times New Roman" w:eastAsiaTheme="minorEastAsia"/>
          <w:color w:val="auto"/>
          <w:w w:val="99"/>
          <w:kern w:val="21"/>
          <w:highlight w:val="none"/>
        </w:rPr>
        <w:t>号，并于20</w:t>
      </w:r>
      <w:r>
        <w:rPr>
          <w:rFonts w:hint="eastAsia" w:ascii="Times New Roman" w:hAnsi="Times New Roman" w:cs="Times New Roman" w:eastAsiaTheme="minorEastAsia"/>
          <w:color w:val="auto"/>
          <w:w w:val="99"/>
          <w:kern w:val="21"/>
          <w:highlight w:val="none"/>
        </w:rPr>
        <w:t>20</w:t>
      </w:r>
      <w:r>
        <w:rPr>
          <w:rFonts w:ascii="Times New Roman" w:hAnsi="Times New Roman" w:cs="Times New Roman" w:eastAsiaTheme="minorEastAsia"/>
          <w:color w:val="auto"/>
          <w:w w:val="99"/>
          <w:kern w:val="21"/>
          <w:highlight w:val="none"/>
        </w:rPr>
        <w:t>年1</w:t>
      </w:r>
      <w:r>
        <w:rPr>
          <w:rFonts w:hint="eastAsia" w:ascii="Times New Roman" w:hAnsi="Times New Roman" w:cs="Times New Roman" w:eastAsiaTheme="minorEastAsia"/>
          <w:color w:val="auto"/>
          <w:w w:val="99"/>
          <w:kern w:val="21"/>
          <w:highlight w:val="none"/>
        </w:rPr>
        <w:t>0</w:t>
      </w:r>
      <w:r>
        <w:rPr>
          <w:rFonts w:ascii="Times New Roman" w:hAnsi="Times New Roman" w:cs="Times New Roman" w:eastAsiaTheme="minorEastAsia"/>
          <w:color w:val="auto"/>
          <w:w w:val="99"/>
          <w:kern w:val="21"/>
          <w:highlight w:val="none"/>
        </w:rPr>
        <w:t>月完成自主验收。该项目建设过程中，采取的土壤环保措施与本项目一致，且与本项目所属区域生态环境基本一致，与本项目位于同一区块，该项目施工阶段临时占用了部分耕地，在施工过程中机械设备的碾压，施工人员的践踏等都会破坏地表植被，使土壤紧实度增高，加上项目施工时翻动土体，都会造成局部大片裸地出现，容易引起土壤风蚀和水土流失。根据验收调查报告，项目投产运营至今，区域地表在施工阶段产生的临时占地形成的裸地基本已得到了恢复。</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本次类比分析引用大庆油田有限责任公司</w:t>
      </w:r>
      <w:r>
        <w:rPr>
          <w:rFonts w:hint="eastAsia" w:ascii="Times New Roman" w:hAnsi="Times New Roman" w:cs="Times New Roman" w:eastAsiaTheme="minorEastAsia"/>
          <w:color w:val="auto"/>
          <w:w w:val="99"/>
          <w:kern w:val="21"/>
          <w:highlight w:val="none"/>
        </w:rPr>
        <w:t>第十采油厂</w:t>
      </w:r>
      <w:r>
        <w:rPr>
          <w:rFonts w:ascii="Times New Roman" w:hAnsi="Times New Roman" w:cs="Times New Roman" w:eastAsiaTheme="minorEastAsia"/>
          <w:color w:val="auto"/>
          <w:w w:val="99"/>
          <w:kern w:val="21"/>
          <w:highlight w:val="none"/>
        </w:rPr>
        <w:t>《</w:t>
      </w:r>
      <w:r>
        <w:rPr>
          <w:rFonts w:hint="eastAsia" w:ascii="Times New Roman" w:hAnsi="Times New Roman" w:cs="Times New Roman" w:eastAsiaTheme="minorEastAsia"/>
          <w:color w:val="auto"/>
          <w:w w:val="99"/>
          <w:kern w:val="21"/>
          <w:highlight w:val="none"/>
        </w:rPr>
        <w:t>朝阳沟油田源211致密油试验区块2015年产能建设工程</w:t>
      </w:r>
      <w:r>
        <w:rPr>
          <w:rFonts w:ascii="Times New Roman" w:hAnsi="Times New Roman" w:cs="Times New Roman" w:eastAsiaTheme="minorEastAsia"/>
          <w:color w:val="auto"/>
          <w:w w:val="99"/>
          <w:kern w:val="21"/>
          <w:highlight w:val="none"/>
        </w:rPr>
        <w:t>》中的土壤监测点位，监测深度20~40cm，该项目验收阶段</w:t>
      </w:r>
      <w:r>
        <w:rPr>
          <w:rFonts w:hint="eastAsia" w:ascii="Times New Roman" w:hAnsi="Times New Roman" w:cs="Times New Roman" w:eastAsiaTheme="minorEastAsia"/>
          <w:color w:val="auto"/>
          <w:w w:val="99"/>
          <w:kern w:val="21"/>
          <w:highlight w:val="none"/>
        </w:rPr>
        <w:t>井场永久</w:t>
      </w:r>
      <w:r>
        <w:rPr>
          <w:rFonts w:ascii="Times New Roman" w:hAnsi="Times New Roman" w:cs="Times New Roman" w:eastAsiaTheme="minorEastAsia"/>
          <w:color w:val="auto"/>
          <w:w w:val="99"/>
          <w:kern w:val="21"/>
          <w:highlight w:val="none"/>
        </w:rPr>
        <w:t>占地内</w:t>
      </w:r>
      <w:r>
        <w:rPr>
          <w:rFonts w:hint="eastAsia" w:ascii="Times New Roman" w:hAnsi="Times New Roman" w:cs="Times New Roman" w:eastAsiaTheme="minorEastAsia"/>
          <w:color w:val="auto"/>
          <w:w w:val="99"/>
          <w:kern w:val="21"/>
          <w:highlight w:val="none"/>
        </w:rPr>
        <w:t>与</w:t>
      </w:r>
      <w:r>
        <w:rPr>
          <w:rFonts w:ascii="Times New Roman" w:hAnsi="Times New Roman" w:cs="Times New Roman" w:eastAsiaTheme="minorEastAsia"/>
          <w:color w:val="auto"/>
          <w:w w:val="99"/>
          <w:kern w:val="21"/>
          <w:highlight w:val="none"/>
        </w:rPr>
        <w:t>永久占地外监测数据对比分析见表</w:t>
      </w:r>
      <w:r>
        <w:rPr>
          <w:rFonts w:ascii="Times New Roman" w:hAnsi="Times New Roman" w:cs="Times New Roman" w:eastAsiaTheme="minorEastAsia"/>
          <w:color w:val="auto"/>
          <w:w w:val="99"/>
          <w:kern w:val="2"/>
          <w:highlight w:val="none"/>
        </w:rPr>
        <w:t>5.7-1</w:t>
      </w:r>
      <w:r>
        <w:rPr>
          <w:rFonts w:ascii="Times New Roman" w:hAnsi="Times New Roman" w:cs="Times New Roman" w:eastAsiaTheme="minorEastAsia"/>
          <w:color w:val="auto"/>
          <w:w w:val="99"/>
          <w:kern w:val="21"/>
          <w:highlight w:val="none"/>
        </w:rPr>
        <w:t>。</w:t>
      </w:r>
    </w:p>
    <w:p>
      <w:pPr>
        <w:spacing w:line="500" w:lineRule="exact"/>
        <w:ind w:firstLine="476" w:firstLineChars="200"/>
        <w:jc w:val="both"/>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1"/>
          <w:highlight w:val="none"/>
        </w:rPr>
        <w:t>表</w:t>
      </w:r>
      <w:r>
        <w:rPr>
          <w:rFonts w:ascii="Times New Roman" w:hAnsi="Times New Roman" w:cs="Times New Roman" w:eastAsiaTheme="minorEastAsia"/>
          <w:b/>
          <w:bCs/>
          <w:color w:val="auto"/>
          <w:w w:val="99"/>
          <w:kern w:val="2"/>
          <w:highlight w:val="none"/>
        </w:rPr>
        <w:t>5.7-1</w:t>
      </w:r>
      <w:r>
        <w:rPr>
          <w:rFonts w:ascii="Times New Roman" w:hAnsi="Times New Roman" w:cs="Times New Roman" w:eastAsiaTheme="minorEastAsia"/>
          <w:b/>
          <w:bCs/>
          <w:color w:val="auto"/>
          <w:w w:val="99"/>
          <w:kern w:val="21"/>
          <w:highlight w:val="none"/>
        </w:rPr>
        <w:t xml:space="preserve">      类比项目土壤验收阶段与环评阶段监测数据对比     单位：mg/kg</w:t>
      </w:r>
    </w:p>
    <w:tbl>
      <w:tblPr>
        <w:tblStyle w:val="8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62"/>
        <w:gridCol w:w="1453"/>
        <w:gridCol w:w="1241"/>
        <w:gridCol w:w="25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7" w:type="pct"/>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snapToGrid w:val="0"/>
                <w:color w:val="auto"/>
                <w:w w:val="99"/>
                <w:sz w:val="21"/>
                <w:szCs w:val="21"/>
                <w:highlight w:val="none"/>
              </w:rPr>
              <w:t>监测</w:t>
            </w:r>
            <w:r>
              <w:rPr>
                <w:rFonts w:ascii="Times New Roman" w:hAnsi="Times New Roman" w:cs="Times New Roman" w:eastAsiaTheme="minorEastAsia"/>
                <w:snapToGrid w:val="0"/>
                <w:color w:val="auto"/>
                <w:w w:val="99"/>
                <w:sz w:val="21"/>
                <w:szCs w:val="21"/>
                <w:highlight w:val="none"/>
              </w:rPr>
              <w:t>点位</w:t>
            </w:r>
          </w:p>
        </w:tc>
        <w:tc>
          <w:tcPr>
            <w:tcW w:w="782" w:type="pct"/>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监测因子</w:t>
            </w:r>
          </w:p>
        </w:tc>
        <w:tc>
          <w:tcPr>
            <w:tcW w:w="668" w:type="pct"/>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snapToGrid w:val="0"/>
                <w:color w:val="auto"/>
                <w:w w:val="99"/>
                <w:sz w:val="21"/>
                <w:szCs w:val="21"/>
                <w:highlight w:val="none"/>
              </w:rPr>
              <w:t>监测结果</w:t>
            </w:r>
          </w:p>
        </w:tc>
        <w:tc>
          <w:tcPr>
            <w:tcW w:w="1362" w:type="pct"/>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color w:val="auto"/>
                <w:w w:val="99"/>
                <w:sz w:val="21"/>
                <w:szCs w:val="21"/>
                <w:highlight w:val="none"/>
              </w:rPr>
              <w:t>风险筛选值（建设用地2类）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7" w:type="pct"/>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1号井场平台（扶平1、扶平5）外100m</w:t>
            </w:r>
          </w:p>
        </w:tc>
        <w:tc>
          <w:tcPr>
            <w:tcW w:w="782"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石油烃</w:t>
            </w:r>
          </w:p>
        </w:tc>
        <w:tc>
          <w:tcPr>
            <w:tcW w:w="668" w:type="pct"/>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snapToGrid w:val="0"/>
                <w:color w:val="auto"/>
                <w:w w:val="99"/>
                <w:sz w:val="21"/>
                <w:szCs w:val="21"/>
                <w:highlight w:val="none"/>
              </w:rPr>
              <w:t>41.8</w:t>
            </w:r>
          </w:p>
        </w:tc>
        <w:tc>
          <w:tcPr>
            <w:tcW w:w="1362" w:type="pct"/>
            <w:vMerge w:val="restart"/>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color w:val="auto"/>
                <w:w w:val="99"/>
                <w:sz w:val="21"/>
                <w:szCs w:val="21"/>
                <w:highlight w:val="none"/>
              </w:rPr>
              <w:t>4500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7" w:type="pct"/>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3号井场平台（扶平9、扶平10、扶平11）外100m</w:t>
            </w:r>
          </w:p>
        </w:tc>
        <w:tc>
          <w:tcPr>
            <w:tcW w:w="782"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石油烃</w:t>
            </w:r>
          </w:p>
        </w:tc>
        <w:tc>
          <w:tcPr>
            <w:tcW w:w="668" w:type="pct"/>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snapToGrid w:val="0"/>
                <w:color w:val="auto"/>
                <w:w w:val="99"/>
                <w:sz w:val="21"/>
                <w:szCs w:val="21"/>
                <w:highlight w:val="none"/>
              </w:rPr>
              <w:t>41.5</w:t>
            </w:r>
          </w:p>
        </w:tc>
        <w:tc>
          <w:tcPr>
            <w:tcW w:w="1362" w:type="pct"/>
            <w:vMerge w:val="continue"/>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p>
        </w:tc>
      </w:tr>
    </w:tbl>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根据监测结果，该项目</w:t>
      </w:r>
      <w:r>
        <w:rPr>
          <w:rFonts w:ascii="Times New Roman" w:hAnsi="Times New Roman" w:eastAsiaTheme="minorEastAsia"/>
          <w:color w:val="auto"/>
          <w:w w:val="99"/>
          <w:kern w:val="21"/>
          <w:highlight w:val="none"/>
        </w:rPr>
        <w:t>井场永久占地内特征污染物石油烃的监测数值与占地外石油烃的监测数值差别不大</w:t>
      </w:r>
      <w:r>
        <w:rPr>
          <w:rFonts w:ascii="Times New Roman" w:hAnsi="Times New Roman" w:cs="Times New Roman" w:eastAsiaTheme="minorEastAsia"/>
          <w:color w:val="auto"/>
          <w:w w:val="99"/>
          <w:kern w:val="21"/>
          <w:highlight w:val="none"/>
        </w:rPr>
        <w:t>，</w:t>
      </w:r>
      <w:r>
        <w:rPr>
          <w:rFonts w:hint="eastAsia" w:ascii="Times New Roman" w:hAnsi="Times New Roman" w:cs="Times New Roman" w:eastAsiaTheme="minorEastAsia"/>
          <w:color w:val="auto"/>
          <w:w w:val="99"/>
          <w:kern w:val="21"/>
          <w:highlight w:val="none"/>
        </w:rPr>
        <w:t>且</w:t>
      </w:r>
      <w:r>
        <w:rPr>
          <w:rFonts w:ascii="Times New Roman" w:hAnsi="Times New Roman" w:cs="Times New Roman" w:eastAsiaTheme="minorEastAsia"/>
          <w:color w:val="auto"/>
          <w:w w:val="99"/>
          <w:kern w:val="21"/>
          <w:highlight w:val="none"/>
        </w:rPr>
        <w:t>均满足《土壤环境质量建设用地土壤污染风险管控标准（试行）》（GB36600-2018）筛选值中第二类用地标准要求，土壤类比项目的验收意见见附件5。以上分析说明企业在项目实施之后较好的落实污染防治措施，油田开发对土壤环境影响较小。</w:t>
      </w:r>
    </w:p>
    <w:bookmarkEnd w:id="1011"/>
    <w:bookmarkEnd w:id="1012"/>
    <w:bookmarkEnd w:id="1013"/>
    <w:p>
      <w:pPr>
        <w:pStyle w:val="5"/>
        <w:keepNext w:val="0"/>
        <w:keepLines w:val="0"/>
        <w:widowControl w:val="0"/>
        <w:jc w:val="both"/>
        <w:rPr>
          <w:rFonts w:ascii="Times New Roman" w:hAnsi="Times New Roman"/>
          <w:b/>
          <w:snapToGrid w:val="0"/>
          <w:color w:val="auto"/>
          <w:w w:val="99"/>
          <w:highlight w:val="none"/>
        </w:rPr>
      </w:pPr>
      <w:bookmarkStart w:id="1109" w:name="_Toc57976732"/>
      <w:bookmarkStart w:id="1110" w:name="_Toc80105244"/>
      <w:bookmarkStart w:id="1111" w:name="_Toc57707980"/>
      <w:bookmarkStart w:id="1112" w:name="_Toc57203310"/>
      <w:r>
        <w:rPr>
          <w:rFonts w:ascii="Times New Roman" w:hAnsi="Times New Roman"/>
          <w:b/>
          <w:snapToGrid w:val="0"/>
          <w:color w:val="auto"/>
          <w:w w:val="99"/>
          <w:highlight w:val="none"/>
        </w:rPr>
        <w:t>5.8环境风险分析</w:t>
      </w:r>
      <w:bookmarkEnd w:id="1109"/>
      <w:bookmarkEnd w:id="1110"/>
      <w:bookmarkEnd w:id="1111"/>
      <w:bookmarkEnd w:id="1112"/>
    </w:p>
    <w:p>
      <w:pPr>
        <w:pStyle w:val="7"/>
        <w:keepNext w:val="0"/>
        <w:keepLines w:val="0"/>
        <w:widowControl w:val="0"/>
        <w:jc w:val="both"/>
        <w:rPr>
          <w:b/>
          <w:color w:val="auto"/>
          <w:w w:val="99"/>
          <w:kern w:val="2"/>
          <w:sz w:val="24"/>
          <w:szCs w:val="24"/>
          <w:highlight w:val="none"/>
        </w:rPr>
      </w:pPr>
      <w:bookmarkStart w:id="1113" w:name="_Toc74812415"/>
      <w:bookmarkStart w:id="1114" w:name="_Toc61597312"/>
      <w:bookmarkStart w:id="1115" w:name="_Toc67523683"/>
      <w:bookmarkStart w:id="1116" w:name="_Toc77667389"/>
      <w:bookmarkStart w:id="1117" w:name="_Toc69690901"/>
      <w:bookmarkStart w:id="1118" w:name="_Toc74812176"/>
      <w:bookmarkStart w:id="1119" w:name="_Toc80105245"/>
      <w:bookmarkStart w:id="1120" w:name="_Toc71372031"/>
      <w:r>
        <w:rPr>
          <w:b/>
          <w:color w:val="auto"/>
          <w:w w:val="99"/>
          <w:kern w:val="2"/>
          <w:sz w:val="24"/>
          <w:szCs w:val="24"/>
          <w:highlight w:val="none"/>
        </w:rPr>
        <w:t>5.8.1环境风险识别</w:t>
      </w:r>
      <w:bookmarkEnd w:id="1113"/>
      <w:bookmarkEnd w:id="1114"/>
      <w:bookmarkEnd w:id="1115"/>
      <w:bookmarkEnd w:id="1116"/>
      <w:bookmarkEnd w:id="1117"/>
      <w:bookmarkEnd w:id="1118"/>
      <w:bookmarkEnd w:id="1119"/>
      <w:bookmarkEnd w:id="1120"/>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5.8.1.1风险物质识别</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本项目钻井施工过程中所涉及的化学物质主要为原油、天然气、柴油和钻井液（氢氧化钾等）。钻井施工过程中潜在生产事故包括发生井喷、井漏、套管破损、柴油泄漏及KOH泄漏等；可诱发风险事故类型包括火灾、爆炸，伴生/次生环境污染事件。</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本项目涉及化学物质安全技术说明书（MSDS）基础信息见表</w:t>
      </w:r>
      <w:r>
        <w:rPr>
          <w:rFonts w:ascii="Times New Roman" w:hAnsi="Times New Roman" w:cs="Times New Roman" w:eastAsiaTheme="minorEastAsia"/>
          <w:color w:val="auto"/>
          <w:w w:val="99"/>
          <w:kern w:val="2"/>
          <w:highlight w:val="none"/>
        </w:rPr>
        <w:t>5.8-1</w:t>
      </w:r>
      <w:r>
        <w:rPr>
          <w:rFonts w:ascii="Times New Roman" w:hAnsi="Times New Roman" w:cs="Times New Roman" w:eastAsiaTheme="minorEastAsia"/>
          <w:color w:val="auto"/>
          <w:w w:val="99"/>
          <w:kern w:val="2"/>
          <w:szCs w:val="20"/>
          <w:highlight w:val="none"/>
        </w:rPr>
        <w:t>～表</w:t>
      </w:r>
      <w:r>
        <w:rPr>
          <w:rFonts w:ascii="Times New Roman" w:hAnsi="Times New Roman" w:cs="Times New Roman" w:eastAsiaTheme="minorEastAsia"/>
          <w:color w:val="auto"/>
          <w:w w:val="99"/>
          <w:kern w:val="2"/>
          <w:highlight w:val="none"/>
        </w:rPr>
        <w:t>5.8-4</w:t>
      </w:r>
      <w:r>
        <w:rPr>
          <w:rFonts w:ascii="Times New Roman" w:hAnsi="Times New Roman" w:cs="Times New Roman" w:eastAsiaTheme="minorEastAsia"/>
          <w:color w:val="auto"/>
          <w:w w:val="99"/>
          <w:kern w:val="2"/>
          <w:szCs w:val="20"/>
          <w:highlight w:val="none"/>
        </w:rPr>
        <w:t>。</w:t>
      </w:r>
    </w:p>
    <w:p>
      <w:pPr>
        <w:widowControl w:val="0"/>
        <w:spacing w:line="500" w:lineRule="exact"/>
        <w:ind w:firstLine="476" w:firstLineChars="200"/>
        <w:jc w:val="both"/>
        <w:rPr>
          <w:rFonts w:ascii="Times New Roman" w:hAnsi="Times New Roman" w:cs="Times New Roman" w:eastAsiaTheme="minorEastAsia"/>
          <w:b/>
          <w:bCs/>
          <w:color w:val="auto"/>
          <w:w w:val="99"/>
          <w:kern w:val="2"/>
          <w:szCs w:val="20"/>
          <w:highlight w:val="none"/>
        </w:rPr>
      </w:pPr>
      <w:r>
        <w:rPr>
          <w:rFonts w:ascii="Times New Roman" w:hAnsi="Times New Roman" w:cs="Times New Roman" w:eastAsiaTheme="minorEastAsia"/>
          <w:b/>
          <w:bCs/>
          <w:color w:val="auto"/>
          <w:w w:val="99"/>
          <w:kern w:val="2"/>
          <w:szCs w:val="20"/>
          <w:highlight w:val="none"/>
        </w:rPr>
        <w:t>表</w:t>
      </w:r>
      <w:r>
        <w:rPr>
          <w:rFonts w:ascii="Times New Roman" w:hAnsi="Times New Roman" w:cs="Times New Roman" w:eastAsiaTheme="minorEastAsia"/>
          <w:b/>
          <w:bCs/>
          <w:color w:val="auto"/>
          <w:w w:val="99"/>
          <w:kern w:val="2"/>
          <w:highlight w:val="none"/>
        </w:rPr>
        <w:t>5.8-1</w:t>
      </w:r>
      <w:r>
        <w:rPr>
          <w:rFonts w:ascii="Times New Roman" w:hAnsi="Times New Roman" w:cs="Times New Roman" w:eastAsiaTheme="minorEastAsia"/>
          <w:b/>
          <w:bCs/>
          <w:color w:val="auto"/>
          <w:w w:val="99"/>
          <w:kern w:val="2"/>
          <w:szCs w:val="20"/>
          <w:highlight w:val="none"/>
        </w:rPr>
        <w:t xml:space="preserve">            石油原油化学品安全技术说明书</w:t>
      </w:r>
    </w:p>
    <w:tbl>
      <w:tblPr>
        <w:tblStyle w:val="82"/>
        <w:tblW w:w="912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2127"/>
        <w:gridCol w:w="1844"/>
        <w:gridCol w:w="40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标识</w:t>
            </w: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中文名：石油原油</w:t>
            </w:r>
          </w:p>
        </w:tc>
        <w:tc>
          <w:tcPr>
            <w:tcW w:w="4024" w:type="dxa"/>
            <w:vAlign w:val="center"/>
          </w:tcPr>
          <w:p>
            <w:pPr>
              <w:widowControl w:val="0"/>
              <w:autoSpaceDE w:val="0"/>
              <w:autoSpaceDN w:val="0"/>
              <w:adjustRightInd w:val="0"/>
              <w:snapToGrid w:val="0"/>
              <w:spacing w:line="360" w:lineRule="exact"/>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kern w:val="2"/>
                <w:sz w:val="21"/>
                <w:szCs w:val="21"/>
                <w:highlight w:val="none"/>
              </w:rPr>
              <w:t>英文名：petroleum|crude oil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分子式：</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分子量：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2127"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危规号：32004</w:t>
            </w:r>
          </w:p>
        </w:tc>
        <w:tc>
          <w:tcPr>
            <w:tcW w:w="184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UN编号：1256</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CAS号：8030-30-6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理化特性</w:t>
            </w: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外观及性状：黄色、褐色乃至黑色的可燃性黏稠液体。</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溶解性：不溶于水，易溶于多种有机溶剂。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熔点（</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）：无资料</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沸点（</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）：120～200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相对密度（水=1）：0.78～0.97</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相对密度（空气=1）：无资料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饱和蒸气压（kPa）：无资料</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禁忌物：强氧化剂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临界压力（MPa）：无资料</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临界温度（</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稳定性：稳定</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聚合危害：不聚合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危险特性</w:t>
            </w: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危险性类别：第3.2类中闪点易燃液体。</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燃烧性：易燃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自燃温度（</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）：350</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闪点（</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爆炸上限（v%）：8.7</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爆炸下限（v%）：1.1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火灾危险类别：甲B</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燃烧（分解）产物：CO、CO</w:t>
            </w:r>
            <w:r>
              <w:rPr>
                <w:rFonts w:ascii="Times New Roman" w:hAnsi="Times New Roman" w:cs="Times New Roman" w:eastAsiaTheme="minorEastAsia"/>
                <w:color w:val="auto"/>
                <w:w w:val="99"/>
                <w:kern w:val="2"/>
                <w:sz w:val="21"/>
                <w:szCs w:val="21"/>
                <w:highlight w:val="none"/>
                <w:vertAlign w:val="subscript"/>
              </w:rPr>
              <w:t>2</w:t>
            </w:r>
            <w:r>
              <w:rPr>
                <w:rFonts w:ascii="Times New Roman" w:hAnsi="Times New Roman" w:cs="Times New Roman" w:eastAsiaTheme="minorEastAsia"/>
                <w:color w:val="auto"/>
                <w:w w:val="99"/>
                <w:kern w:val="2"/>
                <w:sz w:val="21"/>
                <w:szCs w:val="21"/>
                <w:highlight w:val="none"/>
              </w:rPr>
              <w:t>、水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危险特性：蒸汽与空气能形成爆炸性混合物，遇火星、高热有燃烧爆炸危险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灭火方法：喷水冷却容器，采用泡沫、干粉、二氧化碳灭火剂灭火。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毒理性质</w:t>
            </w: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LC</w:t>
            </w:r>
            <w:r>
              <w:rPr>
                <w:rFonts w:ascii="Times New Roman" w:hAnsi="Times New Roman" w:cs="Times New Roman" w:eastAsiaTheme="minorEastAsia"/>
                <w:color w:val="auto"/>
                <w:w w:val="99"/>
                <w:kern w:val="2"/>
                <w:sz w:val="21"/>
                <w:szCs w:val="21"/>
                <w:highlight w:val="none"/>
                <w:vertAlign w:val="subscript"/>
              </w:rPr>
              <w:t>50</w:t>
            </w:r>
            <w:r>
              <w:rPr>
                <w:rFonts w:ascii="Times New Roman" w:hAnsi="Times New Roman" w:cs="Times New Roman" w:eastAsiaTheme="minorEastAsia"/>
                <w:color w:val="auto"/>
                <w:w w:val="99"/>
                <w:kern w:val="2"/>
                <w:sz w:val="21"/>
                <w:szCs w:val="21"/>
                <w:highlight w:val="none"/>
              </w:rPr>
              <w:t>：500～5000mg/kg（哺乳动物吸入）</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LD</w:t>
            </w:r>
            <w:r>
              <w:rPr>
                <w:rFonts w:ascii="Times New Roman" w:hAnsi="Times New Roman" w:cs="Times New Roman" w:eastAsiaTheme="minorEastAsia"/>
                <w:color w:val="auto"/>
                <w:w w:val="99"/>
                <w:kern w:val="2"/>
                <w:sz w:val="21"/>
                <w:szCs w:val="21"/>
                <w:highlight w:val="none"/>
                <w:vertAlign w:val="subscript"/>
              </w:rPr>
              <w:t>50</w:t>
            </w:r>
            <w:r>
              <w:rPr>
                <w:rFonts w:ascii="Times New Roman" w:hAnsi="Times New Roman" w:cs="Times New Roman" w:eastAsiaTheme="minorEastAsia"/>
                <w:color w:val="auto"/>
                <w:w w:val="99"/>
                <w:kern w:val="2"/>
                <w:sz w:val="21"/>
                <w:szCs w:val="21"/>
                <w:highlight w:val="none"/>
              </w:rPr>
              <w:t>：&gt; 4300mg/kg（大鼠经口）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IDLH：500ppm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毒性判别：原油中芳香烃以及杂原子化合物具有一定的毒性。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健康危害</w:t>
            </w:r>
          </w:p>
        </w:tc>
        <w:tc>
          <w:tcPr>
            <w:tcW w:w="7995" w:type="dxa"/>
            <w:gridSpan w:val="3"/>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侵入途径：吸入、食入、皮肤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刺激眼睛和皮肤，导致皮肤红肿、干燥和皮炎，食入将引发恶心、呕吐和腹泻，影响中枢神经系统，表现为兴奋，继而引发头痛、眼花、困倦及恶心，更严重者将精神崩溃、失去意识、陷入昏迷，甚至由于呼吸系统衰竭导致死亡。吸入高浓度蒸气将影响中枢神经系统肺损伤，引发恶心、头痛、眼花至昏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急救</w:t>
            </w:r>
          </w:p>
        </w:tc>
        <w:tc>
          <w:tcPr>
            <w:tcW w:w="7995" w:type="dxa"/>
            <w:gridSpan w:val="3"/>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皮肤接触：脱去污染的衣着，按用大量水冲洗冲洗皮肤至少15分钟。就医。</w:t>
            </w:r>
          </w:p>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眼睛接触：立即提起眼睑用大量水冲洗眼睛，至少15分钟。就医。</w:t>
            </w:r>
          </w:p>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吸入：迅速撤离现场到空气新鲜处；如呼吸停止，进行人工呼吸；如呼吸困难，给输氧（如有适当的解毒剂，立即服用）。就医。</w:t>
            </w:r>
          </w:p>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食入：立即就医。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泄漏处理</w:t>
            </w:r>
          </w:p>
        </w:tc>
        <w:tc>
          <w:tcPr>
            <w:tcW w:w="7995" w:type="dxa"/>
            <w:gridSpan w:val="3"/>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切断火源，泄露物采用沙土等不活泼物质掩盖吸收，装入指定容器后处理。处置前应参阅国家和地方有关法规。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储运</w:t>
            </w:r>
          </w:p>
        </w:tc>
        <w:tc>
          <w:tcPr>
            <w:tcW w:w="7995" w:type="dxa"/>
            <w:gridSpan w:val="3"/>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储存于阴凉、通风仓间内。远离火种、热源。保持容器密封。应与氧化剂、酸类分开存放。储存间内的照明、通风等设施应采用防爆型。配备相应品种和数量的消防器材。罐储时要具有防火、防爆技术措施。禁止使用易产生火花的机械设备和工具。灌装时应注意流速（不超过3m/s），且有接地装置，防止静电积聚。搬运时要轻装轻卸，防止包装及容器损坏。</w:t>
            </w:r>
          </w:p>
        </w:tc>
      </w:tr>
    </w:tbl>
    <w:p>
      <w:pPr>
        <w:widowControl w:val="0"/>
        <w:spacing w:line="500" w:lineRule="exact"/>
        <w:ind w:firstLine="476" w:firstLineChars="200"/>
        <w:jc w:val="both"/>
        <w:rPr>
          <w:rFonts w:ascii="Times New Roman" w:hAnsi="Times New Roman" w:cs="Times New Roman" w:eastAsiaTheme="minorEastAsia"/>
          <w:b/>
          <w:bCs/>
          <w:color w:val="auto"/>
          <w:w w:val="99"/>
          <w:kern w:val="2"/>
          <w:szCs w:val="20"/>
          <w:highlight w:val="none"/>
        </w:rPr>
      </w:pPr>
      <w:r>
        <w:rPr>
          <w:rFonts w:ascii="Times New Roman" w:hAnsi="Times New Roman" w:cs="Times New Roman" w:eastAsiaTheme="minorEastAsia"/>
          <w:b/>
          <w:bCs/>
          <w:color w:val="auto"/>
          <w:w w:val="99"/>
          <w:kern w:val="2"/>
          <w:szCs w:val="20"/>
          <w:highlight w:val="none"/>
        </w:rPr>
        <w:t>表</w:t>
      </w:r>
      <w:r>
        <w:rPr>
          <w:rFonts w:ascii="Times New Roman" w:hAnsi="Times New Roman" w:cs="Times New Roman" w:eastAsiaTheme="minorEastAsia"/>
          <w:b/>
          <w:bCs/>
          <w:color w:val="auto"/>
          <w:w w:val="99"/>
          <w:kern w:val="2"/>
          <w:highlight w:val="none"/>
        </w:rPr>
        <w:t>5.8-2</w:t>
      </w:r>
      <w:r>
        <w:rPr>
          <w:rFonts w:ascii="Times New Roman" w:hAnsi="Times New Roman" w:cs="Times New Roman" w:eastAsiaTheme="minorEastAsia"/>
          <w:b/>
          <w:bCs/>
          <w:color w:val="auto"/>
          <w:w w:val="99"/>
          <w:kern w:val="2"/>
          <w:szCs w:val="20"/>
          <w:highlight w:val="none"/>
        </w:rPr>
        <w:t xml:space="preserve">             天然气化学品安全技术说明书</w:t>
      </w:r>
    </w:p>
    <w:tbl>
      <w:tblPr>
        <w:tblStyle w:val="8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3"/>
        <w:gridCol w:w="2164"/>
        <w:gridCol w:w="1876"/>
        <w:gridCol w:w="40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标识</w:t>
            </w: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中文名：天然气</w:t>
            </w:r>
          </w:p>
        </w:tc>
        <w:tc>
          <w:tcPr>
            <w:tcW w:w="2204" w:type="pct"/>
            <w:vAlign w:val="center"/>
          </w:tcPr>
          <w:p>
            <w:pPr>
              <w:widowControl w:val="0"/>
              <w:autoSpaceDE w:val="0"/>
              <w:autoSpaceDN w:val="0"/>
              <w:adjustRightInd w:val="0"/>
              <w:snapToGrid w:val="0"/>
              <w:spacing w:line="320" w:lineRule="exact"/>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kern w:val="2"/>
                <w:sz w:val="21"/>
                <w:szCs w:val="21"/>
                <w:highlight w:val="none"/>
              </w:rPr>
              <w:t>英文名：natural gas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分子式：CH</w:t>
            </w:r>
            <w:r>
              <w:rPr>
                <w:rFonts w:ascii="Times New Roman" w:hAnsi="Times New Roman" w:cs="Times New Roman" w:eastAsiaTheme="minorEastAsia"/>
                <w:color w:val="auto"/>
                <w:w w:val="99"/>
                <w:kern w:val="2"/>
                <w:sz w:val="21"/>
                <w:szCs w:val="21"/>
                <w:highlight w:val="none"/>
                <w:vertAlign w:val="subscript"/>
              </w:rPr>
              <w:t>4</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分子量：16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1165"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危规号：21007</w:t>
            </w:r>
          </w:p>
        </w:tc>
        <w:tc>
          <w:tcPr>
            <w:tcW w:w="1010"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UN编号：1971</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CAS号：74-82-8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理化特性</w:t>
            </w: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外观及性状：无色无臭易燃易爆气体</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溶解性：微溶于水，溶于乙醇、乙醚。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熔点（</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）：-182</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沸点（</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）：-161.49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理化特性</w:t>
            </w: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相对密度（水=1）：0.45（液化）</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相对密度（空气=1）：0.59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饱和蒸气压（kPa）：53.32（-168.8</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禁忌物：强氧化剂、卤素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临界压力（MPa）：4.59</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临界温度（</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）：-82.3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稳定性：稳定</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聚合危害：不聚合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危险特性</w:t>
            </w: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危险性类别：第2.1类易燃气体。</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燃烧性：易燃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引燃温度（</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）：482～632</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闪点（</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）：-188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爆炸上限（v%）：15</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爆炸下限（v%）：5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最小点火能（MJ）：0.28</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最大爆炸压力（kPa）：680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燃烧热（MJ/mol）：889.5</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火灾危险类别：甲B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4379" w:type="pct"/>
            <w:gridSpan w:val="3"/>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燃烧（分解）产物：CO、CO</w:t>
            </w:r>
            <w:r>
              <w:rPr>
                <w:rFonts w:ascii="Times New Roman" w:hAnsi="Times New Roman" w:cs="Times New Roman" w:eastAsiaTheme="minorEastAsia"/>
                <w:color w:val="auto"/>
                <w:w w:val="99"/>
                <w:kern w:val="2"/>
                <w:sz w:val="21"/>
                <w:szCs w:val="21"/>
                <w:highlight w:val="none"/>
                <w:vertAlign w:val="subscript"/>
              </w:rPr>
              <w:t>2</w:t>
            </w:r>
            <w:r>
              <w:rPr>
                <w:rFonts w:ascii="Times New Roman" w:hAnsi="Times New Roman" w:cs="Times New Roman" w:eastAsiaTheme="minorEastAsia"/>
                <w:color w:val="auto"/>
                <w:w w:val="99"/>
                <w:kern w:val="2"/>
                <w:sz w:val="21"/>
                <w:szCs w:val="21"/>
                <w:highlight w:val="none"/>
              </w:rPr>
              <w:t>、水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4379" w:type="pct"/>
            <w:gridSpan w:val="3"/>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危险特性：与空气混合能形成爆炸性混合物，遇火星、高热有燃烧爆炸危险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4379" w:type="pct"/>
            <w:gridSpan w:val="3"/>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灭火方法：切断气源。若不能切断气源，则不允许熄灭正在燃烧的气体，喷水冷却</w:t>
            </w:r>
          </w:p>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容器，可能的话将容器从火场移至空旷处。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4379" w:type="pct"/>
            <w:gridSpan w:val="3"/>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灭火剂：泡沫、二氧化碳、雾状水、干粉。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毒理性质</w:t>
            </w: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LC</w:t>
            </w:r>
            <w:r>
              <w:rPr>
                <w:rFonts w:ascii="Times New Roman" w:hAnsi="Times New Roman" w:cs="Times New Roman" w:eastAsiaTheme="minorEastAsia"/>
                <w:color w:val="auto"/>
                <w:w w:val="99"/>
                <w:kern w:val="2"/>
                <w:sz w:val="21"/>
                <w:szCs w:val="21"/>
                <w:highlight w:val="none"/>
                <w:vertAlign w:val="subscript"/>
              </w:rPr>
              <w:t>50</w:t>
            </w:r>
            <w:r>
              <w:rPr>
                <w:rFonts w:ascii="Times New Roman" w:hAnsi="Times New Roman" w:cs="Times New Roman" w:eastAsiaTheme="minorEastAsia"/>
                <w:color w:val="auto"/>
                <w:w w:val="99"/>
                <w:kern w:val="2"/>
                <w:sz w:val="21"/>
                <w:szCs w:val="21"/>
                <w:highlight w:val="none"/>
              </w:rPr>
              <w:t>：无资料</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IDLH：无资料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4379" w:type="pct"/>
            <w:gridSpan w:val="3"/>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工作场所最高容许浓度MAC：300mg/m</w:t>
            </w:r>
            <w:r>
              <w:rPr>
                <w:rFonts w:ascii="Times New Roman" w:hAnsi="Times New Roman" w:cs="Times New Roman" w:eastAsiaTheme="minorEastAsia"/>
                <w:color w:val="auto"/>
                <w:w w:val="99"/>
                <w:kern w:val="2"/>
                <w:sz w:val="21"/>
                <w:szCs w:val="21"/>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4379" w:type="pct"/>
            <w:gridSpan w:val="3"/>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毒性判别：微毒类，多为窒息损害。毒物危害分级</w:t>
            </w:r>
            <w:r>
              <w:rPr>
                <w:rFonts w:hint="eastAsia"/>
                <w:color w:val="auto"/>
                <w:w w:val="99"/>
                <w:kern w:val="2"/>
                <w:sz w:val="21"/>
                <w:szCs w:val="21"/>
                <w:highlight w:val="none"/>
              </w:rPr>
              <w:t>Ⅳ</w:t>
            </w:r>
            <w:r>
              <w:rPr>
                <w:rFonts w:ascii="Times New Roman" w:hAnsi="Times New Roman" w:cs="Times New Roman" w:eastAsiaTheme="minorEastAsia"/>
                <w:color w:val="auto"/>
                <w:w w:val="99"/>
                <w:kern w:val="2"/>
                <w:sz w:val="21"/>
                <w:szCs w:val="21"/>
                <w:highlight w:val="none"/>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健康危害</w:t>
            </w:r>
          </w:p>
        </w:tc>
        <w:tc>
          <w:tcPr>
            <w:tcW w:w="4379" w:type="pct"/>
            <w:gridSpan w:val="3"/>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侵入途径：吸入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4379" w:type="pct"/>
            <w:gridSpan w:val="3"/>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健康危害：当空气中浓度过高时，使空气中氧气含量明显降低，使人窒息。皮肤接触液化甲烷可致冻伤。</w:t>
            </w:r>
          </w:p>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急性中毒：当空气中浓度达到20～30%时，可引起头痛、头晕、乏力、注意力不集</w:t>
            </w:r>
          </w:p>
          <w:p>
            <w:pPr>
              <w:widowControl w:val="0"/>
              <w:spacing w:line="320" w:lineRule="exact"/>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 w:val="21"/>
                <w:szCs w:val="21"/>
                <w:highlight w:val="none"/>
              </w:rPr>
              <w:t>中、呼吸和心跳加快，若不及时逃离，可致窒息死亡。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急救</w:t>
            </w:r>
          </w:p>
        </w:tc>
        <w:tc>
          <w:tcPr>
            <w:tcW w:w="4379" w:type="pct"/>
            <w:gridSpan w:val="3"/>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吸入：迅速脱离现场至空气新鲜处。保持呼吸道通畅。如呼吸困难，给输氧。如呼吸停止，立即进行人工呼吸，就医。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泄漏处理</w:t>
            </w:r>
          </w:p>
        </w:tc>
        <w:tc>
          <w:tcPr>
            <w:tcW w:w="4379" w:type="pct"/>
            <w:gridSpan w:val="3"/>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迅速撤离泄漏污染区人员至安全处，并立即隔离，严格限制出入。切断火源，戴自给式呼吸器，穿一般消防防护服。合理通风，禁止泄漏物进入受限制的空间（如下水道），以避免发生爆炸。切断气源，喷洒雾状水稀释，抽排（室内）或强力通风（室外）。如有可能，将残余气或漏出气用排风机送至空旷地方，或装设适当喷头烧掉。也可将漏气的容器移至空旷处，注意通风，漏气容器要妥善处理，修复、检验后再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储运</w:t>
            </w:r>
          </w:p>
        </w:tc>
        <w:tc>
          <w:tcPr>
            <w:tcW w:w="4379" w:type="pct"/>
            <w:gridSpan w:val="3"/>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储运于阴凉、通风仓间内。仓温不宜超过30</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。远离火种、热源。防止阳光直射。</w:t>
            </w:r>
          </w:p>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应与氧气、压缩空气、卤素（氟、氯、溴）等分开存放。切忌混储混运。储存间内</w:t>
            </w:r>
          </w:p>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的照明、通风等设施应采用防爆型。开关设在仓外。配备相应品种和数量的消防器</w:t>
            </w:r>
          </w:p>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材。罐储时要有防火防爆技术措施。露天储罐夏天要有降温措施。禁止使用易产生</w:t>
            </w:r>
          </w:p>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火花的机械设备和工具。运输按规定路线行驶，勿在居民区和人口稠密区停留。</w:t>
            </w:r>
          </w:p>
        </w:tc>
      </w:tr>
    </w:tbl>
    <w:p>
      <w:pPr>
        <w:widowControl w:val="0"/>
        <w:spacing w:line="500" w:lineRule="exact"/>
        <w:ind w:firstLine="476" w:firstLineChars="200"/>
        <w:jc w:val="both"/>
        <w:rPr>
          <w:rFonts w:ascii="Times New Roman" w:hAnsi="Times New Roman" w:cs="Times New Roman" w:eastAsiaTheme="minorEastAsia"/>
          <w:b/>
          <w:bCs/>
          <w:color w:val="auto"/>
          <w:w w:val="99"/>
          <w:kern w:val="2"/>
          <w:szCs w:val="20"/>
          <w:highlight w:val="none"/>
        </w:rPr>
      </w:pPr>
      <w:r>
        <w:rPr>
          <w:rFonts w:ascii="Times New Roman" w:hAnsi="Times New Roman" w:cs="Times New Roman" w:eastAsiaTheme="minorEastAsia"/>
          <w:b/>
          <w:bCs/>
          <w:color w:val="auto"/>
          <w:w w:val="99"/>
          <w:kern w:val="2"/>
          <w:szCs w:val="20"/>
          <w:highlight w:val="none"/>
        </w:rPr>
        <w:t>表</w:t>
      </w:r>
      <w:r>
        <w:rPr>
          <w:rFonts w:ascii="Times New Roman" w:hAnsi="Times New Roman" w:cs="Times New Roman" w:eastAsiaTheme="minorEastAsia"/>
          <w:b/>
          <w:bCs/>
          <w:color w:val="auto"/>
          <w:w w:val="99"/>
          <w:kern w:val="2"/>
          <w:highlight w:val="none"/>
        </w:rPr>
        <w:t>5.8-3</w:t>
      </w:r>
      <w:r>
        <w:rPr>
          <w:rFonts w:ascii="Times New Roman" w:hAnsi="Times New Roman" w:cs="Times New Roman" w:eastAsiaTheme="minorEastAsia"/>
          <w:b/>
          <w:bCs/>
          <w:color w:val="auto"/>
          <w:w w:val="99"/>
          <w:kern w:val="2"/>
          <w:szCs w:val="20"/>
          <w:highlight w:val="none"/>
        </w:rPr>
        <w:t xml:space="preserve">              柴油化学品安全技术说明书</w:t>
      </w:r>
    </w:p>
    <w:tbl>
      <w:tblPr>
        <w:tblStyle w:val="82"/>
        <w:tblW w:w="912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2127"/>
        <w:gridCol w:w="1844"/>
        <w:gridCol w:w="40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标识</w:t>
            </w: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中文名：柴油</w:t>
            </w:r>
          </w:p>
        </w:tc>
        <w:tc>
          <w:tcPr>
            <w:tcW w:w="4024" w:type="dxa"/>
            <w:vAlign w:val="center"/>
          </w:tcPr>
          <w:p>
            <w:pPr>
              <w:widowControl w:val="0"/>
              <w:autoSpaceDE w:val="0"/>
              <w:autoSpaceDN w:val="0"/>
              <w:adjustRightInd w:val="0"/>
              <w:snapToGrid w:val="0"/>
              <w:spacing w:line="270" w:lineRule="exact"/>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kern w:val="2"/>
                <w:sz w:val="21"/>
                <w:szCs w:val="21"/>
                <w:highlight w:val="none"/>
              </w:rPr>
              <w:t>英文名：diesel oil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分子式：-</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分子量：-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2127"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危规号：32501</w:t>
            </w:r>
          </w:p>
        </w:tc>
        <w:tc>
          <w:tcPr>
            <w:tcW w:w="184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UN编号：1202</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CAS号：-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理化特性</w:t>
            </w: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外观及性状：有色透明挥发、易燃液体</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溶解性：不溶于水，溶于醇等溶剂。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熔点（</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）：-18</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沸点（</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）：282～338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相对密度（水=1）：0.70～0.75</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相对密度（空气=1）：1.59～4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理化特性</w:t>
            </w: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饱和蒸气压（kPa）：无资料</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禁忌物：强氧化剂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临界压力（MPa）：无资料</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临界温度（</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稳定性：常温常压下稳定</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聚合危害：不聚合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危险特性</w:t>
            </w: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危险性类别：易燃液体类别3</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燃烧性：易燃液体，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引燃温度（</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）：257</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闪点（</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爆炸上限（v%）：6.5</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爆炸下限（v%）：0.6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燃烧热（kJ/L）：30000～46000</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火灾危险类别：乙B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燃烧（分解）产物：CO、CO</w:t>
            </w:r>
            <w:r>
              <w:rPr>
                <w:rFonts w:ascii="Times New Roman" w:hAnsi="Times New Roman" w:cs="Times New Roman" w:eastAsiaTheme="minorEastAsia"/>
                <w:color w:val="auto"/>
                <w:w w:val="99"/>
                <w:kern w:val="2"/>
                <w:sz w:val="21"/>
                <w:szCs w:val="21"/>
                <w:highlight w:val="none"/>
                <w:vertAlign w:val="subscript"/>
              </w:rPr>
              <w:t>2</w:t>
            </w:r>
            <w:r>
              <w:rPr>
                <w:rFonts w:ascii="Times New Roman" w:hAnsi="Times New Roman" w:cs="Times New Roman" w:eastAsiaTheme="minorEastAsia"/>
                <w:color w:val="auto"/>
                <w:w w:val="99"/>
                <w:kern w:val="2"/>
                <w:sz w:val="21"/>
                <w:szCs w:val="21"/>
                <w:highlight w:val="none"/>
              </w:rPr>
              <w:t>、水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险特性：蒸气与空气可形成爆炸性混合物，遇明火、高热能引起燃烧爆炸。与氧化剂可发生反应。流速过快，容易产生和积聚静电。其蒸气比空气重，能在较低处扩散到相当远的地方，遇火源会着火回燃。若遇高热，有容器开裂和爆炸的危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灭火方法：尽可能将容器从火场移至空旷处。喷水保持火场容器冷却，直至灭火结束。处在火场中的容器若已变色或从安全泄压装置中产生声音，必须马上撤离。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灭火剂：雾状水、泡沫、干粉、二氧化碳、砂土。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毒理性质</w:t>
            </w: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LC</w:t>
            </w:r>
            <w:r>
              <w:rPr>
                <w:rFonts w:ascii="Times New Roman" w:hAnsi="Times New Roman" w:cs="Times New Roman" w:eastAsiaTheme="minorEastAsia"/>
                <w:color w:val="auto"/>
                <w:w w:val="99"/>
                <w:kern w:val="2"/>
                <w:sz w:val="21"/>
                <w:szCs w:val="21"/>
                <w:highlight w:val="none"/>
                <w:vertAlign w:val="subscript"/>
              </w:rPr>
              <w:t>50</w:t>
            </w:r>
            <w:r>
              <w:rPr>
                <w:rFonts w:ascii="Times New Roman" w:hAnsi="Times New Roman" w:cs="Times New Roman" w:eastAsiaTheme="minorEastAsia"/>
                <w:color w:val="auto"/>
                <w:w w:val="99"/>
                <w:kern w:val="2"/>
                <w:sz w:val="21"/>
                <w:szCs w:val="21"/>
                <w:highlight w:val="none"/>
              </w:rPr>
              <w:t>：＞5000mg/m</w:t>
            </w:r>
            <w:r>
              <w:rPr>
                <w:rFonts w:ascii="Times New Roman" w:hAnsi="Times New Roman" w:cs="Times New Roman" w:eastAsiaTheme="minorEastAsia"/>
                <w:color w:val="auto"/>
                <w:w w:val="99"/>
                <w:kern w:val="2"/>
                <w:sz w:val="21"/>
                <w:szCs w:val="21"/>
                <w:highlight w:val="none"/>
                <w:vertAlign w:val="superscript"/>
              </w:rPr>
              <w:t>3</w:t>
            </w:r>
            <w:r>
              <w:rPr>
                <w:rFonts w:ascii="Times New Roman" w:hAnsi="Times New Roman" w:cs="Times New Roman" w:eastAsiaTheme="minorEastAsia"/>
                <w:color w:val="auto"/>
                <w:w w:val="99"/>
                <w:kern w:val="2"/>
                <w:sz w:val="21"/>
                <w:szCs w:val="21"/>
                <w:highlight w:val="none"/>
              </w:rPr>
              <w:t>/4h</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LD</w:t>
            </w:r>
            <w:r>
              <w:rPr>
                <w:rFonts w:ascii="Times New Roman" w:hAnsi="Times New Roman" w:cs="Times New Roman" w:eastAsiaTheme="minorEastAsia"/>
                <w:color w:val="auto"/>
                <w:w w:val="99"/>
                <w:kern w:val="2"/>
                <w:sz w:val="21"/>
                <w:szCs w:val="21"/>
                <w:highlight w:val="none"/>
                <w:vertAlign w:val="subscript"/>
              </w:rPr>
              <w:t>50</w:t>
            </w:r>
            <w:r>
              <w:rPr>
                <w:rFonts w:ascii="Times New Roman" w:hAnsi="Times New Roman" w:cs="Times New Roman" w:eastAsiaTheme="minorEastAsia"/>
                <w:color w:val="auto"/>
                <w:w w:val="99"/>
                <w:kern w:val="2"/>
                <w:sz w:val="21"/>
                <w:szCs w:val="21"/>
                <w:highlight w:val="none"/>
              </w:rPr>
              <w:t>：7500mg/kg（大鼠经口）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环境危害：对环境有危害。对大气可造成污染。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健康危害</w:t>
            </w:r>
          </w:p>
        </w:tc>
        <w:tc>
          <w:tcPr>
            <w:tcW w:w="7995" w:type="dxa"/>
            <w:gridSpan w:val="3"/>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侵入途径：吸入、食入、皮肤吸收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健康危害：吸入该物质可能会引起对健康有害的影响或呼吸道不适。意外食入本品可能对个体健康有害。通过割伤、擦伤或病变处进入血液，可能产生全身损伤的有害作用。眼睛直接接触本品可导致暂时不适。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急救</w:t>
            </w:r>
          </w:p>
        </w:tc>
        <w:tc>
          <w:tcPr>
            <w:tcW w:w="7995" w:type="dxa"/>
            <w:gridSpan w:val="3"/>
            <w:vAlign w:val="center"/>
          </w:tcPr>
          <w:p>
            <w:pPr>
              <w:widowControl w:val="0"/>
              <w:autoSpaceDE w:val="0"/>
              <w:autoSpaceDN w:val="0"/>
              <w:adjustRightInd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 xml:space="preserve">皮肤接触：立即脱去污染的衣物。用大量肥皂水和清水冲洗皮肤。如有不适，就医。 </w:t>
            </w:r>
          </w:p>
          <w:p>
            <w:pPr>
              <w:widowControl w:val="0"/>
              <w:autoSpaceDE w:val="0"/>
              <w:autoSpaceDN w:val="0"/>
              <w:adjustRightInd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 xml:space="preserve">眼睛接触：用大量水彻底冲洗至少15分钟。如有不适，就医。 </w:t>
            </w:r>
          </w:p>
          <w:p>
            <w:pPr>
              <w:widowControl w:val="0"/>
              <w:autoSpaceDE w:val="0"/>
              <w:autoSpaceDN w:val="0"/>
              <w:adjustRightInd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 xml:space="preserve">吸入：立即将患者移到新鲜空气处，保持呼吸畅通。如果呼吸困难，给于吸氧。如食入或吸入，不得进行口对口人工呼吸。如呼吸停止。立即进行心肺复苏术。就医。 </w:t>
            </w:r>
          </w:p>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食入：禁止催吐，切勿给失去知觉者从嘴里喂食任何东西。立即呼叫医生或中毒控制中心。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泄漏处理</w:t>
            </w:r>
          </w:p>
        </w:tc>
        <w:tc>
          <w:tcPr>
            <w:tcW w:w="7995" w:type="dxa"/>
            <w:gridSpan w:val="3"/>
            <w:vAlign w:val="center"/>
          </w:tcPr>
          <w:p>
            <w:pPr>
              <w:widowControl w:val="0"/>
              <w:autoSpaceDE w:val="0"/>
              <w:autoSpaceDN w:val="0"/>
              <w:adjustRightInd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人员防护措施：避免吸入蒸气、接触皮肤和眼睛。谨防蒸气积累达到可爆炸的浓度。应急人员戴正压自给式呼吸器，穿防毒、防静电服，戴化学防渗透手套。清除所有点火源。迅速将人员撤离到安全区域，远离泄漏区域并处于上风方向。</w:t>
            </w:r>
          </w:p>
          <w:p>
            <w:pPr>
              <w:widowControl w:val="0"/>
              <w:autoSpaceDE w:val="0"/>
              <w:autoSpaceDN w:val="0"/>
              <w:adjustRightInd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环境保护措施：在确保安全的情况下，采取措施防止进一步的泄漏或溢出。避免排放到周围环境中。</w:t>
            </w:r>
          </w:p>
          <w:p>
            <w:pPr>
              <w:widowControl w:val="0"/>
              <w:autoSpaceDE w:val="0"/>
              <w:autoSpaceDN w:val="0"/>
              <w:adjustRightInd w:val="0"/>
              <w:spacing w:line="270" w:lineRule="exact"/>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 w:val="21"/>
                <w:szCs w:val="21"/>
                <w:highlight w:val="none"/>
              </w:rPr>
              <w:t>泄漏物收容、清除方法及处置材料：少量泄漏时，可采用干砂或惰性吸附材料吸收泄漏物，大量泄漏时需筑堤控制。附着物或收集物应存放在合适的密闭容器中，并根据相关法律法规废弃处置。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储运</w:t>
            </w:r>
          </w:p>
        </w:tc>
        <w:tc>
          <w:tcPr>
            <w:tcW w:w="7995" w:type="dxa"/>
            <w:gridSpan w:val="3"/>
            <w:vAlign w:val="center"/>
          </w:tcPr>
          <w:p>
            <w:pPr>
              <w:widowControl w:val="0"/>
              <w:autoSpaceDE w:val="0"/>
              <w:autoSpaceDN w:val="0"/>
              <w:adjustRightInd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装运车辆排气管必须配备阻火装置，禁止使用易产生火花的机械设备和工具装卸。运输途中应防曝晒、雨淋，防高温。运输时所用的槽（罐）车应有接地链，槽内可设孔隔板以减少震荡产生静电。</w:t>
            </w:r>
          </w:p>
        </w:tc>
      </w:tr>
    </w:tbl>
    <w:p>
      <w:pPr>
        <w:widowControl w:val="0"/>
        <w:spacing w:line="500" w:lineRule="exact"/>
        <w:ind w:firstLine="476" w:firstLineChars="200"/>
        <w:jc w:val="both"/>
        <w:rPr>
          <w:rFonts w:ascii="Times New Roman" w:hAnsi="Times New Roman" w:cs="Times New Roman" w:eastAsiaTheme="minorEastAsia"/>
          <w:b/>
          <w:bCs/>
          <w:color w:val="auto"/>
          <w:w w:val="99"/>
          <w:kern w:val="2"/>
          <w:szCs w:val="20"/>
          <w:highlight w:val="none"/>
        </w:rPr>
      </w:pPr>
      <w:r>
        <w:rPr>
          <w:rFonts w:ascii="Times New Roman" w:hAnsi="Times New Roman" w:cs="Times New Roman" w:eastAsiaTheme="minorEastAsia"/>
          <w:b/>
          <w:bCs/>
          <w:color w:val="auto"/>
          <w:w w:val="99"/>
          <w:kern w:val="2"/>
          <w:szCs w:val="20"/>
          <w:highlight w:val="none"/>
        </w:rPr>
        <w:t>表</w:t>
      </w:r>
      <w:r>
        <w:rPr>
          <w:rFonts w:ascii="Times New Roman" w:hAnsi="Times New Roman" w:cs="Times New Roman" w:eastAsiaTheme="minorEastAsia"/>
          <w:b/>
          <w:bCs/>
          <w:color w:val="auto"/>
          <w:w w:val="99"/>
          <w:kern w:val="2"/>
          <w:highlight w:val="none"/>
        </w:rPr>
        <w:t>5.8-4</w:t>
      </w:r>
      <w:r>
        <w:rPr>
          <w:rFonts w:ascii="Times New Roman" w:hAnsi="Times New Roman" w:cs="Times New Roman" w:eastAsiaTheme="minorEastAsia"/>
          <w:b/>
          <w:bCs/>
          <w:color w:val="auto"/>
          <w:w w:val="99"/>
          <w:kern w:val="2"/>
          <w:szCs w:val="20"/>
          <w:highlight w:val="none"/>
        </w:rPr>
        <w:t xml:space="preserve">                 氢氧化钾化学品安全技术说明书</w:t>
      </w:r>
    </w:p>
    <w:tbl>
      <w:tblPr>
        <w:tblStyle w:val="82"/>
        <w:tblW w:w="912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2127"/>
        <w:gridCol w:w="1844"/>
        <w:gridCol w:w="40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标识</w:t>
            </w:r>
          </w:p>
        </w:tc>
        <w:tc>
          <w:tcPr>
            <w:tcW w:w="3971" w:type="dxa"/>
            <w:gridSpan w:val="2"/>
            <w:vAlign w:val="center"/>
          </w:tcPr>
          <w:p>
            <w:pPr>
              <w:widowControl w:val="0"/>
              <w:autoSpaceDE w:val="0"/>
              <w:autoSpaceDN w:val="0"/>
              <w:adjustRightInd w:val="0"/>
              <w:snapToGrid w:val="0"/>
              <w:spacing w:line="340" w:lineRule="exact"/>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kern w:val="2"/>
                <w:sz w:val="21"/>
                <w:szCs w:val="21"/>
                <w:highlight w:val="none"/>
              </w:rPr>
              <w:t>中文名：氢氧化钾</w:t>
            </w:r>
          </w:p>
        </w:tc>
        <w:tc>
          <w:tcPr>
            <w:tcW w:w="4024" w:type="dxa"/>
            <w:vAlign w:val="center"/>
          </w:tcPr>
          <w:p>
            <w:pPr>
              <w:widowControl w:val="0"/>
              <w:autoSpaceDE w:val="0"/>
              <w:autoSpaceDN w:val="0"/>
              <w:adjustRightInd w:val="0"/>
              <w:snapToGrid w:val="0"/>
              <w:spacing w:line="340" w:lineRule="exact"/>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kern w:val="2"/>
                <w:sz w:val="21"/>
                <w:szCs w:val="21"/>
                <w:highlight w:val="none"/>
              </w:rPr>
              <w:t>英文名：potassium hydroxide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分子式：KOH</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分子量：56.11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2127"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危规号：82002</w:t>
            </w:r>
          </w:p>
        </w:tc>
        <w:tc>
          <w:tcPr>
            <w:tcW w:w="184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UN编号：1813</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CAS号：1310-58-3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理化特性</w:t>
            </w:r>
          </w:p>
        </w:tc>
        <w:tc>
          <w:tcPr>
            <w:tcW w:w="3971" w:type="dxa"/>
            <w:gridSpan w:val="2"/>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外观及性状：白色片状晶体，易潮解。</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溶解性：溶于水、乙醇，微溶于乙醚。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理化特性</w:t>
            </w:r>
          </w:p>
        </w:tc>
        <w:tc>
          <w:tcPr>
            <w:tcW w:w="3971" w:type="dxa"/>
            <w:gridSpan w:val="2"/>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熔点（</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）：360</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沸点（</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）：1320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相对密度（水=1）：2.04</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相对密度（空气=1）：无资料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饱和蒸气压（kPa）：0.13（719</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禁忌物：酸类、二氧化碳、过氧化物、水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临界压力（MPa）：无资料</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临界温度（</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稳定性：暴露在空气中吸收CO</w:t>
            </w:r>
            <w:r>
              <w:rPr>
                <w:rFonts w:ascii="Times New Roman" w:hAnsi="Times New Roman" w:cs="Times New Roman" w:eastAsiaTheme="minorEastAsia"/>
                <w:color w:val="auto"/>
                <w:w w:val="99"/>
                <w:kern w:val="2"/>
                <w:sz w:val="21"/>
                <w:szCs w:val="21"/>
                <w:highlight w:val="none"/>
                <w:vertAlign w:val="subscript"/>
              </w:rPr>
              <w:t>2</w:t>
            </w:r>
            <w:r>
              <w:rPr>
                <w:rFonts w:ascii="Times New Roman" w:hAnsi="Times New Roman" w:cs="Times New Roman" w:eastAsiaTheme="minorEastAsia"/>
                <w:color w:val="auto"/>
                <w:w w:val="99"/>
                <w:kern w:val="2"/>
                <w:sz w:val="21"/>
                <w:szCs w:val="21"/>
                <w:highlight w:val="none"/>
              </w:rPr>
              <w:t>转化为碳酸盐</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聚合危害：不聚合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危险特性</w:t>
            </w:r>
          </w:p>
        </w:tc>
        <w:tc>
          <w:tcPr>
            <w:tcW w:w="3971" w:type="dxa"/>
            <w:gridSpan w:val="2"/>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危险性类别：第8.2类碱性腐蚀品</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燃烧性：无资料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引燃温度（</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）：无资料</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闪点（</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爆炸上限（v%）：无资料</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爆炸下限（v%）：无资料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燃烧热（kJ/L）：无资料</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火灾危险类别：无资料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燃烧（分解）产物：无资料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危险特性：遇火会产生刺激性、毒性或腐蚀性的气体。加热时，容器可能爆炸。暴露于火中的容器可能会通过压力安全阀泄漏出内容物。受热或接触火焰可能会产生膨胀或爆炸性分解。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灭火方法：灭火时，应佩戴呼吸面具（符合MSHA/NIOSH要求的或相当的）并穿上全身防护服。在安全距离处、有充足防护的情况下灭火。防止消防水污染地表和地下水系统。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灭火剂: 水、砂土。但须防止物品遇水飞溅，造成灼伤。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毒理性质</w:t>
            </w:r>
          </w:p>
        </w:tc>
        <w:tc>
          <w:tcPr>
            <w:tcW w:w="3971" w:type="dxa"/>
            <w:gridSpan w:val="2"/>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LC</w:t>
            </w:r>
            <w:r>
              <w:rPr>
                <w:rFonts w:ascii="Times New Roman" w:hAnsi="Times New Roman" w:cs="Times New Roman" w:eastAsiaTheme="minorEastAsia"/>
                <w:color w:val="auto"/>
                <w:w w:val="99"/>
                <w:kern w:val="2"/>
                <w:sz w:val="21"/>
                <w:szCs w:val="21"/>
                <w:highlight w:val="none"/>
                <w:vertAlign w:val="subscript"/>
              </w:rPr>
              <w:t>50</w:t>
            </w:r>
            <w:r>
              <w:rPr>
                <w:rFonts w:ascii="Times New Roman" w:hAnsi="Times New Roman" w:cs="Times New Roman" w:eastAsiaTheme="minorEastAsia"/>
                <w:color w:val="auto"/>
                <w:w w:val="99"/>
                <w:kern w:val="2"/>
                <w:sz w:val="21"/>
                <w:szCs w:val="21"/>
                <w:highlight w:val="none"/>
              </w:rPr>
              <w:t>：无资料</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LD</w:t>
            </w:r>
            <w:r>
              <w:rPr>
                <w:rFonts w:ascii="Times New Roman" w:hAnsi="Times New Roman" w:cs="Times New Roman" w:eastAsiaTheme="minorEastAsia"/>
                <w:color w:val="auto"/>
                <w:w w:val="99"/>
                <w:kern w:val="2"/>
                <w:sz w:val="21"/>
                <w:szCs w:val="21"/>
                <w:highlight w:val="none"/>
                <w:vertAlign w:val="subscript"/>
              </w:rPr>
              <w:t>50</w:t>
            </w:r>
            <w:r>
              <w:rPr>
                <w:rFonts w:ascii="Times New Roman" w:hAnsi="Times New Roman" w:cs="Times New Roman" w:eastAsiaTheme="minorEastAsia"/>
                <w:color w:val="auto"/>
                <w:w w:val="99"/>
                <w:kern w:val="2"/>
                <w:sz w:val="21"/>
                <w:szCs w:val="21"/>
                <w:highlight w:val="none"/>
              </w:rPr>
              <w:t>：273mg/kg（大鼠经口）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生物毒性：TLM：80ppm（96h，食蚊鱼）。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健康危害</w:t>
            </w:r>
          </w:p>
        </w:tc>
        <w:tc>
          <w:tcPr>
            <w:tcW w:w="7995" w:type="dxa"/>
            <w:gridSpan w:val="3"/>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侵入途径：吸入、食入、皮肤吸收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健康危害：吸入能引起呼吸道刺激，伴有咳嗽、呼吸道阻塞和粘膜损伤；食入可引起食道、胃肠道灼伤。皮肤接触造成严重皮肤灼伤。眼睛接触能造成严重化学灼伤，甚至造成永久性失明。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急救</w:t>
            </w:r>
          </w:p>
        </w:tc>
        <w:tc>
          <w:tcPr>
            <w:tcW w:w="7995" w:type="dxa"/>
            <w:gridSpan w:val="3"/>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 xml:space="preserve">皮肤接触：立即脱去污染的衣物，用大量清水冲洗皮肤，就医。 </w:t>
            </w:r>
          </w:p>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 xml:space="preserve">眼睛接触：用大量清水或生理盐水彻底冲洗至少15min，就医。 </w:t>
            </w:r>
          </w:p>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 xml:space="preserve">吸入：立即移到新鲜空气处，保持呼吸畅通。如果呼吸困难，给于吸氧。立即就医。 </w:t>
            </w:r>
          </w:p>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食入：用水漱口，给饮牛奶或蛋清。立即呼叫医生或中毒控制中心。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泄漏处理</w:t>
            </w:r>
          </w:p>
        </w:tc>
        <w:tc>
          <w:tcPr>
            <w:tcW w:w="7995" w:type="dxa"/>
            <w:gridSpan w:val="3"/>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迅速将人员撤离到安全区域，远离泄漏区域并处于上风方向。使用个人防护装备。避免吸入蒸气、烟雾、气体或风尘。</w:t>
            </w:r>
          </w:p>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在确保安全的情况下，采取措施防止进一步的泄漏或溢出。避免排放到周围环境中。</w:t>
            </w:r>
          </w:p>
          <w:p>
            <w:pPr>
              <w:widowControl w:val="0"/>
              <w:spacing w:line="340" w:lineRule="exact"/>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 w:val="21"/>
                <w:szCs w:val="21"/>
                <w:highlight w:val="none"/>
              </w:rPr>
              <w:t>泄漏物采取中和、稀释、收集、回收，运至危险废物处置场所处理与处置。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储运</w:t>
            </w:r>
          </w:p>
        </w:tc>
        <w:tc>
          <w:tcPr>
            <w:tcW w:w="7995" w:type="dxa"/>
            <w:gridSpan w:val="3"/>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运输时运输车辆应配备相应品种和数量的消防器材及泄漏应急处理设备。运输前应先检查包装容器是否完整、密封。运输工具上应根据相关运输要求张贴危险标志、公告。</w:t>
            </w:r>
          </w:p>
        </w:tc>
      </w:tr>
    </w:tbl>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从上述物质毒性角度分析，本项目所涉及主要物料中，氢氧化钾属于健康危险急性毒性物质类别3，毒性级别最高。其毒性主要体现在氢氧化钾所具有的强腐蚀性，表现在对生物体具有强腐蚀、灼伤作用。</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
          <w:szCs w:val="20"/>
          <w:highlight w:val="none"/>
        </w:rPr>
        <w:t>从燃烧特性来看，项目井场涉及的柴油、石油、天然气属易燃、可燃物质，泄漏、井喷事故遇明火均有发生火灾、爆炸风险事故可能性。</w:t>
      </w:r>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5.8.1.2环境风险源识别</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钻井施工过程的环境风险来自钻井过程中可能发生井喷事故、套管破损、井漏等风险事故。</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（1）井喷事故成因</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当钻井作业进入地下含气层后，存在发生气涌井喷事故的可能性。分析其形成井喷事故因素如下：</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hint="eastAsia"/>
          <w:color w:val="auto"/>
          <w:w w:val="99"/>
          <w:kern w:val="2"/>
          <w:szCs w:val="20"/>
          <w:highlight w:val="none"/>
        </w:rPr>
        <w:t>①</w:t>
      </w:r>
      <w:r>
        <w:rPr>
          <w:rFonts w:ascii="Times New Roman" w:hAnsi="Times New Roman" w:cs="Times New Roman" w:eastAsiaTheme="minorEastAsia"/>
          <w:color w:val="auto"/>
          <w:w w:val="99"/>
          <w:kern w:val="2"/>
          <w:szCs w:val="20"/>
          <w:highlight w:val="none"/>
        </w:rPr>
        <w:t>地质设计未能提供准确的底层孔隙压力资料，井身结构设计不合理，设计时未能正确地预测油、气层的位置，导致在钻井过程中对高压层位压力估计不足，可能发生井喷。</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hint="eastAsia"/>
          <w:color w:val="auto"/>
          <w:w w:val="99"/>
          <w:kern w:val="2"/>
          <w:szCs w:val="20"/>
          <w:highlight w:val="none"/>
        </w:rPr>
        <w:t>②</w:t>
      </w:r>
      <w:r>
        <w:rPr>
          <w:rFonts w:ascii="Times New Roman" w:hAnsi="Times New Roman" w:cs="Times New Roman" w:eastAsiaTheme="minorEastAsia"/>
          <w:color w:val="auto"/>
          <w:w w:val="99"/>
          <w:kern w:val="2"/>
          <w:szCs w:val="20"/>
          <w:highlight w:val="none"/>
        </w:rPr>
        <w:t>操作失误，起钻抽吸。钻井达到穿油、气层段，起钻速度太快，产生抽吸作用，将油、气抽出来；或起钻时没有及时灌入泥浆，液面降低，泥浆柱压力下降；地面除气设备效率低，未及时采取措施消除泥浆中滞留的气体，重复循环，气蚀严重等原因而发生井喷失控。</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hint="eastAsia"/>
          <w:color w:val="auto"/>
          <w:w w:val="99"/>
          <w:kern w:val="2"/>
          <w:szCs w:val="20"/>
          <w:highlight w:val="none"/>
        </w:rPr>
        <w:t>③</w:t>
      </w:r>
      <w:r>
        <w:rPr>
          <w:rFonts w:ascii="Times New Roman" w:hAnsi="Times New Roman" w:cs="Times New Roman" w:eastAsiaTheme="minorEastAsia"/>
          <w:color w:val="auto"/>
          <w:w w:val="99"/>
          <w:kern w:val="2"/>
          <w:szCs w:val="20"/>
          <w:highlight w:val="none"/>
        </w:rPr>
        <w:t>机械故障。钻入油、气层时发生井下事故（断钻具、卡钻）或地面设备发生故障，泥浆静止时间过长，压力降低发生失控。</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hint="eastAsia"/>
          <w:color w:val="auto"/>
          <w:w w:val="99"/>
          <w:kern w:val="2"/>
          <w:szCs w:val="20"/>
          <w:highlight w:val="none"/>
        </w:rPr>
        <w:t>④</w:t>
      </w:r>
      <w:r>
        <w:rPr>
          <w:rFonts w:ascii="Times New Roman" w:hAnsi="Times New Roman" w:cs="Times New Roman" w:eastAsiaTheme="minorEastAsia"/>
          <w:color w:val="auto"/>
          <w:w w:val="99"/>
          <w:kern w:val="2"/>
          <w:szCs w:val="20"/>
          <w:highlight w:val="none"/>
        </w:rPr>
        <w:t>井口防喷器不符合要求，节流管汇和放喷管线的安装不符合技术要求，当发生井喷时无法控制。</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hint="eastAsia"/>
          <w:color w:val="auto"/>
          <w:w w:val="99"/>
          <w:kern w:val="2"/>
          <w:szCs w:val="20"/>
          <w:highlight w:val="none"/>
        </w:rPr>
        <w:t>⑤</w:t>
      </w:r>
      <w:r>
        <w:rPr>
          <w:rFonts w:ascii="Times New Roman" w:hAnsi="Times New Roman" w:cs="Times New Roman" w:eastAsiaTheme="minorEastAsia"/>
          <w:color w:val="auto"/>
          <w:w w:val="99"/>
          <w:kern w:val="2"/>
          <w:szCs w:val="20"/>
          <w:highlight w:val="none"/>
        </w:rPr>
        <w:t>钻井过程中遇漏失层段，发生井漏未能及时处理或处理事故中措施不当。</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hint="eastAsia"/>
          <w:color w:val="auto"/>
          <w:w w:val="99"/>
          <w:kern w:val="2"/>
          <w:szCs w:val="20"/>
          <w:highlight w:val="none"/>
        </w:rPr>
        <w:t>⑥</w:t>
      </w:r>
      <w:r>
        <w:rPr>
          <w:rFonts w:ascii="Times New Roman" w:hAnsi="Times New Roman" w:cs="Times New Roman" w:eastAsiaTheme="minorEastAsia"/>
          <w:color w:val="auto"/>
          <w:w w:val="99"/>
          <w:kern w:val="2"/>
          <w:szCs w:val="20"/>
          <w:highlight w:val="none"/>
        </w:rPr>
        <w:t>在钻井中不能及时发现溢流，或发生溢流后处理措施不当，造成失控。</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hint="eastAsia"/>
          <w:color w:val="auto"/>
          <w:w w:val="99"/>
          <w:kern w:val="2"/>
          <w:szCs w:val="20"/>
          <w:highlight w:val="none"/>
        </w:rPr>
        <w:t>⑦</w:t>
      </w:r>
      <w:r>
        <w:rPr>
          <w:rFonts w:ascii="Times New Roman" w:hAnsi="Times New Roman" w:cs="Times New Roman" w:eastAsiaTheme="minorEastAsia"/>
          <w:color w:val="auto"/>
          <w:w w:val="99"/>
          <w:kern w:val="2"/>
          <w:szCs w:val="20"/>
          <w:highlight w:val="none"/>
        </w:rPr>
        <w:t>泥浆密度偏低。当钻遇地下高压油、气、水层时，泥浆柱压力下降不足以平衡地下油、气时而发生井喷失控。</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hint="eastAsia"/>
          <w:color w:val="auto"/>
          <w:w w:val="99"/>
          <w:kern w:val="2"/>
          <w:szCs w:val="20"/>
          <w:highlight w:val="none"/>
        </w:rPr>
        <w:t>⑧</w:t>
      </w:r>
      <w:r>
        <w:rPr>
          <w:rFonts w:ascii="Times New Roman" w:hAnsi="Times New Roman" w:cs="Times New Roman" w:eastAsiaTheme="minorEastAsia"/>
          <w:color w:val="auto"/>
          <w:w w:val="99"/>
          <w:kern w:val="2"/>
          <w:szCs w:val="20"/>
          <w:highlight w:val="none"/>
        </w:rPr>
        <w:t>当发生地震等自然因素导致的灾害时，可能发生井喷事故。</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该项目开发的油层原始地层压力较低，而且在钻井时采用了防喷井控措施后，发生井喷的概率很小。</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（2）套管破损因素</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在钻井过程中造成套损的因素有地质因素和套管质量不合格。当泥岩性质较不稳定，在高温高压下能产生蠕变，在有水侵入时易膨胀，当泥岩含水10%以上时，泥岩拥有较高的塑性，几乎将全部上覆岩压转移到套管，使其变形损坏，泥岩的水来源是钻井过程中的泥浆失水。套管质量不合格主要表现在管壁厚薄不均或壁厚达不到要求，管体和接箍有裂纹、内痕，管子存在不圆度，造成套管使用寿命不长。另外，由于螺纹加工精度不高，造成丝扣不密封，套管内外气体与液体由于压力不同互相串通，长期作用后，扩大了丝扣的孔隙，导致套管损坏，套管破损几率为7.2×10</w:t>
      </w:r>
      <w:r>
        <w:rPr>
          <w:rFonts w:ascii="Times New Roman" w:hAnsi="Times New Roman" w:cs="Times New Roman" w:eastAsiaTheme="minorEastAsia"/>
          <w:color w:val="auto"/>
          <w:w w:val="99"/>
          <w:kern w:val="2"/>
          <w:szCs w:val="20"/>
          <w:highlight w:val="none"/>
          <w:vertAlign w:val="superscript"/>
        </w:rPr>
        <w:t>-6</w:t>
      </w:r>
      <w:r>
        <w:rPr>
          <w:rFonts w:ascii="Times New Roman" w:hAnsi="Times New Roman" w:cs="Times New Roman" w:eastAsiaTheme="minorEastAsia"/>
          <w:color w:val="auto"/>
          <w:w w:val="99"/>
          <w:kern w:val="2"/>
          <w:szCs w:val="20"/>
          <w:highlight w:val="none"/>
        </w:rPr>
        <w:t>m/a，发生事故可能性很小。</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（3）井漏因素</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井漏是钻井过程中遇到复杂地层，钻井泥浆或其他介质（固井水泥浆等）漏入地层孔隙、裂缝等空间的现象。若漏失地层与含水层之间存在较多的断裂或裂隙，漏失的钻井液就有可能顺着岩层断裂、裂隙进入高渗地层地下水，造成地下水污染。</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（4）柴油储罐泄漏因素</w:t>
      </w:r>
    </w:p>
    <w:p>
      <w:pPr>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柴油储罐因腐蚀、人为误操作等因素而出现油管、法兰、阀门、罐体破损，将出现柴油泄漏事故，事故可能诱发火灾、爆炸事故。</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（5）KOH泄漏因素</w:t>
      </w:r>
    </w:p>
    <w:p>
      <w:pPr>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钻井液配置阶段人为误操作等因素导致KOH泄漏，污染土壤及地下水。</w:t>
      </w:r>
    </w:p>
    <w:p>
      <w:pPr>
        <w:pStyle w:val="7"/>
        <w:keepNext w:val="0"/>
        <w:keepLines w:val="0"/>
        <w:widowControl w:val="0"/>
        <w:jc w:val="both"/>
        <w:rPr>
          <w:b/>
          <w:color w:val="auto"/>
          <w:w w:val="99"/>
          <w:kern w:val="2"/>
          <w:sz w:val="24"/>
          <w:szCs w:val="24"/>
          <w:highlight w:val="none"/>
        </w:rPr>
      </w:pPr>
      <w:bookmarkStart w:id="1121" w:name="_Toc74812177"/>
      <w:bookmarkStart w:id="1122" w:name="_Toc77667390"/>
      <w:bookmarkStart w:id="1123" w:name="_Toc71372032"/>
      <w:bookmarkStart w:id="1124" w:name="_Toc61597313"/>
      <w:bookmarkStart w:id="1125" w:name="_Toc67523684"/>
      <w:bookmarkStart w:id="1126" w:name="_Toc80105246"/>
      <w:bookmarkStart w:id="1127" w:name="_Toc69690902"/>
      <w:bookmarkStart w:id="1128" w:name="_Toc74812416"/>
      <w:r>
        <w:rPr>
          <w:b/>
          <w:color w:val="auto"/>
          <w:w w:val="99"/>
          <w:kern w:val="2"/>
          <w:sz w:val="24"/>
          <w:szCs w:val="24"/>
          <w:highlight w:val="none"/>
        </w:rPr>
        <w:t>5.8.2环境风险分析</w:t>
      </w:r>
      <w:bookmarkEnd w:id="1121"/>
      <w:bookmarkEnd w:id="1122"/>
      <w:bookmarkEnd w:id="1123"/>
      <w:bookmarkEnd w:id="1124"/>
      <w:bookmarkEnd w:id="1125"/>
      <w:bookmarkEnd w:id="1126"/>
      <w:bookmarkEnd w:id="1127"/>
      <w:bookmarkEnd w:id="1128"/>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5.8.2.1对大气环境影响分析</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原油</w:t>
      </w:r>
      <w:r>
        <w:rPr>
          <w:rFonts w:hint="eastAsia" w:ascii="Times New Roman" w:hAnsi="Times New Roman" w:cs="Times New Roman" w:eastAsiaTheme="minorEastAsia"/>
          <w:color w:val="auto"/>
          <w:w w:val="99"/>
          <w:kern w:val="21"/>
          <w:szCs w:val="20"/>
          <w:highlight w:val="none"/>
          <w:lang w:eastAsia="zh-CN"/>
        </w:rPr>
        <w:t>井喷</w:t>
      </w:r>
      <w:r>
        <w:rPr>
          <w:rFonts w:ascii="Times New Roman" w:hAnsi="Times New Roman" w:cs="Times New Roman" w:eastAsiaTheme="minorEastAsia"/>
          <w:color w:val="auto"/>
          <w:w w:val="99"/>
          <w:kern w:val="21"/>
          <w:szCs w:val="20"/>
          <w:highlight w:val="none"/>
        </w:rPr>
        <w:t>事故会直接对大气环境带来影响，污染物量较大的主要为烃类气体。事故时原油泄漏将导致局部大气中总烃浓度可比正常情况高出数倍甚至数十倍，对大气环境造成短时的严重污染。若遇明火，引发的火灾事故可在短时间内产生大量燃烧烟气，对大气环境造成短时的严重污染。由于本地区所处地势平坦，扩散条件好，一次性事故形成的局部大气污染在一定的气象条件下聚集成高浓度的可能性较小，对周围大气环境的影响不会太严重。</w:t>
      </w:r>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5.8.2.2对地表水环境影响分析</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default" w:ascii="Times New Roman" w:hAnsi="Times New Roman" w:cs="Times New Roman" w:eastAsiaTheme="minorEastAsia"/>
          <w:color w:val="auto"/>
          <w:w w:val="99"/>
          <w:kern w:val="21"/>
          <w:szCs w:val="20"/>
          <w:highlight w:val="none"/>
          <w:lang w:val="en-US" w:eastAsia="zh-CN"/>
        </w:rPr>
        <w:t>项目周边无地表水体</w:t>
      </w:r>
      <w:r>
        <w:rPr>
          <w:rFonts w:ascii="Times New Roman" w:hAnsi="Times New Roman" w:cs="Times New Roman" w:eastAsiaTheme="minorEastAsia"/>
          <w:color w:val="auto"/>
          <w:w w:val="99"/>
          <w:kern w:val="21"/>
          <w:szCs w:val="20"/>
          <w:highlight w:val="none"/>
        </w:rPr>
        <w:t>，若发生井喷等事故可能造成钻井泥浆或原油随地表径流进入附近水体，钻井泥浆可能造成水体中pH、含盐量等变化，原油进入水体可能造成地表水水质及沿岸生态环境造成破坏，溶入水中的石油类组份对水生生物有直接的危害。</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为预防可能发生井喷事故，避免造成地表水污染。事故情况下，应迅速在井喷点周围修筑围堤，防止污油扩散。同时组织人员抢修，抢修结束后，清理现场，避免造成环境污染。</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由于本项目所在区地层压力较低，要靠注水驱动和抽油机采油，并且在钻井作业中采取了相应的井控防喷措施，一般不会发生井喷事故。如发生井喷事故，一般采取井喷发生后应在油井周围设土堤以防止原油任意流淌，在加强巡视并完善环境风险防范措施的前提下，发生污染地表水的环境风险事故发生的概率是极小的。</w:t>
      </w:r>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5.8.2.3对地下水环境影响分析</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bookmarkStart w:id="1129" w:name="_Toc11047936"/>
      <w:r>
        <w:rPr>
          <w:rFonts w:ascii="Times New Roman" w:hAnsi="Times New Roman" w:cs="Times New Roman" w:eastAsiaTheme="minorEastAsia"/>
          <w:color w:val="auto"/>
          <w:w w:val="99"/>
          <w:kern w:val="21"/>
          <w:szCs w:val="20"/>
          <w:highlight w:val="none"/>
        </w:rPr>
        <w:t>（1）套管破损对地下水环境的影响</w:t>
      </w:r>
      <w:bookmarkEnd w:id="1129"/>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事故状态下对地下水的环境影响主要为套管发生破裂发生泄漏。由于井管是由不同长度的节管连接而成，容易在节点处发生破损。根据大庆油田生产实际统计，套管破损的机率一般为万分之一至五万分之一，破损在某一固定结点的机率约为百分之一，则套损泄漏污染地下水的最大概率约为二百万分之一。可见，套管破损的情况虽然存在，但经过层层防护，危险逐级递减，破损后最终发生气水串层或是油气直接泄漏到含水层造成污染的概率并不大。</w:t>
      </w:r>
      <w:bookmarkStart w:id="1130" w:name="_Toc11047940"/>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（2）井漏对地下水环境的影响</w:t>
      </w:r>
      <w:bookmarkEnd w:id="1130"/>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bookmarkStart w:id="1131" w:name="_Toc11047941"/>
      <w:r>
        <w:rPr>
          <w:rFonts w:ascii="Times New Roman" w:hAnsi="Times New Roman" w:cs="Times New Roman" w:eastAsiaTheme="minorEastAsia"/>
          <w:color w:val="auto"/>
          <w:w w:val="99"/>
          <w:kern w:val="21"/>
          <w:szCs w:val="20"/>
          <w:highlight w:val="none"/>
        </w:rPr>
        <w:t>井漏是钻井过程中遇到复杂地层，钻井泥浆漏入地层孔隙、裂缝等空间的现象。若漏失地层与含水层之间存在较多的断裂或裂隙，漏失的钻井泥浆就有可能顺着岩层断裂、裂隙进入地下水，造成地下水污染。</w:t>
      </w:r>
      <w:bookmarkEnd w:id="1131"/>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bookmarkStart w:id="1132" w:name="_Toc11047942"/>
      <w:r>
        <w:rPr>
          <w:rFonts w:ascii="Times New Roman" w:hAnsi="Times New Roman" w:cs="Times New Roman" w:eastAsiaTheme="minorEastAsia"/>
          <w:color w:val="auto"/>
          <w:w w:val="99"/>
          <w:kern w:val="21"/>
          <w:szCs w:val="20"/>
          <w:highlight w:val="none"/>
        </w:rPr>
        <w:t>本工程采用钾盐共聚物水基钻井泥浆中有害成分为盐类、化学添加剂，高分子有机化合物经生物降解后产生的低分子有机化合物和碱性物质，有害成分进入含水层会对地下水造成污染。由钻井液各主要成分其理化性质表可知，泥浆中均为低毒或无毒的助剂且用量较少，可以减轻事故时泄漏对地下水的污染程度。</w:t>
      </w:r>
      <w:bookmarkEnd w:id="1132"/>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bookmarkStart w:id="1133" w:name="_Toc11047943"/>
      <w:r>
        <w:rPr>
          <w:rFonts w:ascii="Times New Roman" w:hAnsi="Times New Roman" w:cs="Times New Roman" w:eastAsiaTheme="minorEastAsia"/>
          <w:color w:val="auto"/>
          <w:w w:val="99"/>
          <w:kern w:val="21"/>
          <w:szCs w:val="20"/>
          <w:highlight w:val="none"/>
        </w:rPr>
        <w:t>本工程表层套管下至潜水层底界以下10m，在套管的保护下能有效地保护浅层地下水；每开钻井结束后通过固井作业封隔地层与套管之间的环形空间，也可降低污染物进入地层的风险；在钻井过程对泥浆进行实时监测，一旦有漏失发生，立即采取堵漏措施。施工区块集中储备随钻堵漏剂40~60t，以备井漏发生时应急使用，堵漏剂由多种天然植物、腐植酸盐、羧甲基纤维素等多种高份子化合物复配而成，属于清洁、无毒、对人体无害、无环境污染的种类。因此，事故状态下泥浆泄漏对地下水环境影响较小。</w:t>
      </w:r>
      <w:bookmarkEnd w:id="1133"/>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bookmarkStart w:id="1134" w:name="_Toc11047944"/>
      <w:r>
        <w:rPr>
          <w:rFonts w:ascii="Times New Roman" w:hAnsi="Times New Roman" w:cs="Times New Roman" w:eastAsiaTheme="minorEastAsia"/>
          <w:color w:val="auto"/>
          <w:w w:val="99"/>
          <w:kern w:val="21"/>
          <w:szCs w:val="20"/>
          <w:highlight w:val="none"/>
        </w:rPr>
        <w:t>（3）柴油罐、KOH泄漏对地下水影响分析</w:t>
      </w:r>
      <w:bookmarkEnd w:id="1134"/>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bookmarkStart w:id="1135" w:name="_Toc11047945"/>
      <w:r>
        <w:rPr>
          <w:rFonts w:ascii="Times New Roman" w:hAnsi="Times New Roman" w:cs="Times New Roman" w:eastAsiaTheme="minorEastAsia"/>
          <w:color w:val="auto"/>
          <w:w w:val="99"/>
          <w:kern w:val="21"/>
          <w:szCs w:val="20"/>
          <w:highlight w:val="none"/>
        </w:rPr>
        <w:t>本工程使用的柴油在井场柴油罐中储存，存在柴油罐破裂导致柴油泄漏的可能性。本工程采取了罐体在工程设计上提高设计强度、加强防腐等预防措施；罐体安装前，加强对设备、管材焊接质量的检查，严禁使用不合格产品；对罐体进行水压试验，对焊接质量严格检验，防止焊接缺陷造成泄漏事故的发生，从而增加罐体的安全性；建立自动控制系统依托，实现对罐体的参数控制、泄漏检测；柴油罐区进行重点防渗处理，</w:t>
      </w:r>
      <w:r>
        <w:rPr>
          <w:rFonts w:ascii="Times New Roman" w:hAnsi="Times New Roman" w:cs="Times New Roman" w:eastAsiaTheme="minorEastAsia"/>
          <w:bCs/>
          <w:color w:val="auto"/>
          <w:w w:val="99"/>
          <w:kern w:val="21"/>
          <w:szCs w:val="20"/>
          <w:highlight w:val="none"/>
        </w:rPr>
        <w:t>采用地面碾压平整并铺设2mm厚防渗土工布进行防渗，渗透系数</w:t>
      </w:r>
      <w:r>
        <w:rPr>
          <w:rFonts w:hint="eastAsia" w:ascii="Times New Roman" w:hAnsi="Times New Roman" w:cs="Times New Roman" w:eastAsiaTheme="minorEastAsia"/>
          <w:bCs/>
          <w:color w:val="auto"/>
          <w:w w:val="99"/>
          <w:kern w:val="21"/>
          <w:szCs w:val="20"/>
          <w:highlight w:val="none"/>
        </w:rPr>
        <w:t>为</w:t>
      </w:r>
      <w:r>
        <w:rPr>
          <w:rFonts w:ascii="Times New Roman" w:hAnsi="Times New Roman" w:cs="Times New Roman" w:eastAsiaTheme="minorEastAsia"/>
          <w:bCs/>
          <w:color w:val="auto"/>
          <w:w w:val="99"/>
          <w:kern w:val="21"/>
          <w:szCs w:val="20"/>
          <w:highlight w:val="none"/>
        </w:rPr>
        <w:t>1×10</w:t>
      </w:r>
      <w:r>
        <w:rPr>
          <w:rFonts w:ascii="Times New Roman" w:hAnsi="Times New Roman" w:cs="Times New Roman" w:eastAsiaTheme="minorEastAsia"/>
          <w:bCs/>
          <w:color w:val="auto"/>
          <w:w w:val="99"/>
          <w:kern w:val="21"/>
          <w:szCs w:val="20"/>
          <w:highlight w:val="none"/>
          <w:vertAlign w:val="superscript"/>
        </w:rPr>
        <w:t>-10</w:t>
      </w:r>
      <w:r>
        <w:rPr>
          <w:rFonts w:ascii="Times New Roman" w:hAnsi="Times New Roman" w:cs="Times New Roman" w:eastAsiaTheme="minorEastAsia"/>
          <w:bCs/>
          <w:color w:val="auto"/>
          <w:w w:val="99"/>
          <w:kern w:val="21"/>
          <w:szCs w:val="20"/>
          <w:highlight w:val="none"/>
        </w:rPr>
        <w:t>cm/s</w:t>
      </w:r>
      <w:r>
        <w:rPr>
          <w:rFonts w:ascii="Times New Roman" w:hAnsi="Times New Roman" w:cs="Times New Roman" w:eastAsiaTheme="minorEastAsia"/>
          <w:color w:val="auto"/>
          <w:w w:val="99"/>
          <w:kern w:val="21"/>
          <w:szCs w:val="20"/>
          <w:highlight w:val="none"/>
        </w:rPr>
        <w:t>；钻井液材料房进行一般防渗处理，</w:t>
      </w:r>
      <w:r>
        <w:rPr>
          <w:rFonts w:ascii="Times New Roman" w:hAnsi="Times New Roman" w:cs="Times New Roman" w:eastAsiaTheme="minorEastAsia"/>
          <w:bCs/>
          <w:color w:val="auto"/>
          <w:w w:val="99"/>
          <w:kern w:val="21"/>
          <w:szCs w:val="20"/>
          <w:highlight w:val="none"/>
        </w:rPr>
        <w:t>采用1.5m厚黏土防渗层，渗透系数</w:t>
      </w:r>
      <w:r>
        <w:rPr>
          <w:rFonts w:hint="eastAsia" w:ascii="Times New Roman" w:hAnsi="Times New Roman" w:cs="Times New Roman" w:eastAsiaTheme="minorEastAsia"/>
          <w:bCs/>
          <w:color w:val="auto"/>
          <w:w w:val="99"/>
          <w:kern w:val="21"/>
          <w:szCs w:val="20"/>
          <w:highlight w:val="none"/>
        </w:rPr>
        <w:t>为</w:t>
      </w:r>
      <w:r>
        <w:rPr>
          <w:rFonts w:ascii="Times New Roman" w:hAnsi="Times New Roman" w:cs="Times New Roman" w:eastAsiaTheme="minorEastAsia"/>
          <w:bCs/>
          <w:color w:val="auto"/>
          <w:w w:val="99"/>
          <w:kern w:val="21"/>
          <w:szCs w:val="20"/>
          <w:highlight w:val="none"/>
        </w:rPr>
        <w:t>1.0×10</w:t>
      </w:r>
      <w:r>
        <w:rPr>
          <w:rFonts w:ascii="Times New Roman" w:hAnsi="Times New Roman" w:cs="Times New Roman" w:eastAsiaTheme="minorEastAsia"/>
          <w:bCs/>
          <w:color w:val="auto"/>
          <w:w w:val="99"/>
          <w:kern w:val="21"/>
          <w:szCs w:val="20"/>
          <w:highlight w:val="none"/>
          <w:vertAlign w:val="superscript"/>
        </w:rPr>
        <w:t>-7</w:t>
      </w:r>
      <w:r>
        <w:rPr>
          <w:rFonts w:ascii="Times New Roman" w:hAnsi="Times New Roman" w:cs="Times New Roman" w:eastAsiaTheme="minorEastAsia"/>
          <w:bCs/>
          <w:color w:val="auto"/>
          <w:w w:val="99"/>
          <w:kern w:val="21"/>
          <w:szCs w:val="20"/>
          <w:highlight w:val="none"/>
        </w:rPr>
        <w:t>cm/s</w:t>
      </w:r>
      <w:r>
        <w:rPr>
          <w:rFonts w:ascii="Times New Roman" w:hAnsi="Times New Roman" w:cs="Times New Roman" w:eastAsiaTheme="minorEastAsia"/>
          <w:color w:val="auto"/>
          <w:w w:val="99"/>
          <w:kern w:val="21"/>
          <w:szCs w:val="20"/>
          <w:highlight w:val="none"/>
        </w:rPr>
        <w:t>。通过采取上述措施之后，根据以往工程经验可知，柴油罐、KOH泄漏的可能性很小，且由于油田开发区地表以下5-8m 土层均为渗水作用很小的粉质粘土层，隔水作用较好，因此不会对地下水产生大的影响。</w:t>
      </w:r>
      <w:bookmarkEnd w:id="1135"/>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（4）对土壤环境的影响</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原油泄漏渗入土壤孔隙，会降低土壤的通透性，抑制土壤中酶活性，使土壤生物减少。一般而言，原油集中于土壤表层 0～30cm的范围内，使得根系分布于此深度的植物不能生长。石油类对土壤的污染，可使土地肥力下降，改变土壤的理化性质，影响局部区域土壤正常的结构和功能。</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（5）对生态环境的影响</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事故性原油的大规模泄漏可影响植被的生态环境，危害植物生长。其危害最显著的表现为植物，原油黏附于枝叶，阻止植物进行光合作用，可使植物枯萎死亡；在土壤中粘附于植物根系，可阻止植物吸收水分和矿物质而死亡。原油泄漏可引起原生植被生态系统退化，次生植被生态系统的演替。</w:t>
      </w:r>
    </w:p>
    <w:p>
      <w:pPr>
        <w:pStyle w:val="7"/>
        <w:keepNext w:val="0"/>
        <w:keepLines w:val="0"/>
        <w:widowControl w:val="0"/>
        <w:jc w:val="both"/>
        <w:rPr>
          <w:b/>
          <w:color w:val="auto"/>
          <w:w w:val="99"/>
          <w:kern w:val="2"/>
          <w:sz w:val="24"/>
          <w:szCs w:val="24"/>
          <w:highlight w:val="none"/>
        </w:rPr>
      </w:pPr>
      <w:bookmarkStart w:id="1136" w:name="_Toc61597315"/>
      <w:bookmarkStart w:id="1137" w:name="_Toc69690904"/>
      <w:bookmarkStart w:id="1138" w:name="_Toc74812418"/>
      <w:bookmarkStart w:id="1139" w:name="_Toc71372034"/>
      <w:bookmarkStart w:id="1140" w:name="_Toc67523686"/>
      <w:bookmarkStart w:id="1141" w:name="_Toc74812179"/>
      <w:bookmarkStart w:id="1142" w:name="_Toc77667391"/>
      <w:bookmarkStart w:id="1143" w:name="_Toc80105247"/>
      <w:r>
        <w:rPr>
          <w:b/>
          <w:color w:val="auto"/>
          <w:w w:val="99"/>
          <w:kern w:val="2"/>
          <w:sz w:val="24"/>
          <w:szCs w:val="24"/>
          <w:highlight w:val="none"/>
        </w:rPr>
        <w:t>5.8.</w:t>
      </w:r>
      <w:bookmarkEnd w:id="1136"/>
      <w:bookmarkEnd w:id="1137"/>
      <w:bookmarkEnd w:id="1138"/>
      <w:bookmarkEnd w:id="1139"/>
      <w:bookmarkEnd w:id="1140"/>
      <w:bookmarkEnd w:id="1141"/>
      <w:r>
        <w:rPr>
          <w:b/>
          <w:color w:val="auto"/>
          <w:w w:val="99"/>
          <w:kern w:val="2"/>
          <w:sz w:val="24"/>
          <w:szCs w:val="24"/>
          <w:highlight w:val="none"/>
        </w:rPr>
        <w:t>3环境风险评价结论</w:t>
      </w:r>
      <w:bookmarkEnd w:id="1142"/>
      <w:bookmarkEnd w:id="1143"/>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本项目存在的主要环境风险类型包括井喷诱发火灾爆炸、套损、井漏环境污染事件，一旦出现上述环境风险事故，将对区域内的地下水环境、地表水环境、土壤环境和空气环境有潜在危害性。在工程采取一系列风险防范措施和应急措施后，可以降低工程发生环境风险事故概率，达到环境风险可接受水平。本项目环境风险简单分析内容表详见表</w:t>
      </w:r>
      <w:r>
        <w:rPr>
          <w:rFonts w:ascii="Times New Roman" w:hAnsi="Times New Roman" w:cs="Times New Roman" w:eastAsiaTheme="minorEastAsia"/>
          <w:color w:val="auto"/>
          <w:w w:val="99"/>
          <w:kern w:val="2"/>
          <w:highlight w:val="none"/>
        </w:rPr>
        <w:t>5.8-5</w:t>
      </w:r>
      <w:r>
        <w:rPr>
          <w:rFonts w:ascii="Times New Roman" w:hAnsi="Times New Roman" w:cs="Times New Roman" w:eastAsiaTheme="minorEastAsia"/>
          <w:color w:val="auto"/>
          <w:w w:val="99"/>
          <w:kern w:val="21"/>
          <w:szCs w:val="20"/>
          <w:highlight w:val="none"/>
        </w:rPr>
        <w:t>。</w:t>
      </w:r>
    </w:p>
    <w:p>
      <w:pPr>
        <w:spacing w:line="500" w:lineRule="exact"/>
        <w:ind w:firstLine="476" w:firstLineChars="200"/>
        <w:jc w:val="both"/>
        <w:rPr>
          <w:rFonts w:ascii="Times New Roman" w:hAnsi="Times New Roman" w:cs="Times New Roman" w:eastAsiaTheme="minorEastAsia"/>
          <w:b/>
          <w:bCs/>
          <w:color w:val="auto"/>
          <w:w w:val="99"/>
          <w:kern w:val="21"/>
          <w:szCs w:val="20"/>
          <w:highlight w:val="none"/>
        </w:rPr>
      </w:pPr>
      <w:r>
        <w:rPr>
          <w:rFonts w:ascii="Times New Roman" w:hAnsi="Times New Roman" w:cs="Times New Roman" w:eastAsiaTheme="minorEastAsia"/>
          <w:b/>
          <w:bCs/>
          <w:color w:val="auto"/>
          <w:w w:val="99"/>
          <w:kern w:val="21"/>
          <w:szCs w:val="20"/>
          <w:highlight w:val="none"/>
        </w:rPr>
        <w:t>表</w:t>
      </w:r>
      <w:r>
        <w:rPr>
          <w:rFonts w:ascii="Times New Roman" w:hAnsi="Times New Roman" w:cs="Times New Roman" w:eastAsiaTheme="minorEastAsia"/>
          <w:b/>
          <w:bCs/>
          <w:color w:val="auto"/>
          <w:w w:val="99"/>
          <w:kern w:val="2"/>
          <w:highlight w:val="none"/>
        </w:rPr>
        <w:t>5.8-5</w:t>
      </w:r>
      <w:r>
        <w:rPr>
          <w:rFonts w:ascii="Times New Roman" w:hAnsi="Times New Roman" w:cs="Times New Roman" w:eastAsiaTheme="minorEastAsia"/>
          <w:b/>
          <w:bCs/>
          <w:color w:val="auto"/>
          <w:w w:val="99"/>
          <w:kern w:val="21"/>
          <w:szCs w:val="20"/>
          <w:highlight w:val="none"/>
        </w:rPr>
        <w:t xml:space="preserve">              建设项目环境风险简单分析表</w:t>
      </w:r>
    </w:p>
    <w:tbl>
      <w:tblPr>
        <w:tblStyle w:val="82"/>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518"/>
        <w:gridCol w:w="1872"/>
        <w:gridCol w:w="1162"/>
        <w:gridCol w:w="1459"/>
        <w:gridCol w:w="18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9"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建设项目名称</w:t>
            </w:r>
          </w:p>
        </w:tc>
        <w:tc>
          <w:tcPr>
            <w:tcW w:w="4110" w:type="pct"/>
            <w:gridSpan w:val="5"/>
            <w:vAlign w:val="center"/>
          </w:tcPr>
          <w:p>
            <w:pPr>
              <w:autoSpaceDE w:val="0"/>
              <w:autoSpaceDN w:val="0"/>
              <w:adjustRightInd w:val="0"/>
              <w:snapToGrid w:val="0"/>
              <w:spacing w:line="360" w:lineRule="exact"/>
              <w:rPr>
                <w:rFonts w:ascii="Times New Roman" w:hAnsi="Times New Roman" w:cs="Times New Roman" w:eastAsiaTheme="minorEastAsia"/>
                <w:bCs/>
                <w:color w:val="auto"/>
                <w:w w:val="99"/>
                <w:sz w:val="21"/>
                <w:szCs w:val="21"/>
                <w:highlight w:val="none"/>
              </w:rPr>
            </w:pPr>
            <w:r>
              <w:rPr>
                <w:rFonts w:hint="eastAsia" w:ascii="Times New Roman" w:hAnsi="Times New Roman" w:cs="Times New Roman" w:eastAsiaTheme="minorEastAsia"/>
                <w:bCs/>
                <w:color w:val="auto"/>
                <w:w w:val="99"/>
                <w:sz w:val="21"/>
                <w:szCs w:val="21"/>
                <w:highlight w:val="none"/>
                <w:lang w:eastAsia="zh-CN"/>
              </w:rPr>
              <w:t>肇源油田源35区块外扩开发钻井工程</w:t>
            </w:r>
            <w:r>
              <w:rPr>
                <w:rFonts w:hint="eastAsia" w:ascii="Times New Roman" w:hAnsi="Times New Roman" w:cs="Times New Roman" w:eastAsiaTheme="minorEastAsia"/>
                <w:bCs/>
                <w:color w:val="auto"/>
                <w:w w:val="99"/>
                <w:sz w:val="21"/>
                <w:szCs w:val="21"/>
                <w:highlight w:val="none"/>
              </w:rPr>
              <w:t>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9"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建设地点</w:t>
            </w:r>
          </w:p>
        </w:tc>
        <w:tc>
          <w:tcPr>
            <w:tcW w:w="962"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（黑龙江）省</w:t>
            </w:r>
          </w:p>
        </w:tc>
        <w:tc>
          <w:tcPr>
            <w:tcW w:w="1153"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（大庆）市</w:t>
            </w:r>
          </w:p>
        </w:tc>
        <w:tc>
          <w:tcPr>
            <w:tcW w:w="770"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w:t>
            </w:r>
            <w:r>
              <w:rPr>
                <w:rFonts w:hint="eastAsia" w:ascii="Times New Roman" w:hAnsi="Times New Roman" w:cs="Times New Roman" w:eastAsiaTheme="minorEastAsia"/>
                <w:bCs/>
                <w:color w:val="auto"/>
                <w:w w:val="99"/>
                <w:sz w:val="21"/>
                <w:szCs w:val="21"/>
                <w:highlight w:val="none"/>
              </w:rPr>
              <w:t>/</w:t>
            </w:r>
            <w:r>
              <w:rPr>
                <w:rFonts w:ascii="Times New Roman" w:hAnsi="Times New Roman" w:cs="Times New Roman" w:eastAsiaTheme="minorEastAsia"/>
                <w:bCs/>
                <w:color w:val="auto"/>
                <w:w w:val="99"/>
                <w:sz w:val="21"/>
                <w:szCs w:val="21"/>
                <w:highlight w:val="none"/>
              </w:rPr>
              <w:t xml:space="preserve"> ）区</w:t>
            </w:r>
          </w:p>
        </w:tc>
        <w:tc>
          <w:tcPr>
            <w:tcW w:w="534"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w:t>
            </w:r>
            <w:r>
              <w:rPr>
                <w:rFonts w:hint="eastAsia" w:ascii="Times New Roman" w:hAnsi="Times New Roman" w:cs="Times New Roman" w:eastAsiaTheme="minorEastAsia"/>
                <w:bCs/>
                <w:color w:val="auto"/>
                <w:w w:val="99"/>
                <w:sz w:val="21"/>
                <w:szCs w:val="21"/>
                <w:highlight w:val="none"/>
              </w:rPr>
              <w:t>肇源</w:t>
            </w:r>
            <w:r>
              <w:rPr>
                <w:rFonts w:ascii="Times New Roman" w:hAnsi="Times New Roman" w:cs="Times New Roman" w:eastAsiaTheme="minorEastAsia"/>
                <w:bCs/>
                <w:color w:val="auto"/>
                <w:w w:val="99"/>
                <w:sz w:val="21"/>
                <w:szCs w:val="21"/>
                <w:highlight w:val="none"/>
              </w:rPr>
              <w:t>）县</w:t>
            </w:r>
          </w:p>
        </w:tc>
        <w:tc>
          <w:tcPr>
            <w:tcW w:w="689"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w:t>
            </w:r>
            <w:r>
              <w:rPr>
                <w:rFonts w:hint="eastAsia" w:ascii="Times New Roman" w:hAnsi="Times New Roman" w:cs="Times New Roman" w:eastAsiaTheme="minorEastAsia"/>
                <w:bCs/>
                <w:color w:val="auto"/>
                <w:w w:val="99"/>
                <w:sz w:val="21"/>
                <w:szCs w:val="21"/>
                <w:highlight w:val="none"/>
              </w:rPr>
              <w:t xml:space="preserve"> </w:t>
            </w:r>
            <w:r>
              <w:rPr>
                <w:rFonts w:ascii="Times New Roman" w:hAnsi="Times New Roman" w:cs="Times New Roman" w:eastAsiaTheme="minorEastAsia"/>
                <w:bCs/>
                <w:color w:val="auto"/>
                <w:w w:val="99"/>
                <w:sz w:val="21"/>
                <w:szCs w:val="21"/>
                <w:highlight w:val="none"/>
              </w:rPr>
              <w:t>）园区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9"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地理坐标</w:t>
            </w:r>
          </w:p>
        </w:tc>
        <w:tc>
          <w:tcPr>
            <w:tcW w:w="962"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经度</w:t>
            </w:r>
          </w:p>
        </w:tc>
        <w:tc>
          <w:tcPr>
            <w:tcW w:w="1153"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eastAsia="zh-CN"/>
              </w:rPr>
              <w:t>125°0′9.25″~ 124°59′46.39″</w:t>
            </w:r>
          </w:p>
        </w:tc>
        <w:tc>
          <w:tcPr>
            <w:tcW w:w="770"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纬度</w:t>
            </w:r>
          </w:p>
        </w:tc>
        <w:tc>
          <w:tcPr>
            <w:tcW w:w="1223" w:type="pct"/>
            <w:gridSpan w:val="2"/>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eastAsia="zh-CN"/>
              </w:rPr>
              <w:t>45°33′21.53″~</w:t>
            </w:r>
            <w:r>
              <w:rPr>
                <w:rFonts w:hint="eastAsia" w:ascii="Times New Roman" w:hAnsi="Times New Roman" w:cs="Times New Roman" w:eastAsiaTheme="minorEastAsia"/>
                <w:color w:val="auto"/>
                <w:w w:val="99"/>
                <w:kern w:val="2"/>
                <w:sz w:val="21"/>
                <w:szCs w:val="21"/>
                <w:highlight w:val="none"/>
              </w:rPr>
              <w:t>45°34′50.00″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9"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主要危险物质分布</w:t>
            </w:r>
          </w:p>
        </w:tc>
        <w:tc>
          <w:tcPr>
            <w:tcW w:w="4110" w:type="pct"/>
            <w:gridSpan w:val="5"/>
            <w:vAlign w:val="center"/>
          </w:tcPr>
          <w:p>
            <w:pPr>
              <w:autoSpaceDE w:val="0"/>
              <w:autoSpaceDN w:val="0"/>
              <w:adjustRightInd w:val="0"/>
              <w:snapToGrid w:val="0"/>
              <w:spacing w:line="360" w:lineRule="exact"/>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本项目井场材料库房贮存钻井液配制助剂，其中氢氧化钾最大存量</w:t>
            </w:r>
            <w:r>
              <w:rPr>
                <w:rFonts w:hint="eastAsia" w:ascii="Times New Roman" w:hAnsi="Times New Roman" w:cs="Times New Roman" w:eastAsiaTheme="minorEastAsia"/>
                <w:bCs/>
                <w:color w:val="auto"/>
                <w:w w:val="99"/>
                <w:sz w:val="21"/>
                <w:szCs w:val="21"/>
                <w:highlight w:val="none"/>
              </w:rPr>
              <w:t>1</w:t>
            </w:r>
            <w:r>
              <w:rPr>
                <w:rFonts w:ascii="Times New Roman" w:hAnsi="Times New Roman" w:cs="Times New Roman" w:eastAsiaTheme="minorEastAsia"/>
                <w:bCs/>
                <w:color w:val="auto"/>
                <w:w w:val="99"/>
                <w:sz w:val="21"/>
                <w:szCs w:val="21"/>
                <w:highlight w:val="none"/>
              </w:rPr>
              <w:t>t；每个井场柴油储罐区布设1座50m</w:t>
            </w:r>
            <w:r>
              <w:rPr>
                <w:rFonts w:ascii="Times New Roman" w:hAnsi="Times New Roman" w:cs="Times New Roman" w:eastAsiaTheme="minorEastAsia"/>
                <w:bCs/>
                <w:color w:val="auto"/>
                <w:w w:val="99"/>
                <w:sz w:val="21"/>
                <w:szCs w:val="21"/>
                <w:highlight w:val="none"/>
                <w:vertAlign w:val="superscript"/>
              </w:rPr>
              <w:t>3</w:t>
            </w:r>
            <w:r>
              <w:rPr>
                <w:rFonts w:ascii="Times New Roman" w:hAnsi="Times New Roman" w:cs="Times New Roman" w:eastAsiaTheme="minorEastAsia"/>
                <w:bCs/>
                <w:color w:val="auto"/>
                <w:w w:val="99"/>
                <w:sz w:val="21"/>
                <w:szCs w:val="21"/>
                <w:highlight w:val="none"/>
              </w:rPr>
              <w:t>柴油储罐，井场柴油最大存量</w:t>
            </w:r>
            <w:r>
              <w:rPr>
                <w:rFonts w:hint="eastAsia" w:ascii="Times New Roman" w:hAnsi="Times New Roman" w:cs="Times New Roman" w:eastAsiaTheme="minorEastAsia"/>
                <w:bCs/>
                <w:color w:val="auto"/>
                <w:w w:val="99"/>
                <w:sz w:val="21"/>
                <w:szCs w:val="21"/>
                <w:highlight w:val="none"/>
                <w:lang w:val="en-US" w:eastAsia="zh-CN"/>
              </w:rPr>
              <w:t>200</w:t>
            </w:r>
            <w:r>
              <w:rPr>
                <w:rFonts w:ascii="Times New Roman" w:hAnsi="Times New Roman" w:cs="Times New Roman" w:eastAsiaTheme="minorEastAsia"/>
                <w:bCs/>
                <w:color w:val="auto"/>
                <w:w w:val="99"/>
                <w:sz w:val="21"/>
                <w:szCs w:val="21"/>
                <w:highlight w:val="none"/>
              </w:rPr>
              <w:t>t；每个</w:t>
            </w:r>
            <w:r>
              <w:rPr>
                <w:rFonts w:ascii="Times New Roman" w:hAnsi="Times New Roman" w:cs="Times New Roman" w:eastAsiaTheme="minorEastAsia"/>
                <w:color w:val="auto"/>
                <w:w w:val="99"/>
                <w:sz w:val="21"/>
                <w:szCs w:val="21"/>
                <w:highlight w:val="none"/>
              </w:rPr>
              <w:t>井场设置1座钢制泥浆槽，泥浆槽容积100m</w:t>
            </w:r>
            <w:r>
              <w:rPr>
                <w:rFonts w:ascii="Times New Roman" w:hAnsi="Times New Roman" w:cs="Times New Roman" w:eastAsiaTheme="minorEastAsia"/>
                <w:color w:val="auto"/>
                <w:w w:val="99"/>
                <w:sz w:val="21"/>
                <w:szCs w:val="21"/>
                <w:highlight w:val="none"/>
                <w:vertAlign w:val="superscript"/>
              </w:rPr>
              <w:t>3</w:t>
            </w: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9"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环境影响途径及危害后果</w:t>
            </w:r>
          </w:p>
        </w:tc>
        <w:tc>
          <w:tcPr>
            <w:tcW w:w="4110" w:type="pct"/>
            <w:gridSpan w:val="5"/>
            <w:vAlign w:val="center"/>
          </w:tcPr>
          <w:p>
            <w:pPr>
              <w:autoSpaceDE w:val="0"/>
              <w:autoSpaceDN w:val="0"/>
              <w:adjustRightInd w:val="0"/>
              <w:snapToGrid w:val="0"/>
              <w:spacing w:line="360" w:lineRule="exact"/>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1、影响途径：井喷、井漏、套损、泄漏、火灾爆炸事故，伴生次生环境污染事件。</w:t>
            </w:r>
          </w:p>
          <w:p>
            <w:pPr>
              <w:autoSpaceDE w:val="0"/>
              <w:autoSpaceDN w:val="0"/>
              <w:adjustRightInd w:val="0"/>
              <w:snapToGrid w:val="0"/>
              <w:spacing w:line="360" w:lineRule="exact"/>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2、危害后果：井喷事故</w:t>
            </w:r>
            <w:r>
              <w:rPr>
                <w:rFonts w:ascii="Times New Roman" w:hAnsi="Times New Roman" w:cs="Times New Roman" w:eastAsiaTheme="minorEastAsia"/>
                <w:color w:val="auto"/>
                <w:w w:val="99"/>
                <w:sz w:val="21"/>
                <w:szCs w:val="21"/>
                <w:highlight w:val="none"/>
              </w:rPr>
              <w:t>高浓度油气引起窒息或者不完全燃烧产物CO引起中毒；污染大气环境；井喷污油形成土壤污染及生态环境破坏。井漏、套管破损事故有可能进一步引起井喷事故；若地层为含水层，钻井液漏失可能对地下水造成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9"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环境影响途径及危害后果</w:t>
            </w:r>
          </w:p>
        </w:tc>
        <w:tc>
          <w:tcPr>
            <w:tcW w:w="4110" w:type="pct"/>
            <w:gridSpan w:val="5"/>
            <w:vAlign w:val="center"/>
          </w:tcPr>
          <w:p>
            <w:pPr>
              <w:autoSpaceDE w:val="0"/>
              <w:autoSpaceDN w:val="0"/>
              <w:adjustRightInd w:val="0"/>
              <w:snapToGrid w:val="0"/>
              <w:spacing w:line="360" w:lineRule="exact"/>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color w:val="auto"/>
                <w:w w:val="99"/>
                <w:sz w:val="21"/>
                <w:szCs w:val="21"/>
                <w:highlight w:val="none"/>
              </w:rPr>
              <w:t>泥浆槽渗漏携带污染物形成包气带土壤污染及地下潜水污染。柴油储罐泄漏导致土壤、地下水污染；泄漏油遇明火，发生不完全燃烧产生CO；消防废水、火灾爆炸烟团引发环境次生环境污染事故。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9"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风险防范措施要求</w:t>
            </w:r>
          </w:p>
        </w:tc>
        <w:tc>
          <w:tcPr>
            <w:tcW w:w="4110" w:type="pct"/>
            <w:gridSpan w:val="5"/>
            <w:vAlign w:val="center"/>
          </w:tcPr>
          <w:p>
            <w:pPr>
              <w:autoSpaceDE w:val="0"/>
              <w:autoSpaceDN w:val="0"/>
              <w:adjustRightInd w:val="0"/>
              <w:snapToGrid w:val="0"/>
              <w:spacing w:line="360" w:lineRule="exact"/>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提供准确底层孔隙压力资料，合理设计井身结构；严格操作规程，避免产生抽吸作用；合理调整泥浆密度；安装防喷器等井控装置预防井喷事故发生。严格套管质量检查；防止浅层水腐蚀套管及浅层高塑性泥岩层蠕变；保证套管接箍丝扣和密封脂质量及上扣的扭矩值，对井下的套管要定期紧扣。发现井漏现象，立即采取堵漏措施。柴油储罐周围设置围堰，围堰高度约为0.4m，防止柴油泄露污染地下水。加强井场地面工程设施巡回检查，及时发现风险隐患，并采取合理措施消除隐患，避免油、钻井液渗漏及火灾、爆炸事故的发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9"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填表说明</w:t>
            </w:r>
          </w:p>
        </w:tc>
        <w:tc>
          <w:tcPr>
            <w:tcW w:w="4110" w:type="pct"/>
            <w:gridSpan w:val="5"/>
            <w:vAlign w:val="center"/>
          </w:tcPr>
          <w:p>
            <w:pPr>
              <w:autoSpaceDE w:val="0"/>
              <w:autoSpaceDN w:val="0"/>
              <w:adjustRightInd w:val="0"/>
              <w:snapToGrid w:val="0"/>
              <w:spacing w:line="360" w:lineRule="exact"/>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对于井场地面池、罐设施采取基础防渗措施，避免油、钻井液渗漏带来土壤、生态、地下水环境污染。</w:t>
            </w:r>
          </w:p>
        </w:tc>
      </w:tr>
    </w:tbl>
    <w:p>
      <w:pPr>
        <w:pStyle w:val="109"/>
        <w:widowControl w:val="0"/>
        <w:spacing w:line="490" w:lineRule="exact"/>
        <w:ind w:firstLine="473"/>
        <w:rPr>
          <w:rFonts w:ascii="Times New Roman" w:hAnsi="Times New Roman" w:eastAsiaTheme="minorEastAsia"/>
          <w:snapToGrid w:val="0"/>
          <w:color w:val="auto"/>
          <w:w w:val="99"/>
          <w:highlight w:val="none"/>
        </w:rPr>
      </w:pPr>
    </w:p>
    <w:p>
      <w:pPr>
        <w:rPr>
          <w:rFonts w:ascii="Times New Roman" w:hAnsi="Times New Roman" w:cs="Times New Roman"/>
          <w:color w:val="auto"/>
          <w:w w:val="99"/>
          <w:highlight w:val="none"/>
        </w:rPr>
      </w:pPr>
    </w:p>
    <w:p>
      <w:pPr>
        <w:pStyle w:val="103"/>
        <w:rPr>
          <w:color w:val="auto"/>
          <w:w w:val="99"/>
          <w:highlight w:val="none"/>
        </w:rPr>
      </w:pPr>
    </w:p>
    <w:p>
      <w:pPr>
        <w:rPr>
          <w:rFonts w:ascii="Times New Roman" w:hAnsi="Times New Roman" w:cs="Times New Roman"/>
          <w:color w:val="auto"/>
          <w:w w:val="99"/>
          <w:highlight w:val="none"/>
        </w:rPr>
      </w:pPr>
    </w:p>
    <w:p>
      <w:pPr>
        <w:pStyle w:val="103"/>
        <w:rPr>
          <w:color w:val="auto"/>
          <w:w w:val="99"/>
          <w:highlight w:val="none"/>
        </w:rPr>
      </w:pPr>
    </w:p>
    <w:p>
      <w:pPr>
        <w:rPr>
          <w:rFonts w:ascii="Times New Roman" w:hAnsi="Times New Roman" w:cs="Times New Roman"/>
          <w:color w:val="auto"/>
          <w:w w:val="99"/>
          <w:highlight w:val="none"/>
        </w:rPr>
      </w:pPr>
    </w:p>
    <w:p>
      <w:pPr>
        <w:rPr>
          <w:rFonts w:ascii="Times New Roman" w:hAnsi="Times New Roman" w:cs="Times New Roman"/>
          <w:color w:val="auto"/>
          <w:w w:val="99"/>
          <w:highlight w:val="none"/>
        </w:rPr>
      </w:pPr>
    </w:p>
    <w:p>
      <w:pPr>
        <w:pStyle w:val="4"/>
        <w:widowControl w:val="0"/>
        <w:spacing w:line="500" w:lineRule="exact"/>
        <w:jc w:val="both"/>
        <w:rPr>
          <w:rFonts w:ascii="Times New Roman" w:hAnsi="Times New Roman"/>
          <w:b/>
          <w:snapToGrid w:val="0"/>
          <w:color w:val="auto"/>
          <w:w w:val="99"/>
          <w:sz w:val="30"/>
          <w:szCs w:val="30"/>
          <w:highlight w:val="none"/>
        </w:rPr>
      </w:pPr>
      <w:bookmarkStart w:id="1144" w:name="_Toc80105248"/>
      <w:r>
        <w:rPr>
          <w:rFonts w:ascii="Times New Roman" w:hAnsi="Times New Roman"/>
          <w:b/>
          <w:snapToGrid w:val="0"/>
          <w:color w:val="auto"/>
          <w:w w:val="99"/>
          <w:sz w:val="30"/>
          <w:szCs w:val="30"/>
          <w:highlight w:val="none"/>
        </w:rPr>
        <w:t>6</w:t>
      </w:r>
      <w:bookmarkEnd w:id="876"/>
      <w:bookmarkEnd w:id="877"/>
      <w:r>
        <w:rPr>
          <w:rFonts w:ascii="Times New Roman" w:hAnsi="Times New Roman"/>
          <w:b/>
          <w:snapToGrid w:val="0"/>
          <w:color w:val="auto"/>
          <w:w w:val="99"/>
          <w:sz w:val="30"/>
          <w:szCs w:val="30"/>
          <w:highlight w:val="none"/>
        </w:rPr>
        <w:t>环境保护措施及其可行性论证</w:t>
      </w:r>
      <w:bookmarkEnd w:id="1144"/>
    </w:p>
    <w:p>
      <w:pPr>
        <w:pStyle w:val="5"/>
        <w:keepNext w:val="0"/>
        <w:keepLines w:val="0"/>
        <w:widowControl w:val="0"/>
        <w:jc w:val="both"/>
        <w:rPr>
          <w:rFonts w:ascii="Times New Roman" w:hAnsi="Times New Roman"/>
          <w:b/>
          <w:snapToGrid w:val="0"/>
          <w:color w:val="auto"/>
          <w:w w:val="99"/>
          <w:highlight w:val="none"/>
        </w:rPr>
      </w:pPr>
      <w:bookmarkStart w:id="1145" w:name="_Toc502736516"/>
      <w:bookmarkStart w:id="1146" w:name="_Toc200162118"/>
      <w:bookmarkStart w:id="1147" w:name="_Toc4419"/>
      <w:bookmarkStart w:id="1148" w:name="_Toc200162815"/>
      <w:bookmarkStart w:id="1149" w:name="_Toc57976736"/>
      <w:bookmarkStart w:id="1150" w:name="_Toc17898242"/>
      <w:bookmarkStart w:id="1151" w:name="_Toc80105249"/>
      <w:bookmarkStart w:id="1152" w:name="_Toc225741623"/>
      <w:bookmarkStart w:id="1153" w:name="_Toc57707984"/>
      <w:bookmarkStart w:id="1154" w:name="_Toc203113621"/>
      <w:bookmarkStart w:id="1155" w:name="_Toc57203314"/>
      <w:bookmarkStart w:id="1156" w:name="_Toc204572393"/>
      <w:bookmarkStart w:id="1157" w:name="_Toc200952546"/>
      <w:bookmarkStart w:id="1158" w:name="_Toc201330164"/>
      <w:bookmarkStart w:id="1159" w:name="_Toc203373354"/>
      <w:bookmarkStart w:id="1160" w:name="_Toc98920169"/>
      <w:bookmarkStart w:id="1161" w:name="_Toc83525150"/>
      <w:r>
        <w:rPr>
          <w:rFonts w:ascii="Times New Roman" w:hAnsi="Times New Roman"/>
          <w:b/>
          <w:snapToGrid w:val="0"/>
          <w:color w:val="auto"/>
          <w:w w:val="99"/>
          <w:highlight w:val="none"/>
        </w:rPr>
        <w:t>6.1大气污染防治措施</w:t>
      </w:r>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pPr>
        <w:pStyle w:val="7"/>
        <w:keepNext w:val="0"/>
        <w:keepLines w:val="0"/>
        <w:widowControl w:val="0"/>
        <w:jc w:val="both"/>
        <w:rPr>
          <w:b/>
          <w:color w:val="auto"/>
          <w:w w:val="99"/>
          <w:kern w:val="2"/>
          <w:sz w:val="24"/>
          <w:szCs w:val="24"/>
          <w:highlight w:val="none"/>
        </w:rPr>
      </w:pPr>
      <w:bookmarkStart w:id="1162" w:name="_Toc80105250"/>
      <w:bookmarkStart w:id="1163" w:name="_Toc69690907"/>
      <w:bookmarkStart w:id="1164" w:name="_Toc67523689"/>
      <w:bookmarkStart w:id="1165" w:name="_Toc74812421"/>
      <w:bookmarkStart w:id="1166" w:name="_Toc61597318"/>
      <w:bookmarkStart w:id="1167" w:name="_Toc74812182"/>
      <w:bookmarkStart w:id="1168" w:name="_Toc71372037"/>
      <w:bookmarkStart w:id="1169" w:name="_Toc77667394"/>
      <w:r>
        <w:rPr>
          <w:b/>
          <w:color w:val="auto"/>
          <w:w w:val="99"/>
          <w:kern w:val="2"/>
          <w:sz w:val="24"/>
          <w:szCs w:val="24"/>
          <w:highlight w:val="none"/>
        </w:rPr>
        <w:t>6.1.1柴油机燃烧排放的烟气</w:t>
      </w:r>
      <w:bookmarkEnd w:id="1162"/>
      <w:bookmarkEnd w:id="1163"/>
      <w:bookmarkEnd w:id="1164"/>
      <w:bookmarkEnd w:id="1165"/>
      <w:bookmarkEnd w:id="1166"/>
      <w:bookmarkEnd w:id="1167"/>
      <w:bookmarkEnd w:id="1168"/>
      <w:bookmarkEnd w:id="1169"/>
    </w:p>
    <w:p>
      <w:pPr>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施工时使用低标号柴油，调节好柴油机运行工况。由于施工所在区域较开阔，柴油发电机烟气扩散较快，对附近环境影响较小。随着钻井工作的结束，柴油机排放的废气对环境空气的影响会逐渐消失。</w:t>
      </w:r>
    </w:p>
    <w:p>
      <w:pPr>
        <w:pStyle w:val="7"/>
        <w:keepNext w:val="0"/>
        <w:keepLines w:val="0"/>
        <w:widowControl w:val="0"/>
        <w:jc w:val="both"/>
        <w:rPr>
          <w:b/>
          <w:color w:val="auto"/>
          <w:w w:val="99"/>
          <w:kern w:val="2"/>
          <w:sz w:val="24"/>
          <w:szCs w:val="24"/>
          <w:highlight w:val="none"/>
        </w:rPr>
      </w:pPr>
      <w:bookmarkStart w:id="1170" w:name="_Toc74812422"/>
      <w:bookmarkStart w:id="1171" w:name="_Toc71372038"/>
      <w:bookmarkStart w:id="1172" w:name="_Toc69690908"/>
      <w:bookmarkStart w:id="1173" w:name="_Toc77667395"/>
      <w:bookmarkStart w:id="1174" w:name="_Toc74812183"/>
      <w:bookmarkStart w:id="1175" w:name="_Toc80105251"/>
      <w:bookmarkStart w:id="1176" w:name="_Toc67523690"/>
      <w:bookmarkStart w:id="1177" w:name="_Toc61597319"/>
      <w:r>
        <w:rPr>
          <w:b/>
          <w:color w:val="auto"/>
          <w:w w:val="99"/>
          <w:kern w:val="2"/>
          <w:sz w:val="24"/>
          <w:szCs w:val="24"/>
          <w:highlight w:val="none"/>
        </w:rPr>
        <w:t>6.1.2施工扬尘</w:t>
      </w:r>
      <w:bookmarkEnd w:id="1170"/>
      <w:bookmarkEnd w:id="1171"/>
      <w:bookmarkEnd w:id="1172"/>
      <w:bookmarkEnd w:id="1173"/>
      <w:bookmarkEnd w:id="1174"/>
      <w:bookmarkEnd w:id="1175"/>
      <w:bookmarkEnd w:id="1176"/>
      <w:bookmarkEnd w:id="1177"/>
    </w:p>
    <w:p>
      <w:pPr>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w:t>
      </w:r>
      <w:r>
        <w:rPr>
          <w:rFonts w:ascii="Times New Roman" w:hAnsi="Times New Roman" w:cs="Times New Roman" w:eastAsiaTheme="minorEastAsia"/>
          <w:bCs/>
          <w:color w:val="auto"/>
          <w:w w:val="99"/>
          <w:highlight w:val="none"/>
        </w:rPr>
        <w:t>施工运输车辆采取密闭措施或加盖防尘布</w:t>
      </w:r>
      <w:r>
        <w:rPr>
          <w:rFonts w:ascii="Times New Roman" w:hAnsi="Times New Roman" w:cs="Times New Roman" w:eastAsiaTheme="minorEastAsia"/>
          <w:color w:val="auto"/>
          <w:w w:val="99"/>
          <w:highlight w:val="none"/>
        </w:rPr>
        <w:t>，严禁散落；</w:t>
      </w:r>
      <w:r>
        <w:rPr>
          <w:rFonts w:ascii="Times New Roman" w:hAnsi="Times New Roman" w:cs="Times New Roman" w:eastAsiaTheme="minorEastAsia"/>
          <w:bCs/>
          <w:color w:val="auto"/>
          <w:w w:val="99"/>
          <w:highlight w:val="none"/>
        </w:rPr>
        <w:t>控制车速；</w:t>
      </w:r>
      <w:r>
        <w:rPr>
          <w:rFonts w:ascii="Times New Roman" w:hAnsi="Times New Roman" w:cs="Times New Roman" w:eastAsiaTheme="minorEastAsia"/>
          <w:color w:val="auto"/>
          <w:w w:val="99"/>
          <w:highlight w:val="none"/>
        </w:rPr>
        <w:t>运输车辆驶出工地前须除泥降尘，严禁泥土尘沙带出工地；施工场地干燥时适当洒水抑尘，物料堆放应定点，并采取防尘、抑尘措施，如设置挡风板、上覆遮盖材料等；拉运固井水泥车辆采用罐装。</w:t>
      </w:r>
    </w:p>
    <w:p>
      <w:pPr>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w:t>
      </w:r>
      <w:r>
        <w:rPr>
          <w:rFonts w:ascii="Times New Roman" w:hAnsi="Times New Roman" w:cs="Times New Roman" w:eastAsiaTheme="minorEastAsia"/>
          <w:bCs/>
          <w:color w:val="auto"/>
          <w:w w:val="99"/>
          <w:highlight w:val="none"/>
        </w:rPr>
        <w:t>施工场地设置围挡、井场设置</w:t>
      </w:r>
      <w:r>
        <w:rPr>
          <w:rFonts w:hint="eastAsia" w:ascii="Times New Roman" w:hAnsi="Times New Roman" w:cs="Times New Roman" w:eastAsiaTheme="minorEastAsia"/>
          <w:bCs/>
          <w:color w:val="auto"/>
          <w:w w:val="99"/>
          <w:highlight w:val="none"/>
        </w:rPr>
        <w:t>材料房</w:t>
      </w:r>
      <w:r>
        <w:rPr>
          <w:rFonts w:ascii="Times New Roman" w:hAnsi="Times New Roman" w:cs="Times New Roman" w:eastAsiaTheme="minorEastAsia"/>
          <w:bCs/>
          <w:color w:val="auto"/>
          <w:w w:val="99"/>
          <w:highlight w:val="none"/>
        </w:rPr>
        <w:t>、表土上覆盖防尘网等措施，可以防止刮风扬尘弥漫，降低钻井扬对区域空气环境的影响，产生的场界颗粒物可降至1.0mg/m</w:t>
      </w:r>
      <w:r>
        <w:rPr>
          <w:rFonts w:ascii="Times New Roman" w:hAnsi="Times New Roman" w:cs="Times New Roman" w:eastAsiaTheme="minorEastAsia"/>
          <w:bCs/>
          <w:color w:val="auto"/>
          <w:w w:val="99"/>
          <w:highlight w:val="none"/>
          <w:vertAlign w:val="superscript"/>
        </w:rPr>
        <w:t>3</w:t>
      </w:r>
      <w:r>
        <w:rPr>
          <w:rFonts w:ascii="Times New Roman" w:hAnsi="Times New Roman" w:cs="Times New Roman" w:eastAsiaTheme="minorEastAsia"/>
          <w:bCs/>
          <w:color w:val="auto"/>
          <w:w w:val="99"/>
          <w:highlight w:val="none"/>
        </w:rPr>
        <w:t>，满足《大气污染物综合排放标准》(GB16297-1996）表2中无组织排放监控浓度限值。</w:t>
      </w:r>
    </w:p>
    <w:p>
      <w:pPr>
        <w:pStyle w:val="5"/>
        <w:keepNext w:val="0"/>
        <w:keepLines w:val="0"/>
        <w:widowControl w:val="0"/>
        <w:jc w:val="both"/>
        <w:rPr>
          <w:rFonts w:ascii="Times New Roman" w:hAnsi="Times New Roman"/>
          <w:b/>
          <w:snapToGrid w:val="0"/>
          <w:color w:val="auto"/>
          <w:w w:val="99"/>
          <w:highlight w:val="none"/>
        </w:rPr>
      </w:pPr>
      <w:bookmarkStart w:id="1178" w:name="_Toc200952545"/>
      <w:bookmarkStart w:id="1179" w:name="_Toc204572392"/>
      <w:bookmarkStart w:id="1180" w:name="_Toc203113620"/>
      <w:bookmarkStart w:id="1181" w:name="_Toc57707983"/>
      <w:bookmarkStart w:id="1182" w:name="_Toc7167"/>
      <w:bookmarkStart w:id="1183" w:name="_Toc201330163"/>
      <w:bookmarkStart w:id="1184" w:name="_Toc203373353"/>
      <w:bookmarkStart w:id="1185" w:name="_Toc57203313"/>
      <w:bookmarkStart w:id="1186" w:name="_Toc200162117"/>
      <w:bookmarkStart w:id="1187" w:name="_Toc17898241"/>
      <w:bookmarkStart w:id="1188" w:name="_Toc200162814"/>
      <w:bookmarkStart w:id="1189" w:name="_Toc502736515"/>
      <w:bookmarkStart w:id="1190" w:name="_Toc57976735"/>
      <w:bookmarkStart w:id="1191" w:name="_Toc80105252"/>
      <w:bookmarkStart w:id="1192" w:name="_Toc225741622"/>
      <w:bookmarkStart w:id="1193" w:name="_Toc57976737"/>
      <w:bookmarkStart w:id="1194" w:name="_Toc57203315"/>
      <w:bookmarkStart w:id="1195" w:name="_Toc17898243"/>
      <w:bookmarkStart w:id="1196" w:name="_Toc204572394"/>
      <w:bookmarkStart w:id="1197" w:name="_Toc57707985"/>
      <w:bookmarkStart w:id="1198" w:name="_Toc200162816"/>
      <w:bookmarkStart w:id="1199" w:name="_Toc203373355"/>
      <w:bookmarkStart w:id="1200" w:name="_Toc8419"/>
      <w:bookmarkStart w:id="1201" w:name="_Toc200162119"/>
      <w:bookmarkStart w:id="1202" w:name="_Toc502736517"/>
      <w:bookmarkStart w:id="1203" w:name="_Toc200952547"/>
      <w:bookmarkStart w:id="1204" w:name="_Toc203113622"/>
      <w:bookmarkStart w:id="1205" w:name="_Toc225741624"/>
      <w:bookmarkStart w:id="1206" w:name="_Toc201330165"/>
      <w:r>
        <w:rPr>
          <w:rFonts w:ascii="Times New Roman" w:hAnsi="Times New Roman"/>
          <w:b/>
          <w:snapToGrid w:val="0"/>
          <w:color w:val="auto"/>
          <w:w w:val="99"/>
          <w:highlight w:val="none"/>
        </w:rPr>
        <w:t>6.2废水污染防治措施</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p>
    <w:p>
      <w:pPr>
        <w:pStyle w:val="7"/>
        <w:keepNext w:val="0"/>
        <w:keepLines w:val="0"/>
        <w:widowControl w:val="0"/>
        <w:jc w:val="both"/>
        <w:rPr>
          <w:b/>
          <w:color w:val="auto"/>
          <w:w w:val="99"/>
          <w:kern w:val="2"/>
          <w:sz w:val="24"/>
          <w:szCs w:val="24"/>
          <w:highlight w:val="none"/>
        </w:rPr>
      </w:pPr>
      <w:bookmarkStart w:id="1207" w:name="_Toc71372040"/>
      <w:bookmarkStart w:id="1208" w:name="_Toc67523692"/>
      <w:bookmarkStart w:id="1209" w:name="_Toc80105253"/>
      <w:bookmarkStart w:id="1210" w:name="_Toc61597321"/>
      <w:bookmarkStart w:id="1211" w:name="_Toc74812424"/>
      <w:bookmarkStart w:id="1212" w:name="_Toc69690910"/>
      <w:bookmarkStart w:id="1213" w:name="_Toc74812185"/>
      <w:bookmarkStart w:id="1214" w:name="_Toc77667397"/>
      <w:r>
        <w:rPr>
          <w:b/>
          <w:color w:val="auto"/>
          <w:w w:val="99"/>
          <w:kern w:val="2"/>
          <w:sz w:val="24"/>
          <w:szCs w:val="24"/>
          <w:highlight w:val="none"/>
        </w:rPr>
        <w:t>6.2.1钻井废水</w:t>
      </w:r>
      <w:bookmarkEnd w:id="1207"/>
      <w:bookmarkEnd w:id="1208"/>
      <w:bookmarkEnd w:id="1209"/>
      <w:bookmarkEnd w:id="1210"/>
      <w:bookmarkEnd w:id="1211"/>
      <w:bookmarkEnd w:id="1212"/>
      <w:bookmarkEnd w:id="1213"/>
      <w:bookmarkEnd w:id="1214"/>
    </w:p>
    <w:p>
      <w:pPr>
        <w:pStyle w:val="109"/>
        <w:widowControl w:val="0"/>
        <w:ind w:firstLine="473"/>
        <w:jc w:val="both"/>
        <w:rPr>
          <w:rFonts w:ascii="Times New Roman" w:hAnsi="Times New Roman" w:eastAsiaTheme="minorEastAsia"/>
          <w:color w:val="auto"/>
          <w:w w:val="99"/>
          <w:highlight w:val="none"/>
        </w:rPr>
      </w:pPr>
      <w:bookmarkStart w:id="1215" w:name="_Toc77667398"/>
      <w:bookmarkStart w:id="1216" w:name="_Toc71372041"/>
      <w:bookmarkStart w:id="1217" w:name="_Toc61597322"/>
      <w:bookmarkStart w:id="1218" w:name="_Toc67523693"/>
      <w:bookmarkStart w:id="1219" w:name="_Toc74812425"/>
      <w:bookmarkStart w:id="1220" w:name="_Toc74812186"/>
      <w:bookmarkStart w:id="1221" w:name="_Toc80105254"/>
      <w:bookmarkStart w:id="1222" w:name="_Toc69690911"/>
      <w:r>
        <w:rPr>
          <w:rFonts w:ascii="Times New Roman" w:hAnsi="Times New Roman" w:eastAsiaTheme="minorEastAsia"/>
          <w:color w:val="auto"/>
          <w:w w:val="99"/>
          <w:highlight w:val="none"/>
        </w:rPr>
        <w:t>钻井废水暂存于井场钢制泥浆槽中，定期与废钻井液、岩屑完井后一同本项目钻井废水由罐车拉运至</w:t>
      </w:r>
      <w:r>
        <w:rPr>
          <w:rFonts w:hint="eastAsia" w:ascii="Times New Roman" w:hAnsi="Times New Roman" w:eastAsiaTheme="minorEastAsia"/>
          <w:color w:val="auto"/>
          <w:w w:val="99"/>
          <w:highlight w:val="none"/>
        </w:rPr>
        <w:t>大庆油田昆仑集团有限公司环保分公司</w:t>
      </w:r>
      <w:r>
        <w:rPr>
          <w:rFonts w:ascii="Times New Roman" w:hAnsi="Times New Roman" w:eastAsiaTheme="minorEastAsia"/>
          <w:color w:val="auto"/>
          <w:w w:val="99"/>
          <w:highlight w:val="none"/>
        </w:rPr>
        <w:t>处理</w:t>
      </w:r>
      <w:r>
        <w:rPr>
          <w:rFonts w:ascii="Times New Roman" w:hAnsi="Times New Roman" w:eastAsiaTheme="minorEastAsia"/>
          <w:bCs/>
          <w:color w:val="auto"/>
          <w:w w:val="99"/>
          <w:highlight w:val="none"/>
        </w:rPr>
        <w:t>，</w:t>
      </w:r>
      <w:r>
        <w:rPr>
          <w:rFonts w:ascii="Times New Roman" w:hAnsi="Times New Roman" w:eastAsiaTheme="minorEastAsia"/>
          <w:color w:val="auto"/>
          <w:w w:val="99"/>
          <w:highlight w:val="none"/>
        </w:rPr>
        <w:t>处理后的</w:t>
      </w:r>
      <w:r>
        <w:rPr>
          <w:rFonts w:hint="eastAsia" w:ascii="Times New Roman" w:hAnsi="Times New Roman" w:eastAsiaTheme="minorEastAsia"/>
          <w:color w:val="auto"/>
          <w:w w:val="99"/>
          <w:highlight w:val="none"/>
        </w:rPr>
        <w:t>压滤水定期</w:t>
      </w:r>
      <w:r>
        <w:rPr>
          <w:rFonts w:ascii="Times New Roman" w:hAnsi="Times New Roman" w:eastAsiaTheme="minorEastAsia"/>
          <w:color w:val="auto"/>
          <w:w w:val="99"/>
          <w:highlight w:val="none"/>
        </w:rPr>
        <w:t>由</w:t>
      </w:r>
      <w:r>
        <w:rPr>
          <w:rFonts w:hint="eastAsia" w:ascii="Times New Roman" w:hAnsi="Times New Roman" w:eastAsiaTheme="minorEastAsia"/>
          <w:color w:val="auto"/>
          <w:w w:val="99"/>
          <w:highlight w:val="none"/>
        </w:rPr>
        <w:t>罐车</w:t>
      </w:r>
      <w:r>
        <w:rPr>
          <w:rFonts w:ascii="Times New Roman" w:hAnsi="Times New Roman" w:eastAsiaTheme="minorEastAsia"/>
          <w:color w:val="auto"/>
          <w:w w:val="99"/>
          <w:highlight w:val="none"/>
        </w:rPr>
        <w:t>拉运至朝一联含油污水处理站</w:t>
      </w:r>
      <w:r>
        <w:rPr>
          <w:rFonts w:hint="eastAsia" w:ascii="Times New Roman" w:hAnsi="Times New Roman" w:eastAsiaTheme="minorEastAsia"/>
          <w:color w:val="auto"/>
          <w:w w:val="99"/>
          <w:highlight w:val="none"/>
        </w:rPr>
        <w:t>处理</w:t>
      </w:r>
      <w:r>
        <w:rPr>
          <w:rFonts w:ascii="Times New Roman" w:hAnsi="Times New Roman" w:eastAsiaTheme="minorEastAsia"/>
          <w:bCs/>
          <w:color w:val="auto"/>
          <w:w w:val="99"/>
          <w:highlight w:val="none"/>
        </w:rPr>
        <w:t>满足《大庆油田地面工程建设设计规定》（Q/SYDQ0639-2015）中“含油量≤5mg/L、悬浮固体含量≤1mg/L、粒径中值≤1μm”规定后回注油层，</w:t>
      </w:r>
      <w:r>
        <w:rPr>
          <w:rFonts w:hint="eastAsia" w:ascii="Times New Roman" w:hAnsi="Times New Roman" w:eastAsiaTheme="minorEastAsia"/>
          <w:bCs/>
          <w:color w:val="auto"/>
          <w:w w:val="99"/>
          <w:highlight w:val="none"/>
        </w:rPr>
        <w:t>压滤</w:t>
      </w:r>
      <w:r>
        <w:rPr>
          <w:rFonts w:ascii="Times New Roman" w:hAnsi="Times New Roman" w:eastAsiaTheme="minorEastAsia"/>
          <w:bCs/>
          <w:color w:val="auto"/>
          <w:w w:val="99"/>
          <w:highlight w:val="none"/>
        </w:rPr>
        <w:t>泥饼满足《废弃钻井液处理规范》（DB23/T693-2000）</w:t>
      </w:r>
      <w:r>
        <w:rPr>
          <w:rFonts w:hint="eastAsia" w:ascii="Times New Roman" w:hAnsi="Times New Roman" w:eastAsiaTheme="minorEastAsia"/>
          <w:bCs/>
          <w:color w:val="auto"/>
          <w:w w:val="99"/>
          <w:highlight w:val="none"/>
        </w:rPr>
        <w:t>表1要求</w:t>
      </w:r>
      <w:r>
        <w:rPr>
          <w:rFonts w:ascii="Times New Roman" w:hAnsi="Times New Roman" w:eastAsiaTheme="minorEastAsia"/>
          <w:bCs/>
          <w:color w:val="auto"/>
          <w:w w:val="99"/>
          <w:highlight w:val="none"/>
        </w:rPr>
        <w:t>后用于铺垫井场及通井路</w:t>
      </w:r>
      <w:r>
        <w:rPr>
          <w:rFonts w:ascii="Times New Roman" w:hAnsi="Times New Roman" w:eastAsiaTheme="minorEastAsia"/>
          <w:color w:val="auto"/>
          <w:w w:val="99"/>
          <w:highlight w:val="none"/>
        </w:rPr>
        <w:t>。钢制泥浆槽位于井场内，确保本项目产生的废弃钻井液不落地。</w:t>
      </w:r>
    </w:p>
    <w:p>
      <w:pPr>
        <w:pStyle w:val="7"/>
        <w:keepNext w:val="0"/>
        <w:keepLines w:val="0"/>
        <w:widowControl w:val="0"/>
        <w:jc w:val="both"/>
        <w:rPr>
          <w:b/>
          <w:color w:val="auto"/>
          <w:w w:val="99"/>
          <w:kern w:val="2"/>
          <w:sz w:val="24"/>
          <w:szCs w:val="24"/>
          <w:highlight w:val="none"/>
        </w:rPr>
      </w:pPr>
      <w:r>
        <w:rPr>
          <w:b/>
          <w:color w:val="auto"/>
          <w:w w:val="99"/>
          <w:kern w:val="2"/>
          <w:sz w:val="24"/>
          <w:szCs w:val="24"/>
          <w:highlight w:val="none"/>
        </w:rPr>
        <w:t>6.2.2生活污水</w:t>
      </w:r>
      <w:bookmarkEnd w:id="1215"/>
      <w:bookmarkEnd w:id="1216"/>
      <w:bookmarkEnd w:id="1217"/>
      <w:bookmarkEnd w:id="1218"/>
      <w:bookmarkEnd w:id="1219"/>
      <w:bookmarkEnd w:id="1220"/>
      <w:bookmarkEnd w:id="1221"/>
      <w:bookmarkEnd w:id="1222"/>
    </w:p>
    <w:p>
      <w:pPr>
        <w:pStyle w:val="109"/>
        <w:widowControl w:val="0"/>
        <w:ind w:firstLine="473"/>
        <w:jc w:val="both"/>
        <w:rPr>
          <w:rFonts w:ascii="Times New Roman" w:hAnsi="Times New Roman" w:eastAsiaTheme="minorEastAsia"/>
          <w:color w:val="auto"/>
          <w:w w:val="99"/>
          <w:highlight w:val="none"/>
        </w:rPr>
      </w:pPr>
      <w:bookmarkStart w:id="1223" w:name="_Toc80105255"/>
      <w:r>
        <w:rPr>
          <w:rFonts w:ascii="Times New Roman" w:hAnsi="Times New Roman" w:eastAsiaTheme="minorEastAsia"/>
          <w:color w:val="auto"/>
          <w:w w:val="99"/>
          <w:highlight w:val="none"/>
        </w:rPr>
        <w:t>生活污水</w:t>
      </w:r>
      <w:r>
        <w:rPr>
          <w:rFonts w:hint="eastAsia" w:ascii="Times New Roman" w:hAnsi="Times New Roman" w:eastAsiaTheme="minorEastAsia"/>
          <w:color w:val="auto"/>
          <w:w w:val="99"/>
          <w:highlight w:val="none"/>
        </w:rPr>
        <w:t>排入施工井场内临时设置的防渗旱厕，定期清掏外运堆肥，施工结束对清空后的临时防渗旱厕进行卫生填埋处理（用石灰消毒后覆土平整）</w:t>
      </w:r>
      <w:r>
        <w:rPr>
          <w:rFonts w:ascii="Times New Roman" w:hAnsi="Times New Roman" w:eastAsiaTheme="minorEastAsia"/>
          <w:color w:val="auto"/>
          <w:w w:val="99"/>
          <w:szCs w:val="21"/>
          <w:highlight w:val="none"/>
        </w:rPr>
        <w:t>。</w:t>
      </w:r>
    </w:p>
    <w:p>
      <w:pPr>
        <w:pStyle w:val="5"/>
        <w:keepNext w:val="0"/>
        <w:keepLines w:val="0"/>
        <w:widowControl w:val="0"/>
        <w:jc w:val="both"/>
        <w:rPr>
          <w:rFonts w:ascii="Times New Roman" w:hAnsi="Times New Roman"/>
          <w:b/>
          <w:snapToGrid w:val="0"/>
          <w:color w:val="auto"/>
          <w:w w:val="99"/>
          <w:highlight w:val="none"/>
        </w:rPr>
      </w:pPr>
      <w:r>
        <w:rPr>
          <w:rFonts w:ascii="Times New Roman" w:hAnsi="Times New Roman"/>
          <w:b/>
          <w:snapToGrid w:val="0"/>
          <w:color w:val="auto"/>
          <w:w w:val="99"/>
          <w:highlight w:val="none"/>
        </w:rPr>
        <w:t>6.3地下水污染防治措施</w:t>
      </w:r>
      <w:bookmarkEnd w:id="1223"/>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根据地下水环境影响评价结果，如果工程发生事故性泄漏，将会对地下水环境造成潜在威胁，因此一定要落实好各项污染防治措施及监测计划的实施，本项目设</w:t>
      </w:r>
      <w:r>
        <w:rPr>
          <w:rFonts w:hint="eastAsia" w:ascii="Times New Roman" w:hAnsi="Times New Roman" w:cs="Times New Roman" w:eastAsiaTheme="minorEastAsia"/>
          <w:bCs/>
          <w:color w:val="auto"/>
          <w:w w:val="99"/>
          <w:kern w:val="21"/>
          <w:szCs w:val="20"/>
          <w:highlight w:val="none"/>
          <w:lang w:val="en-US" w:eastAsia="zh-CN"/>
        </w:rPr>
        <w:t>3</w:t>
      </w:r>
      <w:r>
        <w:rPr>
          <w:rFonts w:ascii="Times New Roman" w:hAnsi="Times New Roman" w:cs="Times New Roman" w:eastAsiaTheme="minorEastAsia"/>
          <w:bCs/>
          <w:color w:val="auto"/>
          <w:w w:val="99"/>
          <w:kern w:val="21"/>
          <w:szCs w:val="20"/>
          <w:highlight w:val="none"/>
        </w:rPr>
        <w:t>口跟踪监测井，定期对地下水进行监测，发生事故性泄漏后应及时对有关设施进行关停并及时维修，如果根据监测结果，发生重大污染事故且已对地下水造成污染，应进行信息公开，并与政府相关部门进行联动，聘请专家进行讨论，制定减轻地下水污染程度及控制地下水污染范围的措施，防止地下水污染加剧。</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地下水环境监测委托具有资质的单位进行，监测报告建设单位存档，并存档本项目所在地及其影响区地下水环境跟踪监测数据，各生产设施、套管、钢制泥浆槽及污染防控措施等设施的运行状况、维护记录，同时对监测结果定期进行信息公开。根据地下水影响预测结果和地下水流向，结合后续产能地面建设，在上游的潜水设</w:t>
      </w:r>
      <w:r>
        <w:rPr>
          <w:rFonts w:hint="eastAsia" w:ascii="Times New Roman" w:hAnsi="Times New Roman" w:cs="Times New Roman" w:eastAsiaTheme="minorEastAsia"/>
          <w:bCs/>
          <w:color w:val="auto"/>
          <w:w w:val="99"/>
          <w:kern w:val="21"/>
          <w:szCs w:val="20"/>
          <w:highlight w:val="none"/>
          <w:lang w:val="en-US" w:eastAsia="zh-CN"/>
        </w:rPr>
        <w:t>1</w:t>
      </w:r>
      <w:r>
        <w:rPr>
          <w:rFonts w:ascii="Times New Roman" w:hAnsi="Times New Roman" w:cs="Times New Roman" w:eastAsiaTheme="minorEastAsia"/>
          <w:bCs/>
          <w:color w:val="auto"/>
          <w:w w:val="99"/>
          <w:kern w:val="21"/>
          <w:szCs w:val="20"/>
          <w:highlight w:val="none"/>
        </w:rPr>
        <w:t>个背景监测点，在本项目区域内及下游设</w:t>
      </w:r>
      <w:r>
        <w:rPr>
          <w:rFonts w:hint="eastAsia" w:ascii="Times New Roman" w:hAnsi="Times New Roman" w:cs="Times New Roman" w:eastAsiaTheme="minorEastAsia"/>
          <w:bCs/>
          <w:color w:val="auto"/>
          <w:w w:val="99"/>
          <w:kern w:val="21"/>
          <w:szCs w:val="20"/>
          <w:highlight w:val="none"/>
          <w:lang w:val="en-US" w:eastAsia="zh-CN"/>
        </w:rPr>
        <w:t>2</w:t>
      </w:r>
      <w:r>
        <w:rPr>
          <w:rFonts w:ascii="Times New Roman" w:hAnsi="Times New Roman" w:cs="Times New Roman" w:eastAsiaTheme="minorEastAsia"/>
          <w:bCs/>
          <w:color w:val="auto"/>
          <w:w w:val="99"/>
          <w:kern w:val="21"/>
          <w:szCs w:val="20"/>
          <w:highlight w:val="none"/>
        </w:rPr>
        <w:t>个潜水跟踪监测点</w:t>
      </w:r>
      <w:r>
        <w:rPr>
          <w:rFonts w:hint="eastAsia" w:ascii="Times New Roman" w:hAnsi="Times New Roman" w:cs="Times New Roman" w:eastAsiaTheme="minorEastAsia"/>
          <w:bCs/>
          <w:color w:val="auto"/>
          <w:w w:val="99"/>
          <w:kern w:val="21"/>
          <w:szCs w:val="20"/>
          <w:highlight w:val="none"/>
          <w:lang w:eastAsia="zh-CN"/>
        </w:rPr>
        <w:t>，</w:t>
      </w:r>
      <w:r>
        <w:rPr>
          <w:rFonts w:hint="eastAsia" w:ascii="Times New Roman" w:hAnsi="Times New Roman" w:eastAsia="宋体" w:cs="Times New Roman"/>
          <w:bCs/>
          <w:color w:val="auto"/>
          <w:w w:val="99"/>
          <w:kern w:val="21"/>
          <w:szCs w:val="20"/>
          <w:highlight w:val="none"/>
        </w:rPr>
        <w:t>结合</w:t>
      </w:r>
      <w:r>
        <w:rPr>
          <w:rFonts w:hint="default" w:ascii="Times New Roman" w:hAnsi="Times New Roman" w:eastAsia="宋体" w:cs="Times New Roman"/>
          <w:bCs/>
          <w:color w:val="auto"/>
          <w:w w:val="99"/>
          <w:kern w:val="21"/>
          <w:szCs w:val="20"/>
          <w:highlight w:val="none"/>
        </w:rPr>
        <w:t>后续</w:t>
      </w:r>
      <w:r>
        <w:rPr>
          <w:rFonts w:hint="eastAsia" w:ascii="Times New Roman" w:hAnsi="Times New Roman" w:eastAsia="宋体" w:cs="Times New Roman"/>
          <w:bCs/>
          <w:color w:val="auto"/>
          <w:w w:val="99"/>
          <w:kern w:val="21"/>
          <w:szCs w:val="20"/>
          <w:highlight w:val="none"/>
        </w:rPr>
        <w:t>地面</w:t>
      </w:r>
      <w:r>
        <w:rPr>
          <w:rFonts w:hint="default" w:ascii="Times New Roman" w:hAnsi="Times New Roman" w:eastAsia="宋体" w:cs="Times New Roman"/>
          <w:bCs/>
          <w:color w:val="auto"/>
          <w:w w:val="99"/>
          <w:kern w:val="21"/>
          <w:szCs w:val="20"/>
          <w:highlight w:val="none"/>
        </w:rPr>
        <w:t>工程建设</w:t>
      </w:r>
      <w:r>
        <w:rPr>
          <w:rFonts w:hint="eastAsia" w:ascii="Times New Roman" w:hAnsi="Times New Roman" w:eastAsia="宋体" w:cs="Times New Roman"/>
          <w:bCs/>
          <w:color w:val="auto"/>
          <w:w w:val="99"/>
          <w:kern w:val="21"/>
          <w:szCs w:val="20"/>
          <w:highlight w:val="none"/>
        </w:rPr>
        <w:t>投产</w:t>
      </w:r>
      <w:r>
        <w:rPr>
          <w:rFonts w:hint="default" w:ascii="Times New Roman" w:hAnsi="Times New Roman" w:eastAsia="宋体" w:cs="Times New Roman"/>
          <w:bCs/>
          <w:color w:val="auto"/>
          <w:w w:val="99"/>
          <w:kern w:val="21"/>
          <w:szCs w:val="20"/>
          <w:highlight w:val="none"/>
        </w:rPr>
        <w:t>情况，在</w:t>
      </w:r>
      <w:r>
        <w:rPr>
          <w:rFonts w:hint="eastAsia" w:ascii="Times New Roman" w:hAnsi="Times New Roman" w:eastAsia="宋体" w:cs="Times New Roman"/>
          <w:bCs/>
          <w:color w:val="auto"/>
          <w:w w:val="99"/>
          <w:kern w:val="21"/>
          <w:szCs w:val="20"/>
          <w:highlight w:val="none"/>
        </w:rPr>
        <w:t>项目</w:t>
      </w:r>
      <w:r>
        <w:rPr>
          <w:rFonts w:hint="default" w:ascii="Times New Roman" w:hAnsi="Times New Roman" w:eastAsia="宋体" w:cs="Times New Roman"/>
          <w:bCs/>
          <w:color w:val="auto"/>
          <w:w w:val="99"/>
          <w:kern w:val="21"/>
          <w:szCs w:val="20"/>
          <w:highlight w:val="none"/>
        </w:rPr>
        <w:t>运营期开展监测。</w:t>
      </w:r>
      <w:r>
        <w:rPr>
          <w:rFonts w:ascii="Times New Roman" w:hAnsi="Times New Roman" w:cs="Times New Roman" w:eastAsiaTheme="minorEastAsia"/>
          <w:bCs/>
          <w:color w:val="auto"/>
          <w:w w:val="99"/>
          <w:kern w:val="21"/>
          <w:szCs w:val="20"/>
          <w:highlight w:val="none"/>
        </w:rPr>
        <w:t>跟踪监测计划见表6.3-1，地下水跟踪监测布点图见</w:t>
      </w:r>
      <w:r>
        <w:rPr>
          <w:rFonts w:hint="eastAsia" w:ascii="Times New Roman" w:hAnsi="Times New Roman" w:cs="Times New Roman" w:eastAsiaTheme="minorEastAsia"/>
          <w:bCs/>
          <w:color w:val="auto"/>
          <w:w w:val="99"/>
          <w:kern w:val="21"/>
          <w:szCs w:val="20"/>
          <w:highlight w:val="none"/>
          <w:lang w:eastAsia="zh-CN"/>
        </w:rPr>
        <w:t>附图13</w:t>
      </w:r>
      <w:r>
        <w:rPr>
          <w:rFonts w:ascii="Times New Roman" w:hAnsi="Times New Roman" w:cs="Times New Roman" w:eastAsiaTheme="minorEastAsia"/>
          <w:bCs/>
          <w:color w:val="auto"/>
          <w:w w:val="99"/>
          <w:kern w:val="21"/>
          <w:szCs w:val="20"/>
          <w:highlight w:val="none"/>
        </w:rPr>
        <w:t>。</w:t>
      </w:r>
    </w:p>
    <w:p>
      <w:pPr>
        <w:spacing w:line="500" w:lineRule="exact"/>
        <w:ind w:firstLine="476" w:firstLineChars="200"/>
        <w:jc w:val="both"/>
        <w:rPr>
          <w:rFonts w:ascii="Times New Roman" w:hAnsi="Times New Roman" w:cs="Times New Roman" w:eastAsiaTheme="minorEastAsia"/>
          <w:b/>
          <w:bCs w:val="0"/>
          <w:color w:val="auto"/>
          <w:w w:val="99"/>
          <w:kern w:val="21"/>
          <w:szCs w:val="20"/>
          <w:highlight w:val="none"/>
        </w:rPr>
      </w:pPr>
      <w:r>
        <w:rPr>
          <w:rFonts w:ascii="Times New Roman" w:hAnsi="Times New Roman" w:cs="Times New Roman" w:eastAsiaTheme="minorEastAsia"/>
          <w:b/>
          <w:bCs w:val="0"/>
          <w:color w:val="auto"/>
          <w:w w:val="99"/>
          <w:kern w:val="21"/>
          <w:szCs w:val="20"/>
          <w:highlight w:val="none"/>
        </w:rPr>
        <w:t>表6.3-1                  地下水环境监测计划表</w:t>
      </w:r>
    </w:p>
    <w:tbl>
      <w:tblPr>
        <w:tblStyle w:val="82"/>
        <w:tblW w:w="928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1332"/>
        <w:gridCol w:w="1134"/>
        <w:gridCol w:w="1847"/>
        <w:gridCol w:w="1697"/>
        <w:gridCol w:w="1134"/>
        <w:gridCol w:w="10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点位</w:t>
            </w:r>
          </w:p>
        </w:tc>
        <w:tc>
          <w:tcPr>
            <w:tcW w:w="1332"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功能</w:t>
            </w:r>
          </w:p>
        </w:tc>
        <w:tc>
          <w:tcPr>
            <w:tcW w:w="1134"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监测因子</w:t>
            </w:r>
          </w:p>
        </w:tc>
        <w:tc>
          <w:tcPr>
            <w:tcW w:w="1847"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坐标</w:t>
            </w:r>
          </w:p>
        </w:tc>
        <w:tc>
          <w:tcPr>
            <w:tcW w:w="1697"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位置</w:t>
            </w:r>
          </w:p>
        </w:tc>
        <w:tc>
          <w:tcPr>
            <w:tcW w:w="1134"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监测层位</w:t>
            </w:r>
          </w:p>
        </w:tc>
        <w:tc>
          <w:tcPr>
            <w:tcW w:w="1070"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dxa"/>
            <w:vAlign w:val="center"/>
          </w:tcPr>
          <w:p>
            <w:pPr>
              <w:pStyle w:val="1678"/>
              <w:widowControl w:val="0"/>
              <w:adjustRightInd/>
              <w:spacing w:after="0" w:line="360" w:lineRule="exact"/>
              <w:rPr>
                <w:rFonts w:hint="eastAsia" w:ascii="Times New Roman" w:hAnsi="Times New Roman" w:cs="Times New Roman" w:eastAsiaTheme="minorEastAsia"/>
                <w:color w:val="auto"/>
                <w:w w:val="99"/>
                <w:szCs w:val="21"/>
                <w:highlight w:val="none"/>
                <w:lang w:eastAsia="zh-CN"/>
              </w:rPr>
            </w:pPr>
            <w:r>
              <w:rPr>
                <w:rFonts w:hint="eastAsia" w:ascii="Times New Roman" w:hAnsi="Times New Roman" w:cs="Times New Roman" w:eastAsiaTheme="minorEastAsia"/>
                <w:color w:val="auto"/>
                <w:w w:val="99"/>
                <w:szCs w:val="21"/>
                <w:highlight w:val="none"/>
                <w:lang w:eastAsia="zh-CN"/>
              </w:rPr>
              <w:t>后仓粮</w:t>
            </w:r>
          </w:p>
        </w:tc>
        <w:tc>
          <w:tcPr>
            <w:tcW w:w="1332"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背景监测点</w:t>
            </w:r>
          </w:p>
        </w:tc>
        <w:tc>
          <w:tcPr>
            <w:tcW w:w="1134" w:type="dxa"/>
            <w:vMerge w:val="restart"/>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kern w:val="2"/>
                <w:szCs w:val="21"/>
                <w:highlight w:val="none"/>
              </w:rPr>
              <w:t>pH、挥发酚、石油类、</w:t>
            </w:r>
            <w:r>
              <w:rPr>
                <w:rFonts w:hint="eastAsia" w:ascii="Times New Roman" w:hAnsi="Times New Roman" w:cs="Times New Roman" w:eastAsiaTheme="minorEastAsia"/>
                <w:color w:val="auto"/>
                <w:w w:val="99"/>
                <w:kern w:val="2"/>
                <w:szCs w:val="21"/>
                <w:highlight w:val="none"/>
                <w:lang w:eastAsia="zh-CN"/>
              </w:rPr>
              <w:t>耗氧量</w:t>
            </w:r>
            <w:r>
              <w:rPr>
                <w:rFonts w:ascii="Times New Roman" w:hAnsi="Times New Roman" w:cs="Times New Roman" w:eastAsiaTheme="minorEastAsia"/>
                <w:color w:val="auto"/>
                <w:w w:val="99"/>
                <w:kern w:val="2"/>
                <w:szCs w:val="21"/>
                <w:highlight w:val="none"/>
              </w:rPr>
              <w:t>（耗氧量）</w:t>
            </w:r>
          </w:p>
        </w:tc>
        <w:tc>
          <w:tcPr>
            <w:tcW w:w="1847" w:type="dxa"/>
            <w:vAlign w:val="center"/>
          </w:tcPr>
          <w:p>
            <w:pPr>
              <w:widowControl w:val="0"/>
              <w:snapToGrid w:val="0"/>
              <w:spacing w:line="360" w:lineRule="exact"/>
              <w:jc w:val="center"/>
              <w:rPr>
                <w:rFonts w:ascii="Times New Roman" w:hAnsi="Times New Roman" w:cs="Times New Roman" w:eastAsiaTheme="minorEastAsia"/>
                <w:color w:val="auto"/>
                <w:w w:val="99"/>
                <w:szCs w:val="21"/>
                <w:highlight w:val="none"/>
              </w:rPr>
            </w:pPr>
            <w:r>
              <w:rPr>
                <w:rFonts w:hint="eastAsia" w:ascii="Times New Roman" w:hAnsi="Times New Roman" w:cs="Times New Roman" w:eastAsiaTheme="minorEastAsia"/>
                <w:color w:val="auto"/>
                <w:w w:val="99"/>
                <w:kern w:val="2"/>
                <w:sz w:val="21"/>
                <w:szCs w:val="21"/>
                <w:highlight w:val="none"/>
              </w:rPr>
              <w:t>125.01523018,45.57848391</w:t>
            </w:r>
          </w:p>
        </w:tc>
        <w:tc>
          <w:tcPr>
            <w:tcW w:w="1697" w:type="dxa"/>
            <w:vAlign w:val="center"/>
          </w:tcPr>
          <w:p>
            <w:pPr>
              <w:widowControl w:val="0"/>
              <w:snapToGrid w:val="0"/>
              <w:spacing w:line="360" w:lineRule="exact"/>
              <w:jc w:val="center"/>
              <w:rPr>
                <w:rFonts w:ascii="Times New Roman" w:hAnsi="Times New Roman" w:cs="Times New Roman" w:eastAsiaTheme="minorEastAsia"/>
                <w:color w:val="auto"/>
                <w:w w:val="99"/>
                <w:szCs w:val="21"/>
                <w:highlight w:val="none"/>
              </w:rPr>
            </w:pPr>
            <w:r>
              <w:rPr>
                <w:rFonts w:hint="eastAsia" w:ascii="Times New Roman" w:hAnsi="Times New Roman" w:cs="Times New Roman" w:eastAsiaTheme="minorEastAsia"/>
                <w:color w:val="auto"/>
                <w:w w:val="99"/>
                <w:kern w:val="2"/>
                <w:sz w:val="21"/>
                <w:szCs w:val="21"/>
                <w:highlight w:val="none"/>
              </w:rPr>
              <w:t>拟钻井源244-134</w:t>
            </w:r>
            <w:r>
              <w:rPr>
                <w:rFonts w:hint="eastAsia" w:ascii="Times New Roman" w:hAnsi="Times New Roman" w:cs="Times New Roman" w:eastAsiaTheme="minorEastAsia"/>
                <w:color w:val="auto"/>
                <w:w w:val="99"/>
                <w:kern w:val="2"/>
                <w:sz w:val="21"/>
                <w:szCs w:val="21"/>
                <w:highlight w:val="none"/>
                <w:lang w:eastAsia="zh-CN"/>
              </w:rPr>
              <w:t>东北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val="en-US" w:eastAsia="zh-CN"/>
              </w:rPr>
              <w:t>537</w:t>
            </w:r>
            <w:r>
              <w:rPr>
                <w:rFonts w:ascii="Times New Roman" w:hAnsi="Times New Roman" w:cs="Times New Roman" w:eastAsiaTheme="minorEastAsia"/>
                <w:color w:val="auto"/>
                <w:w w:val="99"/>
                <w:kern w:val="2"/>
                <w:sz w:val="21"/>
                <w:szCs w:val="21"/>
                <w:highlight w:val="none"/>
              </w:rPr>
              <w:t>m</w:t>
            </w:r>
          </w:p>
        </w:tc>
        <w:tc>
          <w:tcPr>
            <w:tcW w:w="1134"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潜水</w:t>
            </w:r>
          </w:p>
        </w:tc>
        <w:tc>
          <w:tcPr>
            <w:tcW w:w="1070" w:type="dxa"/>
            <w:vMerge w:val="restart"/>
            <w:vAlign w:val="center"/>
          </w:tcPr>
          <w:p>
            <w:pPr>
              <w:pStyle w:val="1678"/>
              <w:widowControl w:val="0"/>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1次/施工期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dxa"/>
            <w:vAlign w:val="center"/>
          </w:tcPr>
          <w:p>
            <w:pPr>
              <w:pStyle w:val="1678"/>
              <w:widowControl w:val="0"/>
              <w:adjustRightInd/>
              <w:spacing w:after="0" w:line="360" w:lineRule="exact"/>
              <w:rPr>
                <w:rFonts w:hint="eastAsia" w:ascii="Times New Roman" w:hAnsi="Times New Roman" w:cs="Times New Roman" w:eastAsiaTheme="minorEastAsia"/>
                <w:color w:val="auto"/>
                <w:w w:val="99"/>
                <w:szCs w:val="21"/>
                <w:highlight w:val="none"/>
                <w:lang w:eastAsia="zh-CN"/>
              </w:rPr>
            </w:pPr>
            <w:r>
              <w:rPr>
                <w:rFonts w:hint="eastAsia" w:ascii="Times New Roman" w:hAnsi="Times New Roman" w:cs="Times New Roman" w:eastAsiaTheme="minorEastAsia"/>
                <w:color w:val="auto"/>
                <w:w w:val="99"/>
                <w:szCs w:val="21"/>
                <w:highlight w:val="none"/>
                <w:lang w:eastAsia="zh-CN"/>
              </w:rPr>
              <w:t>厢房屯</w:t>
            </w:r>
          </w:p>
        </w:tc>
        <w:tc>
          <w:tcPr>
            <w:tcW w:w="1332"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跟踪监测点</w:t>
            </w:r>
          </w:p>
        </w:tc>
        <w:tc>
          <w:tcPr>
            <w:tcW w:w="1134" w:type="dxa"/>
            <w:vMerge w:val="continue"/>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p>
        </w:tc>
        <w:tc>
          <w:tcPr>
            <w:tcW w:w="1847" w:type="dxa"/>
            <w:vAlign w:val="center"/>
          </w:tcPr>
          <w:p>
            <w:pPr>
              <w:widowControl w:val="0"/>
              <w:snapToGrid w:val="0"/>
              <w:spacing w:line="360" w:lineRule="exact"/>
              <w:jc w:val="center"/>
              <w:rPr>
                <w:rFonts w:ascii="Times New Roman" w:hAnsi="Times New Roman" w:cs="Times New Roman" w:eastAsiaTheme="minorEastAsia"/>
                <w:color w:val="auto"/>
                <w:w w:val="99"/>
                <w:szCs w:val="21"/>
                <w:highlight w:val="none"/>
              </w:rPr>
            </w:pPr>
            <w:r>
              <w:rPr>
                <w:rFonts w:hint="eastAsia" w:ascii="Times New Roman" w:hAnsi="Times New Roman" w:cs="Times New Roman" w:eastAsiaTheme="minorEastAsia"/>
                <w:color w:val="auto"/>
                <w:w w:val="99"/>
                <w:kern w:val="2"/>
                <w:sz w:val="21"/>
                <w:szCs w:val="21"/>
                <w:highlight w:val="none"/>
              </w:rPr>
              <w:t>125.00428677,45.56709843</w:t>
            </w:r>
          </w:p>
        </w:tc>
        <w:tc>
          <w:tcPr>
            <w:tcW w:w="1697" w:type="dxa"/>
            <w:vAlign w:val="center"/>
          </w:tcPr>
          <w:p>
            <w:pPr>
              <w:widowControl w:val="0"/>
              <w:snapToGrid w:val="0"/>
              <w:spacing w:line="360" w:lineRule="exact"/>
              <w:jc w:val="center"/>
              <w:rPr>
                <w:rFonts w:ascii="Times New Roman" w:hAnsi="Times New Roman" w:cs="Times New Roman" w:eastAsiaTheme="minorEastAsia"/>
                <w:color w:val="auto"/>
                <w:w w:val="99"/>
                <w:szCs w:val="21"/>
                <w:highlight w:val="none"/>
              </w:rPr>
            </w:pPr>
            <w:r>
              <w:rPr>
                <w:rFonts w:hint="eastAsia" w:ascii="Times New Roman" w:hAnsi="Times New Roman" w:cs="Times New Roman" w:eastAsiaTheme="minorEastAsia"/>
                <w:color w:val="auto"/>
                <w:w w:val="99"/>
                <w:kern w:val="2"/>
                <w:sz w:val="21"/>
                <w:szCs w:val="21"/>
                <w:highlight w:val="none"/>
              </w:rPr>
              <w:t>拟钻井源248-130南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234m</w:t>
            </w:r>
          </w:p>
        </w:tc>
        <w:tc>
          <w:tcPr>
            <w:tcW w:w="1134"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潜水</w:t>
            </w:r>
          </w:p>
        </w:tc>
        <w:tc>
          <w:tcPr>
            <w:tcW w:w="1070" w:type="dxa"/>
            <w:vMerge w:val="continue"/>
            <w:vAlign w:val="center"/>
          </w:tcPr>
          <w:p>
            <w:pPr>
              <w:pStyle w:val="1678"/>
              <w:widowControl w:val="0"/>
              <w:spacing w:after="0" w:line="360" w:lineRule="exact"/>
              <w:rPr>
                <w:rFonts w:ascii="Times New Roman" w:hAnsi="Times New Roman" w:cs="Times New Roman" w:eastAsiaTheme="minorEastAsia"/>
                <w:color w:val="auto"/>
                <w:w w:val="99"/>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dxa"/>
            <w:vAlign w:val="center"/>
          </w:tcPr>
          <w:p>
            <w:pPr>
              <w:pStyle w:val="1678"/>
              <w:widowControl w:val="0"/>
              <w:adjustRightInd/>
              <w:spacing w:after="0" w:line="360" w:lineRule="exact"/>
              <w:rPr>
                <w:rFonts w:hint="eastAsia" w:ascii="Times New Roman" w:hAnsi="Times New Roman" w:cs="Times New Roman" w:eastAsiaTheme="minorEastAsia"/>
                <w:color w:val="auto"/>
                <w:w w:val="99"/>
                <w:szCs w:val="21"/>
                <w:highlight w:val="none"/>
                <w:lang w:eastAsia="zh-CN"/>
              </w:rPr>
            </w:pPr>
            <w:r>
              <w:rPr>
                <w:rFonts w:hint="eastAsia" w:ascii="Times New Roman" w:hAnsi="Times New Roman" w:cs="Times New Roman" w:eastAsiaTheme="minorEastAsia"/>
                <w:color w:val="auto"/>
                <w:w w:val="99"/>
                <w:szCs w:val="21"/>
                <w:highlight w:val="none"/>
                <w:lang w:eastAsia="zh-CN"/>
              </w:rPr>
              <w:t>后永利村</w:t>
            </w:r>
          </w:p>
        </w:tc>
        <w:tc>
          <w:tcPr>
            <w:tcW w:w="1332"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跟踪监测点</w:t>
            </w:r>
          </w:p>
        </w:tc>
        <w:tc>
          <w:tcPr>
            <w:tcW w:w="1134" w:type="dxa"/>
            <w:vMerge w:val="continue"/>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p>
        </w:tc>
        <w:tc>
          <w:tcPr>
            <w:tcW w:w="1847" w:type="dxa"/>
            <w:vAlign w:val="center"/>
          </w:tcPr>
          <w:p>
            <w:pPr>
              <w:widowControl w:val="0"/>
              <w:snapToGrid w:val="0"/>
              <w:spacing w:line="360" w:lineRule="exact"/>
              <w:jc w:val="center"/>
              <w:rPr>
                <w:rFonts w:ascii="Times New Roman" w:hAnsi="Times New Roman" w:cs="Times New Roman" w:eastAsiaTheme="minorEastAsia"/>
                <w:color w:val="auto"/>
                <w:w w:val="99"/>
                <w:kern w:val="2"/>
                <w:szCs w:val="21"/>
                <w:highlight w:val="none"/>
              </w:rPr>
            </w:pPr>
            <w:r>
              <w:rPr>
                <w:rFonts w:hint="eastAsia" w:ascii="Times New Roman" w:hAnsi="Times New Roman" w:cs="Times New Roman" w:eastAsiaTheme="minorEastAsia"/>
                <w:color w:val="auto"/>
                <w:w w:val="99"/>
                <w:kern w:val="2"/>
                <w:sz w:val="21"/>
                <w:szCs w:val="21"/>
                <w:highlight w:val="none"/>
              </w:rPr>
              <w:t>124.99969482,45.55114286</w:t>
            </w:r>
          </w:p>
        </w:tc>
        <w:tc>
          <w:tcPr>
            <w:tcW w:w="1697" w:type="dxa"/>
            <w:vAlign w:val="center"/>
          </w:tcPr>
          <w:p>
            <w:pPr>
              <w:widowControl w:val="0"/>
              <w:snapToGrid w:val="0"/>
              <w:spacing w:line="360" w:lineRule="exact"/>
              <w:jc w:val="center"/>
              <w:rPr>
                <w:rFonts w:ascii="Times New Roman" w:hAnsi="Times New Roman" w:cs="Times New Roman" w:eastAsiaTheme="minorEastAsia"/>
                <w:color w:val="auto"/>
                <w:w w:val="99"/>
                <w:kern w:val="21"/>
                <w:szCs w:val="21"/>
                <w:highlight w:val="none"/>
              </w:rPr>
            </w:pPr>
            <w:r>
              <w:rPr>
                <w:rFonts w:hint="eastAsia" w:ascii="Times New Roman" w:hAnsi="Times New Roman" w:cs="Times New Roman" w:eastAsiaTheme="minorEastAsia"/>
                <w:color w:val="auto"/>
                <w:w w:val="99"/>
                <w:kern w:val="2"/>
                <w:sz w:val="21"/>
                <w:szCs w:val="21"/>
                <w:highlight w:val="none"/>
              </w:rPr>
              <w:t>拟钻井源312-116东南侧516m</w:t>
            </w:r>
          </w:p>
        </w:tc>
        <w:tc>
          <w:tcPr>
            <w:tcW w:w="1134"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潜水</w:t>
            </w:r>
          </w:p>
        </w:tc>
        <w:tc>
          <w:tcPr>
            <w:tcW w:w="1070" w:type="dxa"/>
            <w:vMerge w:val="continue"/>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p>
        </w:tc>
      </w:tr>
    </w:tbl>
    <w:p>
      <w:pPr>
        <w:widowControl w:val="0"/>
        <w:spacing w:line="500" w:lineRule="exact"/>
        <w:ind w:firstLine="474" w:firstLineChars="200"/>
        <w:jc w:val="both"/>
        <w:rPr>
          <w:rFonts w:ascii="Times New Roman" w:hAnsi="Times New Roman" w:cs="Times New Roman" w:eastAsiaTheme="minorEastAsia"/>
          <w:snapToGrid w:val="0"/>
          <w:color w:val="auto"/>
          <w:w w:val="99"/>
          <w:szCs w:val="20"/>
          <w:highlight w:val="none"/>
        </w:rPr>
      </w:pPr>
      <w:r>
        <w:rPr>
          <w:rFonts w:ascii="Times New Roman" w:hAnsi="Times New Roman" w:cs="Times New Roman" w:eastAsiaTheme="minorEastAsia"/>
          <w:snapToGrid w:val="0"/>
          <w:color w:val="auto"/>
          <w:w w:val="99"/>
          <w:szCs w:val="20"/>
          <w:highlight w:val="none"/>
        </w:rPr>
        <w:t>从以上分析表明，正常钻井过程不会对地下水造成污染。但井喷、井漏等突发性泄漏，如处理不及时则可能造成污染。因此提出如下污染防治措施及建议：</w:t>
      </w:r>
    </w:p>
    <w:p>
      <w:pPr>
        <w:widowControl w:val="0"/>
        <w:spacing w:line="500" w:lineRule="exact"/>
        <w:ind w:firstLine="474" w:firstLineChars="200"/>
        <w:jc w:val="both"/>
        <w:rPr>
          <w:rFonts w:ascii="Times New Roman" w:hAnsi="Times New Roman" w:cs="Times New Roman" w:eastAsiaTheme="minorEastAsia"/>
          <w:snapToGrid w:val="0"/>
          <w:color w:val="auto"/>
          <w:w w:val="99"/>
          <w:szCs w:val="20"/>
          <w:highlight w:val="none"/>
        </w:rPr>
      </w:pPr>
      <w:r>
        <w:rPr>
          <w:rFonts w:ascii="Times New Roman" w:hAnsi="Times New Roman" w:cs="Times New Roman" w:eastAsiaTheme="minorEastAsia"/>
          <w:snapToGrid w:val="0"/>
          <w:color w:val="auto"/>
          <w:w w:val="99"/>
          <w:szCs w:val="20"/>
          <w:highlight w:val="none"/>
        </w:rPr>
        <w:t>（1）保证固井质量，严防油井深部原油渗入含水层；</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（2）油田钻井对地下水造成污染的可能性较小。但是井场设施泄漏，如处理不及时则可能造成污染。因此根据《环境影响评价技术导则 地下水环境》（HJ 610-2016）表7中的地下水污染防渗分区参照表，钻井工程的井场地下水环境分区防渗提出如下措施：</w:t>
      </w:r>
      <w:r>
        <w:rPr>
          <w:rFonts w:ascii="Times New Roman" w:hAnsi="Times New Roman" w:cs="Times New Roman" w:eastAsiaTheme="minorEastAsia"/>
          <w:bCs/>
          <w:color w:val="auto"/>
          <w:w w:val="99"/>
          <w:kern w:val="2"/>
          <w:highlight w:val="none"/>
        </w:rPr>
        <w:t>柴油罐区、钻井液罐区、发电机房、钢制泥浆槽、KOH材料房、钻井泵、钻台等处属于重点防渗区，采用地面碾压平整并铺设2mm厚防渗土工布进行防渗，渗透系数</w:t>
      </w:r>
      <w:r>
        <w:rPr>
          <w:rFonts w:hint="eastAsia" w:ascii="Times New Roman" w:hAnsi="Times New Roman" w:cs="Times New Roman" w:eastAsiaTheme="minorEastAsia"/>
          <w:bCs/>
          <w:color w:val="auto"/>
          <w:w w:val="99"/>
          <w:kern w:val="2"/>
          <w:highlight w:val="none"/>
        </w:rPr>
        <w:t>为</w:t>
      </w:r>
      <w:r>
        <w:rPr>
          <w:rFonts w:ascii="Times New Roman" w:hAnsi="Times New Roman" w:cs="Times New Roman" w:eastAsiaTheme="minorEastAsia"/>
          <w:bCs/>
          <w:color w:val="auto"/>
          <w:w w:val="99"/>
          <w:kern w:val="2"/>
          <w:highlight w:val="none"/>
        </w:rPr>
        <w:t>1×10</w:t>
      </w:r>
      <w:r>
        <w:rPr>
          <w:rFonts w:ascii="Times New Roman" w:hAnsi="Times New Roman" w:cs="Times New Roman" w:eastAsiaTheme="minorEastAsia"/>
          <w:bCs/>
          <w:color w:val="auto"/>
          <w:w w:val="99"/>
          <w:kern w:val="2"/>
          <w:highlight w:val="none"/>
          <w:vertAlign w:val="superscript"/>
        </w:rPr>
        <w:t>-10</w:t>
      </w:r>
      <w:r>
        <w:rPr>
          <w:rFonts w:ascii="Times New Roman" w:hAnsi="Times New Roman" w:cs="Times New Roman" w:eastAsiaTheme="minorEastAsia"/>
          <w:bCs/>
          <w:color w:val="auto"/>
          <w:w w:val="99"/>
          <w:kern w:val="2"/>
          <w:highlight w:val="none"/>
        </w:rPr>
        <w:t>cm/s，满足</w:t>
      </w:r>
      <w:r>
        <w:rPr>
          <w:rFonts w:ascii="Times New Roman" w:hAnsi="Times New Roman" w:cs="Times New Roman" w:eastAsiaTheme="minorEastAsia"/>
          <w:bCs/>
          <w:color w:val="auto"/>
          <w:w w:val="99"/>
          <w:highlight w:val="none"/>
        </w:rPr>
        <w:t>导则中关于重点防渗区等效黏土防渗层Mb≥6.0m，K≤1×10</w:t>
      </w:r>
      <w:r>
        <w:rPr>
          <w:rFonts w:ascii="Times New Roman" w:hAnsi="Times New Roman" w:cs="Times New Roman" w:eastAsiaTheme="minorEastAsia"/>
          <w:bCs/>
          <w:color w:val="auto"/>
          <w:w w:val="99"/>
          <w:highlight w:val="none"/>
          <w:vertAlign w:val="superscript"/>
        </w:rPr>
        <w:t>-7</w:t>
      </w:r>
      <w:r>
        <w:rPr>
          <w:rFonts w:ascii="Times New Roman" w:hAnsi="Times New Roman" w:cs="Times New Roman" w:eastAsiaTheme="minorEastAsia"/>
          <w:bCs/>
          <w:color w:val="auto"/>
          <w:w w:val="99"/>
          <w:highlight w:val="none"/>
        </w:rPr>
        <w:t>cm/s防渗技术要求</w:t>
      </w:r>
      <w:r>
        <w:rPr>
          <w:rFonts w:ascii="Times New Roman" w:hAnsi="Times New Roman" w:cs="Times New Roman" w:eastAsiaTheme="minorEastAsia"/>
          <w:bCs/>
          <w:color w:val="auto"/>
          <w:w w:val="99"/>
          <w:kern w:val="2"/>
          <w:highlight w:val="none"/>
        </w:rPr>
        <w:t>；钻井液材料房、其他材料房</w:t>
      </w:r>
      <w:r>
        <w:rPr>
          <w:rFonts w:hint="eastAsia" w:ascii="Times New Roman" w:hAnsi="Times New Roman" w:cs="Times New Roman" w:eastAsiaTheme="minorEastAsia"/>
          <w:bCs/>
          <w:color w:val="auto"/>
          <w:w w:val="99"/>
          <w:kern w:val="2"/>
          <w:highlight w:val="none"/>
        </w:rPr>
        <w:t>、临时</w:t>
      </w:r>
      <w:r>
        <w:rPr>
          <w:rFonts w:ascii="Times New Roman" w:hAnsi="Times New Roman" w:cs="Times New Roman" w:eastAsiaTheme="minorEastAsia"/>
          <w:bCs/>
          <w:color w:val="auto"/>
          <w:w w:val="99"/>
          <w:kern w:val="2"/>
          <w:highlight w:val="none"/>
        </w:rPr>
        <w:t>旱厕做一般防渗处理，采用1.5m厚黏土防渗层，渗透系数</w:t>
      </w:r>
      <w:r>
        <w:rPr>
          <w:rFonts w:hint="eastAsia" w:ascii="Times New Roman" w:hAnsi="Times New Roman" w:cs="Times New Roman" w:eastAsiaTheme="minorEastAsia"/>
          <w:bCs/>
          <w:color w:val="auto"/>
          <w:w w:val="99"/>
          <w:kern w:val="2"/>
          <w:highlight w:val="none"/>
        </w:rPr>
        <w:t>为</w:t>
      </w:r>
      <w:r>
        <w:rPr>
          <w:rFonts w:ascii="Times New Roman" w:hAnsi="Times New Roman" w:cs="Times New Roman" w:eastAsiaTheme="minorEastAsia"/>
          <w:bCs/>
          <w:color w:val="auto"/>
          <w:w w:val="99"/>
          <w:kern w:val="2"/>
          <w:highlight w:val="none"/>
        </w:rPr>
        <w:t>1.0×10</w:t>
      </w:r>
      <w:r>
        <w:rPr>
          <w:rFonts w:ascii="Times New Roman" w:hAnsi="Times New Roman" w:cs="Times New Roman" w:eastAsiaTheme="minorEastAsia"/>
          <w:bCs/>
          <w:color w:val="auto"/>
          <w:w w:val="99"/>
          <w:kern w:val="2"/>
          <w:highlight w:val="none"/>
          <w:vertAlign w:val="superscript"/>
        </w:rPr>
        <w:t>-7</w:t>
      </w:r>
      <w:r>
        <w:rPr>
          <w:rFonts w:ascii="Times New Roman" w:hAnsi="Times New Roman" w:cs="Times New Roman" w:eastAsiaTheme="minorEastAsia"/>
          <w:bCs/>
          <w:color w:val="auto"/>
          <w:w w:val="99"/>
          <w:kern w:val="2"/>
          <w:highlight w:val="none"/>
        </w:rPr>
        <w:t>cm/s，满足</w:t>
      </w:r>
      <w:r>
        <w:rPr>
          <w:rFonts w:ascii="Times New Roman" w:hAnsi="Times New Roman" w:cs="Times New Roman" w:eastAsiaTheme="minorEastAsia"/>
          <w:bCs/>
          <w:color w:val="auto"/>
          <w:w w:val="99"/>
          <w:highlight w:val="none"/>
        </w:rPr>
        <w:t>导则中关于一般防渗区等效黏土防渗层Mb≥1.5m，K≤1×10</w:t>
      </w:r>
      <w:r>
        <w:rPr>
          <w:rFonts w:ascii="Times New Roman" w:hAnsi="Times New Roman" w:cs="Times New Roman" w:eastAsiaTheme="minorEastAsia"/>
          <w:bCs/>
          <w:color w:val="auto"/>
          <w:w w:val="99"/>
          <w:highlight w:val="none"/>
          <w:vertAlign w:val="superscript"/>
        </w:rPr>
        <w:t>-7</w:t>
      </w:r>
      <w:r>
        <w:rPr>
          <w:rFonts w:ascii="Times New Roman" w:hAnsi="Times New Roman" w:cs="Times New Roman" w:eastAsiaTheme="minorEastAsia"/>
          <w:bCs/>
          <w:color w:val="auto"/>
          <w:w w:val="99"/>
          <w:highlight w:val="none"/>
        </w:rPr>
        <w:t>cm/s防渗技术要求</w:t>
      </w:r>
      <w:r>
        <w:rPr>
          <w:rFonts w:ascii="Times New Roman" w:hAnsi="Times New Roman" w:cs="Times New Roman" w:eastAsiaTheme="minorEastAsia"/>
          <w:color w:val="auto"/>
          <w:w w:val="99"/>
          <w:kern w:val="2"/>
          <w:highlight w:val="none"/>
        </w:rPr>
        <w:t>；</w:t>
      </w:r>
      <w:r>
        <w:rPr>
          <w:rFonts w:ascii="Times New Roman" w:hAnsi="Times New Roman" w:cs="Times New Roman" w:eastAsiaTheme="minorEastAsia"/>
          <w:bCs/>
          <w:color w:val="auto"/>
          <w:w w:val="99"/>
          <w:highlight w:val="none"/>
        </w:rPr>
        <w:t>井场其他区域属于简单防渗区，采用地面碾压平整进行防渗，满足导则中关于简单防渗区一般地面硬化防渗技术要求。</w:t>
      </w:r>
      <w:r>
        <w:rPr>
          <w:rFonts w:ascii="Times New Roman" w:hAnsi="Times New Roman" w:cs="Times New Roman" w:eastAsiaTheme="minorEastAsia"/>
          <w:color w:val="auto"/>
          <w:w w:val="99"/>
          <w:kern w:val="2"/>
          <w:highlight w:val="none"/>
        </w:rPr>
        <w:t>定期对油井的套管情况进行检测，发现异常情况及时处理，防止污染地下水。</w:t>
      </w:r>
      <w:r>
        <w:rPr>
          <w:rFonts w:hint="eastAsia" w:ascii="Times New Roman" w:hAnsi="Times New Roman" w:cs="Times New Roman" w:eastAsiaTheme="minorEastAsia"/>
          <w:color w:val="auto"/>
          <w:w w:val="99"/>
          <w:kern w:val="2"/>
          <w:highlight w:val="none"/>
        </w:rPr>
        <w:t>项目污染防渗区划分</w:t>
      </w:r>
      <w:r>
        <w:rPr>
          <w:rFonts w:ascii="Times New Roman" w:hAnsi="Times New Roman" w:cs="Times New Roman" w:eastAsiaTheme="minorEastAsia"/>
          <w:color w:val="auto"/>
          <w:w w:val="99"/>
          <w:kern w:val="2"/>
          <w:highlight w:val="none"/>
        </w:rPr>
        <w:t>见表</w:t>
      </w:r>
      <w:r>
        <w:rPr>
          <w:rFonts w:hint="eastAsia" w:ascii="Times New Roman" w:hAnsi="Times New Roman" w:cs="Times New Roman" w:eastAsiaTheme="minorEastAsia"/>
          <w:color w:val="auto"/>
          <w:w w:val="99"/>
          <w:kern w:val="2"/>
          <w:highlight w:val="none"/>
        </w:rPr>
        <w:t>6.3-2，</w:t>
      </w:r>
      <w:r>
        <w:rPr>
          <w:rFonts w:ascii="Times New Roman" w:hAnsi="Times New Roman" w:cs="Times New Roman" w:eastAsiaTheme="minorEastAsia"/>
          <w:color w:val="auto"/>
          <w:w w:val="99"/>
          <w:kern w:val="2"/>
          <w:highlight w:val="none"/>
        </w:rPr>
        <w:t>本项目井场分区防渗图见图</w:t>
      </w:r>
      <w:r>
        <w:rPr>
          <w:rFonts w:ascii="Times New Roman" w:hAnsi="Times New Roman" w:cs="Times New Roman" w:eastAsiaTheme="minorEastAsia"/>
          <w:bCs/>
          <w:color w:val="auto"/>
          <w:w w:val="99"/>
          <w:kern w:val="21"/>
          <w:szCs w:val="20"/>
          <w:highlight w:val="none"/>
        </w:rPr>
        <w:t>6.3-1</w:t>
      </w:r>
      <w:r>
        <w:rPr>
          <w:rFonts w:ascii="Times New Roman" w:hAnsi="Times New Roman" w:cs="Times New Roman" w:eastAsiaTheme="minorEastAsia"/>
          <w:color w:val="auto"/>
          <w:w w:val="99"/>
          <w:kern w:val="2"/>
          <w:highlight w:val="none"/>
        </w:rPr>
        <w:t>。</w:t>
      </w:r>
    </w:p>
    <w:p>
      <w:pPr>
        <w:spacing w:line="500" w:lineRule="exact"/>
        <w:ind w:firstLine="476" w:firstLineChars="200"/>
        <w:jc w:val="both"/>
        <w:rPr>
          <w:rFonts w:ascii="Times New Roman" w:hAnsi="Times New Roman" w:cs="Times New Roman" w:eastAsiaTheme="minorEastAsia"/>
          <w:b/>
          <w:bCs/>
          <w:color w:val="auto"/>
          <w:w w:val="99"/>
          <w:highlight w:val="none"/>
        </w:rPr>
      </w:pPr>
      <w:r>
        <w:rPr>
          <w:rFonts w:ascii="Times New Roman" w:hAnsi="Times New Roman" w:cs="Times New Roman" w:eastAsiaTheme="minorEastAsia"/>
          <w:b/>
          <w:bCs/>
          <w:color w:val="auto"/>
          <w:w w:val="99"/>
          <w:kern w:val="2"/>
          <w:highlight w:val="none"/>
        </w:rPr>
        <w:t>表</w:t>
      </w:r>
      <w:r>
        <w:rPr>
          <w:rFonts w:hint="eastAsia" w:ascii="Times New Roman" w:hAnsi="Times New Roman" w:cs="Times New Roman" w:eastAsiaTheme="minorEastAsia"/>
          <w:b/>
          <w:bCs/>
          <w:color w:val="auto"/>
          <w:w w:val="99"/>
          <w:kern w:val="2"/>
          <w:highlight w:val="none"/>
        </w:rPr>
        <w:t>6.3-2</w:t>
      </w:r>
      <w:r>
        <w:rPr>
          <w:rFonts w:ascii="Times New Roman" w:hAnsi="Times New Roman" w:cs="Times New Roman" w:eastAsiaTheme="minorEastAsia"/>
          <w:b/>
          <w:bCs/>
          <w:color w:val="auto"/>
          <w:w w:val="99"/>
          <w:highlight w:val="none"/>
        </w:rPr>
        <w:t xml:space="preserve">                </w:t>
      </w:r>
      <w:r>
        <w:rPr>
          <w:rFonts w:hint="eastAsia" w:ascii="Times New Roman" w:hAnsi="Times New Roman" w:cs="Times New Roman" w:eastAsiaTheme="minorEastAsia"/>
          <w:b/>
          <w:bCs/>
          <w:color w:val="auto"/>
          <w:w w:val="99"/>
          <w:highlight w:val="none"/>
        </w:rPr>
        <w:t>项目污染防渗区划分</w:t>
      </w:r>
    </w:p>
    <w:tbl>
      <w:tblPr>
        <w:tblStyle w:val="8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2178"/>
        <w:gridCol w:w="2466"/>
        <w:gridCol w:w="36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7"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类别</w:t>
            </w:r>
          </w:p>
        </w:tc>
        <w:tc>
          <w:tcPr>
            <w:tcW w:w="11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项目涉及区域</w:t>
            </w:r>
          </w:p>
        </w:tc>
        <w:tc>
          <w:tcPr>
            <w:tcW w:w="132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防渗措施</w:t>
            </w:r>
          </w:p>
        </w:tc>
        <w:tc>
          <w:tcPr>
            <w:tcW w:w="1952" w:type="pct"/>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防渗</w:t>
            </w:r>
            <w:r>
              <w:rPr>
                <w:rFonts w:ascii="Times New Roman" w:hAnsi="Times New Roman" w:cs="Times New Roman" w:eastAsiaTheme="minorEastAsia"/>
                <w:color w:val="auto"/>
                <w:w w:val="99"/>
                <w:kern w:val="2"/>
                <w:sz w:val="21"/>
                <w:szCs w:val="21"/>
                <w:highlight w:val="none"/>
              </w:rPr>
              <w:t>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7"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重点</w:t>
            </w:r>
            <w:r>
              <w:rPr>
                <w:rFonts w:ascii="Times New Roman" w:hAnsi="Times New Roman" w:cs="Times New Roman" w:eastAsiaTheme="minorEastAsia"/>
                <w:color w:val="auto"/>
                <w:w w:val="99"/>
                <w:kern w:val="2"/>
                <w:sz w:val="21"/>
                <w:szCs w:val="21"/>
                <w:highlight w:val="none"/>
              </w:rPr>
              <w:t>防渗区</w:t>
            </w:r>
          </w:p>
        </w:tc>
        <w:tc>
          <w:tcPr>
            <w:tcW w:w="1173" w:type="pct"/>
            <w:vAlign w:val="center"/>
          </w:tcPr>
          <w:p>
            <w:pPr>
              <w:widowControl w:val="0"/>
              <w:snapToGrid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柴油罐区、钻井液罐区、发电机房、钢制泥浆槽、KOH材料房、钻井泵、钻台</w:t>
            </w:r>
          </w:p>
        </w:tc>
        <w:tc>
          <w:tcPr>
            <w:tcW w:w="1328" w:type="pct"/>
            <w:vAlign w:val="center"/>
          </w:tcPr>
          <w:p>
            <w:pPr>
              <w:adjustRightInd w:val="0"/>
              <w:snapToGrid w:val="0"/>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采用地面碾压平整并铺设2mm厚防渗土工布进行防渗，渗透系数</w:t>
            </w:r>
            <w:r>
              <w:rPr>
                <w:rFonts w:hint="eastAsia" w:ascii="Times New Roman" w:hAnsi="Times New Roman" w:cs="Times New Roman" w:eastAsiaTheme="minorEastAsia"/>
                <w:bCs/>
                <w:color w:val="auto"/>
                <w:w w:val="99"/>
                <w:kern w:val="2"/>
                <w:sz w:val="21"/>
                <w:szCs w:val="21"/>
                <w:highlight w:val="none"/>
              </w:rPr>
              <w:t>为</w:t>
            </w:r>
            <w:r>
              <w:rPr>
                <w:rFonts w:ascii="Times New Roman" w:hAnsi="Times New Roman" w:cs="Times New Roman" w:eastAsiaTheme="minorEastAsia"/>
                <w:bCs/>
                <w:color w:val="auto"/>
                <w:w w:val="99"/>
                <w:kern w:val="2"/>
                <w:sz w:val="21"/>
                <w:szCs w:val="21"/>
                <w:highlight w:val="none"/>
              </w:rPr>
              <w:t>1×10</w:t>
            </w:r>
            <w:r>
              <w:rPr>
                <w:rFonts w:ascii="Times New Roman" w:hAnsi="Times New Roman" w:cs="Times New Roman" w:eastAsiaTheme="minorEastAsia"/>
                <w:bCs/>
                <w:color w:val="auto"/>
                <w:w w:val="99"/>
                <w:kern w:val="2"/>
                <w:sz w:val="21"/>
                <w:szCs w:val="21"/>
                <w:highlight w:val="none"/>
                <w:vertAlign w:val="superscript"/>
              </w:rPr>
              <w:t>-10</w:t>
            </w:r>
            <w:r>
              <w:rPr>
                <w:rFonts w:ascii="Times New Roman" w:hAnsi="Times New Roman" w:cs="Times New Roman" w:eastAsiaTheme="minorEastAsia"/>
                <w:bCs/>
                <w:color w:val="auto"/>
                <w:w w:val="99"/>
                <w:kern w:val="2"/>
                <w:sz w:val="21"/>
                <w:szCs w:val="21"/>
                <w:highlight w:val="none"/>
              </w:rPr>
              <w:t>cm/s</w:t>
            </w:r>
          </w:p>
        </w:tc>
        <w:tc>
          <w:tcPr>
            <w:tcW w:w="1952" w:type="pct"/>
          </w:tcPr>
          <w:p>
            <w:pPr>
              <w:adjustRightInd w:val="0"/>
              <w:snapToGrid w:val="0"/>
              <w:jc w:val="both"/>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满足</w:t>
            </w:r>
            <w:r>
              <w:rPr>
                <w:rFonts w:hint="eastAsia" w:ascii="Times New Roman" w:hAnsi="Times New Roman" w:cs="Times New Roman" w:eastAsiaTheme="minorEastAsia"/>
                <w:bCs/>
                <w:color w:val="auto"/>
                <w:w w:val="99"/>
                <w:kern w:val="2"/>
                <w:sz w:val="21"/>
                <w:szCs w:val="21"/>
                <w:highlight w:val="none"/>
              </w:rPr>
              <w:t>《环境影响评价技术导则</w:t>
            </w:r>
            <w:r>
              <w:rPr>
                <w:rFonts w:ascii="Times New Roman" w:hAnsi="Times New Roman" w:cs="Times New Roman" w:eastAsiaTheme="minorEastAsia"/>
                <w:bCs/>
                <w:color w:val="auto"/>
                <w:w w:val="99"/>
                <w:kern w:val="2"/>
                <w:sz w:val="21"/>
                <w:szCs w:val="21"/>
                <w:highlight w:val="none"/>
              </w:rPr>
              <w:t xml:space="preserve"> 地下水环境》（HJ610-2016）中关于重点防渗区等效黏土防渗层Mb≥6.0m，K≤1×10</w:t>
            </w:r>
            <w:r>
              <w:rPr>
                <w:rFonts w:ascii="Times New Roman" w:hAnsi="Times New Roman" w:cs="Times New Roman" w:eastAsiaTheme="minorEastAsia"/>
                <w:bCs/>
                <w:color w:val="auto"/>
                <w:w w:val="99"/>
                <w:kern w:val="2"/>
                <w:sz w:val="21"/>
                <w:szCs w:val="21"/>
                <w:highlight w:val="none"/>
                <w:vertAlign w:val="superscript"/>
              </w:rPr>
              <w:t>-7</w:t>
            </w:r>
            <w:r>
              <w:rPr>
                <w:rFonts w:ascii="Times New Roman" w:hAnsi="Times New Roman" w:cs="Times New Roman" w:eastAsiaTheme="minorEastAsia"/>
                <w:bCs/>
                <w:color w:val="auto"/>
                <w:w w:val="99"/>
                <w:kern w:val="2"/>
                <w:sz w:val="21"/>
                <w:szCs w:val="21"/>
                <w:highlight w:val="none"/>
              </w:rPr>
              <w:t>cm/s防渗技术要求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7"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一般防渗区</w:t>
            </w:r>
          </w:p>
        </w:tc>
        <w:tc>
          <w:tcPr>
            <w:tcW w:w="1173" w:type="pct"/>
            <w:vAlign w:val="center"/>
          </w:tcPr>
          <w:p>
            <w:pPr>
              <w:widowControl w:val="0"/>
              <w:snapToGrid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钻井液材料房、其他材料房</w:t>
            </w:r>
            <w:r>
              <w:rPr>
                <w:rFonts w:hint="eastAsia" w:ascii="Times New Roman" w:hAnsi="Times New Roman" w:cs="Times New Roman" w:eastAsiaTheme="minorEastAsia"/>
                <w:bCs/>
                <w:color w:val="auto"/>
                <w:w w:val="99"/>
                <w:kern w:val="2"/>
                <w:sz w:val="21"/>
                <w:szCs w:val="21"/>
                <w:highlight w:val="none"/>
              </w:rPr>
              <w:t>、临时</w:t>
            </w:r>
            <w:r>
              <w:rPr>
                <w:rFonts w:ascii="Times New Roman" w:hAnsi="Times New Roman" w:cs="Times New Roman" w:eastAsiaTheme="minorEastAsia"/>
                <w:bCs/>
                <w:color w:val="auto"/>
                <w:w w:val="99"/>
                <w:kern w:val="2"/>
                <w:sz w:val="21"/>
                <w:szCs w:val="21"/>
                <w:highlight w:val="none"/>
              </w:rPr>
              <w:t>旱厕</w:t>
            </w:r>
          </w:p>
        </w:tc>
        <w:tc>
          <w:tcPr>
            <w:tcW w:w="1328" w:type="pct"/>
            <w:vAlign w:val="center"/>
          </w:tcPr>
          <w:p>
            <w:pPr>
              <w:adjustRightInd w:val="0"/>
              <w:snapToGrid w:val="0"/>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采用1.5m厚黏土防渗层，渗透系数</w:t>
            </w:r>
            <w:r>
              <w:rPr>
                <w:rFonts w:hint="eastAsia" w:ascii="Times New Roman" w:hAnsi="Times New Roman" w:cs="Times New Roman" w:eastAsiaTheme="minorEastAsia"/>
                <w:bCs/>
                <w:color w:val="auto"/>
                <w:w w:val="99"/>
                <w:kern w:val="2"/>
                <w:sz w:val="21"/>
                <w:szCs w:val="21"/>
                <w:highlight w:val="none"/>
              </w:rPr>
              <w:t>为</w:t>
            </w:r>
            <w:r>
              <w:rPr>
                <w:rFonts w:ascii="Times New Roman" w:hAnsi="Times New Roman" w:cs="Times New Roman" w:eastAsiaTheme="minorEastAsia"/>
                <w:bCs/>
                <w:color w:val="auto"/>
                <w:w w:val="99"/>
                <w:kern w:val="2"/>
                <w:sz w:val="21"/>
                <w:szCs w:val="21"/>
                <w:highlight w:val="none"/>
              </w:rPr>
              <w:t>1.0×10</w:t>
            </w:r>
            <w:r>
              <w:rPr>
                <w:rFonts w:ascii="Times New Roman" w:hAnsi="Times New Roman" w:cs="Times New Roman" w:eastAsiaTheme="minorEastAsia"/>
                <w:bCs/>
                <w:color w:val="auto"/>
                <w:w w:val="99"/>
                <w:kern w:val="2"/>
                <w:sz w:val="21"/>
                <w:szCs w:val="21"/>
                <w:highlight w:val="none"/>
                <w:vertAlign w:val="superscript"/>
              </w:rPr>
              <w:t>-7</w:t>
            </w:r>
            <w:r>
              <w:rPr>
                <w:rFonts w:ascii="Times New Roman" w:hAnsi="Times New Roman" w:cs="Times New Roman" w:eastAsiaTheme="minorEastAsia"/>
                <w:bCs/>
                <w:color w:val="auto"/>
                <w:w w:val="99"/>
                <w:kern w:val="2"/>
                <w:sz w:val="21"/>
                <w:szCs w:val="21"/>
                <w:highlight w:val="none"/>
              </w:rPr>
              <w:t>cm/s</w:t>
            </w:r>
          </w:p>
        </w:tc>
        <w:tc>
          <w:tcPr>
            <w:tcW w:w="1952" w:type="pct"/>
          </w:tcPr>
          <w:p>
            <w:pPr>
              <w:adjustRightInd w:val="0"/>
              <w:snapToGrid w:val="0"/>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满足</w:t>
            </w:r>
            <w:r>
              <w:rPr>
                <w:rFonts w:hint="eastAsia" w:ascii="Times New Roman" w:hAnsi="Times New Roman" w:cs="Times New Roman" w:eastAsiaTheme="minorEastAsia"/>
                <w:bCs/>
                <w:color w:val="auto"/>
                <w:w w:val="99"/>
                <w:kern w:val="2"/>
                <w:sz w:val="21"/>
                <w:szCs w:val="21"/>
                <w:highlight w:val="none"/>
              </w:rPr>
              <w:t>《环境影响评价技术导则</w:t>
            </w:r>
            <w:r>
              <w:rPr>
                <w:rFonts w:ascii="Times New Roman" w:hAnsi="Times New Roman" w:cs="Times New Roman" w:eastAsiaTheme="minorEastAsia"/>
                <w:bCs/>
                <w:color w:val="auto"/>
                <w:w w:val="99"/>
                <w:kern w:val="2"/>
                <w:sz w:val="21"/>
                <w:szCs w:val="21"/>
                <w:highlight w:val="none"/>
              </w:rPr>
              <w:t xml:space="preserve"> 地下水环境》（HJ610-2016）中关于一般防渗区等效黏土防渗层Mb≥1.5m，K≤1×10</w:t>
            </w:r>
            <w:r>
              <w:rPr>
                <w:rFonts w:ascii="Times New Roman" w:hAnsi="Times New Roman" w:cs="Times New Roman" w:eastAsiaTheme="minorEastAsia"/>
                <w:bCs/>
                <w:color w:val="auto"/>
                <w:w w:val="99"/>
                <w:kern w:val="2"/>
                <w:sz w:val="21"/>
                <w:szCs w:val="21"/>
                <w:highlight w:val="none"/>
                <w:vertAlign w:val="superscript"/>
              </w:rPr>
              <w:t>-7</w:t>
            </w:r>
            <w:r>
              <w:rPr>
                <w:rFonts w:ascii="Times New Roman" w:hAnsi="Times New Roman" w:cs="Times New Roman" w:eastAsiaTheme="minorEastAsia"/>
                <w:bCs/>
                <w:color w:val="auto"/>
                <w:w w:val="99"/>
                <w:kern w:val="2"/>
                <w:sz w:val="21"/>
                <w:szCs w:val="21"/>
                <w:highlight w:val="none"/>
              </w:rPr>
              <w:t>cm/s防渗技术要求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7"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简单防渗区</w:t>
            </w:r>
          </w:p>
        </w:tc>
        <w:tc>
          <w:tcPr>
            <w:tcW w:w="1173" w:type="pct"/>
            <w:vAlign w:val="center"/>
          </w:tcPr>
          <w:p>
            <w:pPr>
              <w:widowControl w:val="0"/>
              <w:snapToGrid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井场其他区域</w:t>
            </w:r>
          </w:p>
        </w:tc>
        <w:tc>
          <w:tcPr>
            <w:tcW w:w="1328" w:type="pct"/>
            <w:vAlign w:val="center"/>
          </w:tcPr>
          <w:p>
            <w:pPr>
              <w:adjustRightInd w:val="0"/>
              <w:snapToGrid w:val="0"/>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采用地面碾压平整</w:t>
            </w:r>
          </w:p>
        </w:tc>
        <w:tc>
          <w:tcPr>
            <w:tcW w:w="1952" w:type="pct"/>
          </w:tcPr>
          <w:p>
            <w:pPr>
              <w:adjustRightInd w:val="0"/>
              <w:snapToGrid w:val="0"/>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满足</w:t>
            </w:r>
            <w:r>
              <w:rPr>
                <w:rFonts w:hint="eastAsia" w:ascii="Times New Roman" w:hAnsi="Times New Roman" w:cs="Times New Roman" w:eastAsiaTheme="minorEastAsia"/>
                <w:bCs/>
                <w:color w:val="auto"/>
                <w:w w:val="99"/>
                <w:kern w:val="2"/>
                <w:sz w:val="21"/>
                <w:szCs w:val="21"/>
                <w:highlight w:val="none"/>
              </w:rPr>
              <w:t>《环境影响评价技术导则</w:t>
            </w:r>
            <w:r>
              <w:rPr>
                <w:rFonts w:ascii="Times New Roman" w:hAnsi="Times New Roman" w:cs="Times New Roman" w:eastAsiaTheme="minorEastAsia"/>
                <w:bCs/>
                <w:color w:val="auto"/>
                <w:w w:val="99"/>
                <w:kern w:val="2"/>
                <w:sz w:val="21"/>
                <w:szCs w:val="21"/>
                <w:highlight w:val="none"/>
              </w:rPr>
              <w:t xml:space="preserve"> 地下水环境》（HJ610-2016）中关于简单防渗区一般地面硬化防渗技术要求</w:t>
            </w:r>
          </w:p>
        </w:tc>
      </w:tr>
    </w:tbl>
    <w:p>
      <w:pPr>
        <w:pStyle w:val="103"/>
        <w:rPr>
          <w:rFonts w:eastAsiaTheme="minorEastAsia"/>
          <w:color w:val="auto"/>
          <w:w w:val="99"/>
          <w:highlight w:val="none"/>
        </w:rPr>
      </w:pPr>
    </w:p>
    <w:p>
      <w:pPr>
        <w:pStyle w:val="103"/>
        <w:rPr>
          <w:rFonts w:eastAsiaTheme="minorEastAsia"/>
          <w:color w:val="auto"/>
          <w:w w:val="99"/>
          <w:highlight w:val="none"/>
        </w:rPr>
      </w:pPr>
      <w:r>
        <w:rPr>
          <w:rFonts w:eastAsiaTheme="minorEastAsia"/>
          <w:color w:val="auto"/>
          <w:w w:val="99"/>
          <w:highlight w:val="none"/>
        </w:rPr>
        <w:drawing>
          <wp:inline distT="0" distB="0" distL="0" distR="0">
            <wp:extent cx="5753100" cy="3867150"/>
            <wp:effectExtent l="0" t="0" r="0" b="0"/>
            <wp:docPr id="29" name="图片 29" descr="E:\1待写报告\7采油七厂项目\2020年项目\葡萄花油田葡434区块葡萄花油层高产井开发区块钻井工程\图\分区防渗图（专家意见修改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1待写报告\7采油七厂项目\2020年项目\葡萄花油田葡434区块葡萄花油层高产井开发区块钻井工程\图\分区防渗图（专家意见修改后）.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753100" cy="3867150"/>
                    </a:xfrm>
                    <a:prstGeom prst="rect">
                      <a:avLst/>
                    </a:prstGeom>
                    <a:noFill/>
                    <a:ln>
                      <a:noFill/>
                    </a:ln>
                  </pic:spPr>
                </pic:pic>
              </a:graphicData>
            </a:graphic>
          </wp:inline>
        </w:drawing>
      </w:r>
    </w:p>
    <w:p>
      <w:pPr>
        <w:widowControl w:val="0"/>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图</w:t>
      </w:r>
      <w:r>
        <w:rPr>
          <w:rFonts w:ascii="Times New Roman" w:hAnsi="Times New Roman" w:cs="Times New Roman" w:eastAsiaTheme="minorEastAsia"/>
          <w:bCs/>
          <w:color w:val="auto"/>
          <w:w w:val="99"/>
          <w:kern w:val="21"/>
          <w:szCs w:val="20"/>
          <w:highlight w:val="none"/>
        </w:rPr>
        <w:t>6.3-1</w:t>
      </w:r>
      <w:r>
        <w:rPr>
          <w:rFonts w:ascii="Times New Roman" w:hAnsi="Times New Roman" w:cs="Times New Roman" w:eastAsiaTheme="minorEastAsia"/>
          <w:color w:val="auto"/>
          <w:w w:val="99"/>
          <w:kern w:val="2"/>
          <w:highlight w:val="none"/>
        </w:rPr>
        <w:t xml:space="preserve">                 本项目井场分区防渗图</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 xml:space="preserve">（3）从钻开表层粘土层起，直到钻开基岩30m以上，采用无毒无害的清水泥浆，避免钻井泥浆对浅层地下水的污染； </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（4）采用欠平衡钻井技术，控制好钻井液比重，保证钻井液不会进入地下水含水层；</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（5）采用双层套管技术，表层套管固井水泥返至地面，安全封闭地下水含水层；选用高标号的固井水泥，提高固井质量；</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（6）</w:t>
      </w:r>
      <w:r>
        <w:rPr>
          <w:rFonts w:ascii="Times New Roman" w:hAnsi="Times New Roman" w:cs="Times New Roman" w:eastAsiaTheme="minorEastAsia"/>
          <w:snapToGrid w:val="0"/>
          <w:color w:val="auto"/>
          <w:w w:val="99"/>
          <w:kern w:val="2"/>
          <w:highlight w:val="none"/>
        </w:rPr>
        <w:t>定期对油井的套管情况进行检测，发现异常情况及时处理</w:t>
      </w:r>
      <w:r>
        <w:rPr>
          <w:rFonts w:hint="eastAsia" w:ascii="Times New Roman" w:hAnsi="Times New Roman" w:cs="Times New Roman" w:eastAsiaTheme="minorEastAsia"/>
          <w:color w:val="auto"/>
          <w:w w:val="99"/>
          <w:kern w:val="2"/>
          <w:highlight w:val="none"/>
        </w:rPr>
        <w:t>；</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snapToGrid w:val="0"/>
          <w:color w:val="auto"/>
          <w:w w:val="99"/>
          <w:szCs w:val="20"/>
          <w:highlight w:val="none"/>
        </w:rPr>
        <w:t>（7）废弃钻井液和钻井废水在集中处理前，暂存于井场设置的泥浆槽内，储存时间不超过单井钻井周期，完井后用封闭罐车拉运</w:t>
      </w:r>
      <w:r>
        <w:rPr>
          <w:rFonts w:hint="eastAsia" w:ascii="Times New Roman" w:hAnsi="Times New Roman" w:cs="Times New Roman" w:eastAsiaTheme="minorEastAsia"/>
          <w:snapToGrid w:val="0"/>
          <w:color w:val="auto"/>
          <w:w w:val="99"/>
          <w:szCs w:val="20"/>
          <w:highlight w:val="none"/>
        </w:rPr>
        <w:t>黑龙江龙之润环保工程有限公司废射孔液处理装置</w:t>
      </w:r>
      <w:r>
        <w:rPr>
          <w:rFonts w:ascii="Times New Roman" w:hAnsi="Times New Roman" w:cs="Times New Roman" w:eastAsiaTheme="minorEastAsia"/>
          <w:snapToGrid w:val="0"/>
          <w:color w:val="auto"/>
          <w:w w:val="99"/>
          <w:szCs w:val="20"/>
          <w:highlight w:val="none"/>
        </w:rPr>
        <w:t>处理。</w:t>
      </w:r>
    </w:p>
    <w:p>
      <w:pPr>
        <w:pStyle w:val="5"/>
        <w:keepNext w:val="0"/>
        <w:keepLines w:val="0"/>
        <w:widowControl w:val="0"/>
        <w:jc w:val="both"/>
        <w:rPr>
          <w:rFonts w:ascii="Times New Roman" w:hAnsi="Times New Roman"/>
          <w:b/>
          <w:snapToGrid w:val="0"/>
          <w:color w:val="auto"/>
          <w:w w:val="99"/>
          <w:highlight w:val="none"/>
        </w:rPr>
      </w:pPr>
      <w:bookmarkStart w:id="1224" w:name="_Toc80105256"/>
      <w:r>
        <w:rPr>
          <w:rFonts w:ascii="Times New Roman" w:hAnsi="Times New Roman"/>
          <w:b/>
          <w:snapToGrid w:val="0"/>
          <w:color w:val="auto"/>
          <w:w w:val="99"/>
          <w:highlight w:val="none"/>
        </w:rPr>
        <w:t>6.4噪声污染防治措施</w:t>
      </w:r>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24"/>
    </w:p>
    <w:p>
      <w:pPr>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为了减轻施工噪声的环境影响，须采取以下噪声污染控制措施：</w:t>
      </w:r>
    </w:p>
    <w:p>
      <w:pPr>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（1）物料及设备等运输车辆应选择合理时间和路线，避开居民休息时段；</w:t>
      </w:r>
    </w:p>
    <w:p>
      <w:pPr>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（2）对钻井井场进行合理布局，井场高噪声设备尽量远离居民</w:t>
      </w:r>
      <w:r>
        <w:rPr>
          <w:rFonts w:hint="eastAsia" w:ascii="Times New Roman" w:hAnsi="Times New Roman" w:cs="Times New Roman" w:eastAsiaTheme="minorEastAsia"/>
          <w:color w:val="auto"/>
          <w:w w:val="99"/>
          <w:highlight w:val="none"/>
        </w:rPr>
        <w:t>区</w:t>
      </w:r>
      <w:r>
        <w:rPr>
          <w:rFonts w:ascii="Times New Roman" w:hAnsi="Times New Roman" w:cs="Times New Roman" w:eastAsiaTheme="minorEastAsia"/>
          <w:color w:val="auto"/>
          <w:w w:val="99"/>
          <w:highlight w:val="none"/>
        </w:rPr>
        <w:t>方向并分散布置，避免噪声叠加造成对周围声环境的影响；</w:t>
      </w:r>
    </w:p>
    <w:p>
      <w:pPr>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合理安排施工进度和施工时间，井场除钻井施工外，严格禁止夜间10时至次日6时进行高噪声施工，调整同时作业的施工机械数量，降低对周围环境的影响；对于距离敏感点较近（200m内）的施工井场，不可避免需要夜间施工时，应向周边村民进行公告，取得民众谅解，并合理安排施工机械数量，施工场地周边建设彩钢板围挡，严格限定施工范围，选用噪音低的设备，同时控制夜间灯光数量和照射范围；</w:t>
      </w:r>
    </w:p>
    <w:p>
      <w:pPr>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（4）注意对设备的维护和保养，合理操作，保证施工机械保持在最佳状态，降低噪声源强度。</w:t>
      </w:r>
    </w:p>
    <w:p>
      <w:pPr>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采取以上措施后施工场界噪声可以满足</w:t>
      </w:r>
      <w:r>
        <w:rPr>
          <w:rFonts w:ascii="Times New Roman" w:hAnsi="Times New Roman" w:cs="Times New Roman" w:eastAsiaTheme="minorEastAsia"/>
          <w:snapToGrid w:val="0"/>
          <w:color w:val="auto"/>
          <w:w w:val="99"/>
          <w:highlight w:val="none"/>
        </w:rPr>
        <w:t>《建筑施工场界环境噪声排放标准》（GB12523-2011）中标准限值要求。</w:t>
      </w:r>
    </w:p>
    <w:p>
      <w:pPr>
        <w:pStyle w:val="5"/>
        <w:keepNext w:val="0"/>
        <w:keepLines w:val="0"/>
        <w:widowControl w:val="0"/>
        <w:jc w:val="both"/>
        <w:rPr>
          <w:rFonts w:ascii="Times New Roman" w:hAnsi="Times New Roman"/>
          <w:b/>
          <w:snapToGrid w:val="0"/>
          <w:color w:val="auto"/>
          <w:w w:val="99"/>
          <w:highlight w:val="none"/>
        </w:rPr>
      </w:pPr>
      <w:bookmarkStart w:id="1225" w:name="_Toc200952548"/>
      <w:bookmarkStart w:id="1226" w:name="_Toc201330166"/>
      <w:bookmarkStart w:id="1227" w:name="_Toc203113623"/>
      <w:bookmarkStart w:id="1228" w:name="_Toc204572395"/>
      <w:bookmarkStart w:id="1229" w:name="_Toc17898244"/>
      <w:bookmarkStart w:id="1230" w:name="_Toc203373356"/>
      <w:bookmarkStart w:id="1231" w:name="_Toc200162120"/>
      <w:bookmarkStart w:id="1232" w:name="_Toc502736518"/>
      <w:bookmarkStart w:id="1233" w:name="_Toc30825"/>
      <w:bookmarkStart w:id="1234" w:name="_Toc200162817"/>
      <w:bookmarkStart w:id="1235" w:name="_Toc225741625"/>
      <w:bookmarkStart w:id="1236" w:name="_Toc57707986"/>
      <w:bookmarkStart w:id="1237" w:name="_Toc57976738"/>
      <w:bookmarkStart w:id="1238" w:name="_Toc57203316"/>
      <w:bookmarkStart w:id="1239" w:name="_Toc80105257"/>
      <w:r>
        <w:rPr>
          <w:rFonts w:ascii="Times New Roman" w:hAnsi="Times New Roman"/>
          <w:b/>
          <w:snapToGrid w:val="0"/>
          <w:color w:val="auto"/>
          <w:w w:val="99"/>
          <w:highlight w:val="none"/>
        </w:rPr>
        <w:t>6.5固体废物污染防治措施</w:t>
      </w:r>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pPr>
        <w:pStyle w:val="7"/>
        <w:keepNext w:val="0"/>
        <w:keepLines w:val="0"/>
        <w:widowControl w:val="0"/>
        <w:jc w:val="both"/>
        <w:rPr>
          <w:b/>
          <w:color w:val="auto"/>
          <w:w w:val="99"/>
          <w:kern w:val="2"/>
          <w:sz w:val="24"/>
          <w:szCs w:val="24"/>
          <w:highlight w:val="none"/>
        </w:rPr>
      </w:pPr>
      <w:bookmarkStart w:id="1240" w:name="_Toc67523697"/>
      <w:bookmarkStart w:id="1241" w:name="_Toc74812190"/>
      <w:bookmarkStart w:id="1242" w:name="_Toc61597326"/>
      <w:bookmarkStart w:id="1243" w:name="_Toc80105258"/>
      <w:bookmarkStart w:id="1244" w:name="_Toc74812429"/>
      <w:bookmarkStart w:id="1245" w:name="_Toc71372045"/>
      <w:bookmarkStart w:id="1246" w:name="_Toc69690915"/>
      <w:bookmarkStart w:id="1247" w:name="_Toc77667402"/>
      <w:bookmarkStart w:id="1248" w:name="_Toc200162818"/>
      <w:bookmarkStart w:id="1249" w:name="_Toc201330167"/>
      <w:bookmarkStart w:id="1250" w:name="_Toc204572396"/>
      <w:bookmarkStart w:id="1251" w:name="_Toc200952549"/>
      <w:bookmarkStart w:id="1252" w:name="_Toc225741626"/>
      <w:bookmarkStart w:id="1253" w:name="_Toc8336"/>
      <w:bookmarkStart w:id="1254" w:name="_Toc203113624"/>
      <w:bookmarkStart w:id="1255" w:name="_Toc502736519"/>
      <w:bookmarkStart w:id="1256" w:name="_Toc203373357"/>
      <w:bookmarkStart w:id="1257" w:name="_Toc200162121"/>
      <w:r>
        <w:rPr>
          <w:b/>
          <w:color w:val="auto"/>
          <w:w w:val="99"/>
          <w:kern w:val="2"/>
          <w:sz w:val="24"/>
          <w:szCs w:val="24"/>
          <w:highlight w:val="none"/>
        </w:rPr>
        <w:t>6.5.1废钻井液、钻井岩屑、废射孔液</w:t>
      </w:r>
      <w:bookmarkEnd w:id="1240"/>
      <w:bookmarkEnd w:id="1241"/>
      <w:bookmarkEnd w:id="1242"/>
      <w:bookmarkEnd w:id="1243"/>
      <w:bookmarkEnd w:id="1244"/>
      <w:bookmarkEnd w:id="1245"/>
      <w:bookmarkEnd w:id="1246"/>
      <w:bookmarkEnd w:id="1247"/>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本项目在钻井过程中在每口井场设置一个100m</w:t>
      </w:r>
      <w:r>
        <w:rPr>
          <w:rFonts w:ascii="Times New Roman" w:hAnsi="Times New Roman" w:eastAsiaTheme="minorEastAsia"/>
          <w:color w:val="auto"/>
          <w:w w:val="99"/>
          <w:highlight w:val="none"/>
          <w:vertAlign w:val="superscript"/>
        </w:rPr>
        <w:t>3</w:t>
      </w:r>
      <w:r>
        <w:rPr>
          <w:rFonts w:ascii="Times New Roman" w:hAnsi="Times New Roman" w:eastAsiaTheme="minorEastAsia"/>
          <w:color w:val="auto"/>
          <w:w w:val="99"/>
          <w:highlight w:val="none"/>
        </w:rPr>
        <w:t>钢制泥浆槽，废钻井液与钻井废水、钻井岩屑、废射孔液等废弃物暂存于井场泥浆槽中形成废弃泥浆，由罐车拉运至</w:t>
      </w:r>
      <w:r>
        <w:rPr>
          <w:rFonts w:hint="eastAsia" w:ascii="Times New Roman" w:hAnsi="Times New Roman" w:eastAsiaTheme="minorEastAsia"/>
          <w:color w:val="auto"/>
          <w:w w:val="99"/>
          <w:highlight w:val="none"/>
        </w:rPr>
        <w:t>大庆油田昆仑集团有限公司环保分公司</w:t>
      </w:r>
      <w:r>
        <w:rPr>
          <w:rFonts w:ascii="Times New Roman" w:hAnsi="Times New Roman" w:eastAsiaTheme="minorEastAsia"/>
          <w:color w:val="auto"/>
          <w:w w:val="99"/>
          <w:highlight w:val="none"/>
        </w:rPr>
        <w:t>处理。</w:t>
      </w:r>
    </w:p>
    <w:p>
      <w:pPr>
        <w:pStyle w:val="109"/>
        <w:ind w:firstLine="473"/>
        <w:jc w:val="both"/>
        <w:rPr>
          <w:rFonts w:ascii="Times New Roman" w:hAnsi="Times New Roman" w:eastAsiaTheme="minorEastAsia"/>
          <w:color w:val="auto"/>
          <w:w w:val="99"/>
          <w:kern w:val="2"/>
          <w:highlight w:val="none"/>
        </w:rPr>
      </w:pPr>
      <w:r>
        <w:rPr>
          <w:rFonts w:hint="eastAsia" w:ascii="Times New Roman" w:hAnsi="Times New Roman" w:eastAsiaTheme="minorEastAsia"/>
          <w:color w:val="auto"/>
          <w:w w:val="99"/>
          <w:highlight w:val="none"/>
        </w:rPr>
        <w:t>大庆油田昆仑集团有限公司环保分公司位于黑龙江省大庆市肇州县朝阳沟镇长林村路东，采用“集中压滤无害化处理”，</w:t>
      </w:r>
      <w:r>
        <w:rPr>
          <w:rFonts w:ascii="Times New Roman" w:hAnsi="Times New Roman" w:eastAsiaTheme="minorEastAsia"/>
          <w:color w:val="auto"/>
          <w:w w:val="99"/>
          <w:highlight w:val="none"/>
        </w:rPr>
        <w:t>处理后的</w:t>
      </w:r>
      <w:r>
        <w:rPr>
          <w:rFonts w:hint="eastAsia" w:ascii="Times New Roman" w:hAnsi="Times New Roman" w:eastAsiaTheme="minorEastAsia"/>
          <w:color w:val="auto"/>
          <w:w w:val="99"/>
          <w:highlight w:val="none"/>
        </w:rPr>
        <w:t>压滤水定期</w:t>
      </w:r>
      <w:r>
        <w:rPr>
          <w:rFonts w:ascii="Times New Roman" w:hAnsi="Times New Roman" w:eastAsiaTheme="minorEastAsia"/>
          <w:color w:val="auto"/>
          <w:w w:val="99"/>
          <w:highlight w:val="none"/>
        </w:rPr>
        <w:t>由</w:t>
      </w:r>
      <w:r>
        <w:rPr>
          <w:rFonts w:hint="eastAsia" w:ascii="Times New Roman" w:hAnsi="Times New Roman" w:eastAsiaTheme="minorEastAsia"/>
          <w:color w:val="auto"/>
          <w:w w:val="99"/>
          <w:highlight w:val="none"/>
        </w:rPr>
        <w:t>罐车</w:t>
      </w:r>
      <w:r>
        <w:rPr>
          <w:rFonts w:ascii="Times New Roman" w:hAnsi="Times New Roman" w:eastAsiaTheme="minorEastAsia"/>
          <w:color w:val="auto"/>
          <w:w w:val="99"/>
          <w:highlight w:val="none"/>
        </w:rPr>
        <w:t>拉运至朝一联含油污水处理站</w:t>
      </w:r>
      <w:r>
        <w:rPr>
          <w:rFonts w:hint="eastAsia" w:ascii="Times New Roman" w:hAnsi="Times New Roman" w:eastAsiaTheme="minorEastAsia"/>
          <w:color w:val="auto"/>
          <w:w w:val="99"/>
          <w:highlight w:val="none"/>
        </w:rPr>
        <w:t>处理</w:t>
      </w:r>
      <w:r>
        <w:rPr>
          <w:rFonts w:ascii="Times New Roman" w:hAnsi="Times New Roman" w:eastAsiaTheme="minorEastAsia"/>
          <w:bCs/>
          <w:color w:val="auto"/>
          <w:w w:val="99"/>
          <w:highlight w:val="none"/>
        </w:rPr>
        <w:t>满足《大庆油田地面工程建设设计规定》（Q/SYDQ0639-2015）中“含油量≤5mg/L、悬浮固体含量≤1mg/L、粒径中值≤1μm”规定后回注油层，</w:t>
      </w:r>
      <w:r>
        <w:rPr>
          <w:rFonts w:hint="eastAsia" w:ascii="Times New Roman" w:hAnsi="Times New Roman" w:eastAsiaTheme="minorEastAsia"/>
          <w:bCs/>
          <w:color w:val="auto"/>
          <w:w w:val="99"/>
          <w:highlight w:val="none"/>
        </w:rPr>
        <w:t>压滤</w:t>
      </w:r>
      <w:r>
        <w:rPr>
          <w:rFonts w:ascii="Times New Roman" w:hAnsi="Times New Roman" w:eastAsiaTheme="minorEastAsia"/>
          <w:bCs/>
          <w:color w:val="auto"/>
          <w:w w:val="99"/>
          <w:highlight w:val="none"/>
        </w:rPr>
        <w:t>泥饼满足《废弃钻井液处理规范》（DB23/T693-2000）</w:t>
      </w:r>
      <w:r>
        <w:rPr>
          <w:rFonts w:hint="eastAsia" w:ascii="Times New Roman" w:hAnsi="Times New Roman" w:eastAsiaTheme="minorEastAsia"/>
          <w:bCs/>
          <w:color w:val="auto"/>
          <w:w w:val="99"/>
          <w:highlight w:val="none"/>
        </w:rPr>
        <w:t>表1要求</w:t>
      </w:r>
      <w:r>
        <w:rPr>
          <w:rFonts w:ascii="Times New Roman" w:hAnsi="Times New Roman" w:eastAsiaTheme="minorEastAsia"/>
          <w:bCs/>
          <w:color w:val="auto"/>
          <w:w w:val="99"/>
          <w:highlight w:val="none"/>
        </w:rPr>
        <w:t>后用于铺垫井场及通井路</w:t>
      </w:r>
      <w:r>
        <w:rPr>
          <w:rFonts w:ascii="Times New Roman" w:hAnsi="Times New Roman" w:eastAsiaTheme="minorEastAsia"/>
          <w:color w:val="auto"/>
          <w:w w:val="99"/>
          <w:kern w:val="2"/>
          <w:highlight w:val="none"/>
        </w:rPr>
        <w:t>。</w:t>
      </w:r>
    </w:p>
    <w:p>
      <w:pPr>
        <w:pStyle w:val="109"/>
        <w:ind w:firstLine="473"/>
        <w:jc w:val="both"/>
        <w:rPr>
          <w:rFonts w:ascii="Times New Roman" w:hAnsi="Times New Roman" w:eastAsiaTheme="minorEastAsia"/>
          <w:color w:val="auto"/>
          <w:w w:val="99"/>
          <w:highlight w:val="none"/>
        </w:rPr>
      </w:pPr>
      <w:r>
        <w:rPr>
          <w:rFonts w:hint="eastAsia" w:ascii="Times New Roman" w:hAnsi="Times New Roman" w:eastAsiaTheme="minorEastAsia"/>
          <w:color w:val="auto"/>
          <w:w w:val="99"/>
          <w:highlight w:val="none"/>
        </w:rPr>
        <w:t>大庆油田昆仑集团有限公司环保分公司设计处理规模为</w:t>
      </w:r>
      <w:r>
        <w:rPr>
          <w:rFonts w:hint="eastAsia" w:ascii="Times New Roman" w:hAnsi="Times New Roman" w:eastAsiaTheme="minorEastAsia"/>
          <w:color w:val="auto"/>
          <w:w w:val="99"/>
          <w:highlight w:val="none"/>
          <w:lang w:val="en-US" w:eastAsia="zh-CN"/>
        </w:rPr>
        <w:t>5</w:t>
      </w:r>
      <w:r>
        <w:rPr>
          <w:rFonts w:hint="eastAsia" w:ascii="Times New Roman" w:hAnsi="Times New Roman" w:eastAsiaTheme="minorEastAsia"/>
          <w:color w:val="auto"/>
          <w:w w:val="99"/>
          <w:highlight w:val="none"/>
        </w:rPr>
        <w:t>00m</w:t>
      </w:r>
      <w:r>
        <w:rPr>
          <w:rFonts w:hint="eastAsia" w:ascii="Times New Roman" w:hAnsi="Times New Roman" w:eastAsiaTheme="minorEastAsia"/>
          <w:color w:val="auto"/>
          <w:w w:val="99"/>
          <w:highlight w:val="none"/>
          <w:vertAlign w:val="superscript"/>
        </w:rPr>
        <w:t>3</w:t>
      </w:r>
      <w:r>
        <w:rPr>
          <w:rFonts w:hint="eastAsia" w:ascii="Times New Roman" w:hAnsi="Times New Roman" w:eastAsiaTheme="minorEastAsia"/>
          <w:color w:val="auto"/>
          <w:w w:val="99"/>
          <w:highlight w:val="none"/>
        </w:rPr>
        <w:t>/d，</w:t>
      </w:r>
      <w:r>
        <w:rPr>
          <w:rFonts w:ascii="Times New Roman" w:hAnsi="Times New Roman" w:cs="Times New Roman" w:eastAsiaTheme="minorEastAsia"/>
          <w:bCs/>
          <w:color w:val="auto"/>
          <w:w w:val="99"/>
          <w:kern w:val="2"/>
          <w:szCs w:val="20"/>
          <w:highlight w:val="none"/>
        </w:rPr>
        <w:t>现实际处理量为150m</w:t>
      </w:r>
      <w:r>
        <w:rPr>
          <w:rFonts w:ascii="Times New Roman" w:hAnsi="Times New Roman" w:cs="Times New Roman" w:eastAsiaTheme="minorEastAsia"/>
          <w:bCs/>
          <w:color w:val="auto"/>
          <w:w w:val="99"/>
          <w:kern w:val="2"/>
          <w:szCs w:val="20"/>
          <w:highlight w:val="none"/>
          <w:vertAlign w:val="superscript"/>
        </w:rPr>
        <w:t>3</w:t>
      </w:r>
      <w:r>
        <w:rPr>
          <w:rFonts w:ascii="Times New Roman" w:hAnsi="Times New Roman" w:cs="Times New Roman" w:eastAsiaTheme="minorEastAsia"/>
          <w:bCs/>
          <w:color w:val="auto"/>
          <w:w w:val="99"/>
          <w:kern w:val="2"/>
          <w:szCs w:val="20"/>
          <w:highlight w:val="none"/>
        </w:rPr>
        <w:t>/d</w:t>
      </w:r>
      <w:r>
        <w:rPr>
          <w:rFonts w:ascii="Times New Roman" w:hAnsi="Times New Roman" w:cs="Times New Roman" w:eastAsiaTheme="minorEastAsia"/>
          <w:bCs/>
          <w:color w:val="auto"/>
          <w:w w:val="99"/>
          <w:kern w:val="2"/>
          <w:szCs w:val="20"/>
          <w:highlight w:val="none"/>
          <w:lang w:val="zh-CN"/>
        </w:rPr>
        <w:t>，</w:t>
      </w:r>
      <w:r>
        <w:rPr>
          <w:rFonts w:hint="eastAsia" w:ascii="Times New Roman" w:hAnsi="Times New Roman" w:cs="Times New Roman" w:eastAsiaTheme="minorEastAsia"/>
          <w:bCs/>
          <w:color w:val="auto"/>
          <w:w w:val="99"/>
          <w:kern w:val="2"/>
          <w:szCs w:val="20"/>
          <w:highlight w:val="none"/>
          <w:lang w:val="zh-CN"/>
        </w:rPr>
        <w:t>本项目</w:t>
      </w:r>
      <w:r>
        <w:rPr>
          <w:rFonts w:hint="eastAsia" w:ascii="Times New Roman" w:hAnsi="Times New Roman" w:cs="Times New Roman" w:eastAsiaTheme="minorEastAsia"/>
          <w:bCs/>
          <w:color w:val="auto"/>
          <w:w w:val="99"/>
          <w:kern w:val="2"/>
          <w:szCs w:val="20"/>
          <w:highlight w:val="none"/>
          <w:lang w:eastAsia="zh-CN"/>
        </w:rPr>
        <w:t>2个钻井队</w:t>
      </w:r>
      <w:r>
        <w:rPr>
          <w:rFonts w:hint="eastAsia" w:ascii="Times New Roman" w:hAnsi="Times New Roman" w:cs="Times New Roman" w:eastAsiaTheme="minorEastAsia"/>
          <w:bCs/>
          <w:color w:val="auto"/>
          <w:w w:val="99"/>
          <w:kern w:val="2"/>
          <w:szCs w:val="20"/>
          <w:highlight w:val="none"/>
          <w:lang w:val="zh-CN"/>
        </w:rPr>
        <w:t>同时</w:t>
      </w:r>
      <w:r>
        <w:rPr>
          <w:rFonts w:ascii="Times New Roman" w:hAnsi="Times New Roman" w:cs="Times New Roman" w:eastAsiaTheme="minorEastAsia"/>
          <w:bCs/>
          <w:color w:val="auto"/>
          <w:w w:val="99"/>
          <w:kern w:val="2"/>
          <w:szCs w:val="20"/>
          <w:highlight w:val="none"/>
          <w:lang w:val="zh-CN"/>
        </w:rPr>
        <w:t>施工，</w:t>
      </w:r>
      <w:r>
        <w:rPr>
          <w:rFonts w:hint="eastAsia" w:ascii="Times New Roman" w:hAnsi="Times New Roman" w:cs="Times New Roman" w:eastAsiaTheme="minorEastAsia"/>
          <w:bCs/>
          <w:color w:val="auto"/>
          <w:w w:val="99"/>
          <w:kern w:val="2"/>
          <w:szCs w:val="20"/>
          <w:highlight w:val="none"/>
          <w:lang w:val="zh-CN"/>
        </w:rPr>
        <w:t>废弃</w:t>
      </w:r>
      <w:r>
        <w:rPr>
          <w:rFonts w:ascii="Times New Roman" w:hAnsi="Times New Roman" w:cs="Times New Roman" w:eastAsiaTheme="minorEastAsia"/>
          <w:bCs/>
          <w:color w:val="auto"/>
          <w:w w:val="99"/>
          <w:kern w:val="2"/>
          <w:szCs w:val="20"/>
          <w:highlight w:val="none"/>
          <w:lang w:val="zh-CN"/>
        </w:rPr>
        <w:t>泥浆最大产生量为</w:t>
      </w:r>
      <w:r>
        <w:rPr>
          <w:rFonts w:hint="eastAsia" w:ascii="Times New Roman" w:hAnsi="Times New Roman" w:cs="Times New Roman" w:eastAsiaTheme="minorEastAsia"/>
          <w:bCs/>
          <w:color w:val="auto"/>
          <w:w w:val="99"/>
          <w:kern w:val="2"/>
          <w:szCs w:val="20"/>
          <w:highlight w:val="none"/>
          <w:lang w:val="zh-CN"/>
        </w:rPr>
        <w:t>123.83</w:t>
      </w:r>
      <w:r>
        <w:rPr>
          <w:rFonts w:ascii="Times New Roman" w:hAnsi="Times New Roman" w:cs="Times New Roman" w:eastAsiaTheme="minorEastAsia"/>
          <w:bCs/>
          <w:color w:val="auto"/>
          <w:w w:val="99"/>
          <w:kern w:val="2"/>
          <w:szCs w:val="20"/>
          <w:highlight w:val="none"/>
          <w:lang w:val="zh-CN"/>
        </w:rPr>
        <w:t>m</w:t>
      </w:r>
      <w:r>
        <w:rPr>
          <w:rFonts w:ascii="Times New Roman" w:hAnsi="Times New Roman" w:cs="Times New Roman" w:eastAsiaTheme="minorEastAsia"/>
          <w:bCs/>
          <w:color w:val="auto"/>
          <w:w w:val="99"/>
          <w:kern w:val="2"/>
          <w:szCs w:val="20"/>
          <w:highlight w:val="none"/>
          <w:vertAlign w:val="superscript"/>
          <w:lang w:val="zh-CN"/>
        </w:rPr>
        <w:t>3</w:t>
      </w:r>
      <w:r>
        <w:rPr>
          <w:rFonts w:ascii="Times New Roman" w:hAnsi="Times New Roman" w:cs="Times New Roman" w:eastAsiaTheme="minorEastAsia"/>
          <w:bCs/>
          <w:color w:val="auto"/>
          <w:w w:val="99"/>
          <w:kern w:val="2"/>
          <w:szCs w:val="20"/>
          <w:highlight w:val="none"/>
          <w:lang w:val="zh-CN"/>
        </w:rPr>
        <w:t>/d，新增本项目处理量后负荷率为</w:t>
      </w:r>
      <w:r>
        <w:rPr>
          <w:rFonts w:hint="eastAsia" w:ascii="Times New Roman" w:hAnsi="Times New Roman" w:cs="Times New Roman" w:eastAsiaTheme="minorEastAsia"/>
          <w:bCs/>
          <w:color w:val="auto"/>
          <w:w w:val="99"/>
          <w:kern w:val="2"/>
          <w:szCs w:val="20"/>
          <w:highlight w:val="none"/>
          <w:lang w:val="en-US" w:eastAsia="zh-CN"/>
        </w:rPr>
        <w:t>54.77</w:t>
      </w:r>
      <w:r>
        <w:rPr>
          <w:rFonts w:ascii="Times New Roman" w:hAnsi="Times New Roman" w:cs="Times New Roman" w:eastAsiaTheme="minorEastAsia"/>
          <w:bCs/>
          <w:color w:val="auto"/>
          <w:w w:val="99"/>
          <w:kern w:val="2"/>
          <w:szCs w:val="20"/>
          <w:highlight w:val="none"/>
          <w:lang w:val="zh-CN"/>
        </w:rPr>
        <w:t>%</w:t>
      </w:r>
      <w:r>
        <w:rPr>
          <w:rFonts w:ascii="Times New Roman" w:hAnsi="Times New Roman" w:eastAsiaTheme="minorEastAsia"/>
          <w:bCs/>
          <w:color w:val="auto"/>
          <w:w w:val="99"/>
          <w:highlight w:val="none"/>
        </w:rPr>
        <w:t>，</w:t>
      </w:r>
      <w:r>
        <w:rPr>
          <w:rFonts w:hint="eastAsia" w:ascii="Times New Roman" w:hAnsi="Times New Roman" w:eastAsiaTheme="minorEastAsia"/>
          <w:color w:val="auto"/>
          <w:w w:val="99"/>
          <w:highlight w:val="none"/>
        </w:rPr>
        <w:t>能够满足本工程废弃泥浆处理要求，本项目依托可行。</w:t>
      </w:r>
    </w:p>
    <w:p>
      <w:pPr>
        <w:pStyle w:val="7"/>
        <w:keepNext w:val="0"/>
        <w:keepLines w:val="0"/>
        <w:widowControl w:val="0"/>
        <w:jc w:val="both"/>
        <w:rPr>
          <w:b/>
          <w:color w:val="auto"/>
          <w:w w:val="99"/>
          <w:kern w:val="2"/>
          <w:sz w:val="24"/>
          <w:szCs w:val="24"/>
          <w:highlight w:val="none"/>
        </w:rPr>
      </w:pPr>
      <w:bookmarkStart w:id="1258" w:name="_Toc74812430"/>
      <w:bookmarkStart w:id="1259" w:name="_Toc67523698"/>
      <w:bookmarkStart w:id="1260" w:name="_Toc71372046"/>
      <w:bookmarkStart w:id="1261" w:name="_Toc69690916"/>
      <w:bookmarkStart w:id="1262" w:name="_Toc74812191"/>
      <w:bookmarkStart w:id="1263" w:name="_Toc80105259"/>
      <w:bookmarkStart w:id="1264" w:name="_Toc77667403"/>
      <w:bookmarkStart w:id="1265" w:name="_Toc61597327"/>
      <w:r>
        <w:rPr>
          <w:b/>
          <w:color w:val="auto"/>
          <w:w w:val="99"/>
          <w:kern w:val="2"/>
          <w:sz w:val="24"/>
          <w:szCs w:val="24"/>
          <w:highlight w:val="none"/>
        </w:rPr>
        <w:t>6.5.2膨润土等废包装袋、废防渗布和生活垃圾</w:t>
      </w:r>
      <w:bookmarkEnd w:id="1258"/>
      <w:bookmarkEnd w:id="1259"/>
      <w:bookmarkEnd w:id="1260"/>
      <w:bookmarkEnd w:id="1261"/>
      <w:bookmarkEnd w:id="1262"/>
      <w:bookmarkEnd w:id="1263"/>
      <w:bookmarkEnd w:id="1264"/>
      <w:bookmarkEnd w:id="1265"/>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施工期使用的膨润土、纯碱、重晶石粉均不属于危险化学品，所以废弃包装袋和废弃防渗布属于一般固体废物，膨润土、纯碱、重晶石粉废包装袋</w:t>
      </w:r>
      <w:r>
        <w:rPr>
          <w:rFonts w:hint="eastAsia" w:ascii="Times New Roman" w:hAnsi="Times New Roman" w:cs="Times New Roman" w:eastAsiaTheme="minorEastAsia"/>
          <w:color w:val="auto"/>
          <w:w w:val="99"/>
          <w:kern w:val="2"/>
          <w:highlight w:val="none"/>
        </w:rPr>
        <w:t>统一收集后暂存于钻井液材料房内的加盖钢制桶内，施工结束后由施工单位拉运至第八采油厂工业固废填埋场处理；废防渗布在施工结束后直接由施工单位拉运至第八采油厂工业固废填埋场处理。</w:t>
      </w:r>
    </w:p>
    <w:p>
      <w:pPr>
        <w:widowControl w:val="0"/>
        <w:spacing w:line="44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highlight w:val="none"/>
          <w:lang w:val="zh-CN" w:bidi="zh-CN"/>
        </w:rPr>
        <w:t>第八采油厂工业固废填埋场现阶段运行稳定，总容量为11624m</w:t>
      </w:r>
      <w:r>
        <w:rPr>
          <w:rFonts w:ascii="Times New Roman" w:hAnsi="Times New Roman" w:cs="Times New Roman" w:eastAsiaTheme="minorEastAsia"/>
          <w:color w:val="auto"/>
          <w:w w:val="99"/>
          <w:highlight w:val="none"/>
          <w:vertAlign w:val="superscript"/>
          <w:lang w:val="zh-CN" w:bidi="zh-CN"/>
        </w:rPr>
        <w:t>3</w:t>
      </w:r>
      <w:r>
        <w:rPr>
          <w:rFonts w:ascii="Times New Roman" w:hAnsi="Times New Roman" w:cs="Times New Roman" w:eastAsiaTheme="minorEastAsia"/>
          <w:color w:val="auto"/>
          <w:w w:val="99"/>
          <w:highlight w:val="none"/>
          <w:lang w:val="zh-CN" w:bidi="zh-CN"/>
        </w:rPr>
        <w:t>，目前实际容纳约8800m</w:t>
      </w:r>
      <w:r>
        <w:rPr>
          <w:rFonts w:ascii="Times New Roman" w:hAnsi="Times New Roman" w:cs="Times New Roman" w:eastAsiaTheme="minorEastAsia"/>
          <w:color w:val="auto"/>
          <w:w w:val="99"/>
          <w:highlight w:val="none"/>
          <w:vertAlign w:val="superscript"/>
          <w:lang w:val="zh-CN" w:bidi="zh-CN"/>
        </w:rPr>
        <w:t>3</w:t>
      </w:r>
      <w:r>
        <w:rPr>
          <w:rFonts w:ascii="Times New Roman" w:hAnsi="Times New Roman" w:cs="Times New Roman" w:eastAsiaTheme="minorEastAsia"/>
          <w:color w:val="auto"/>
          <w:w w:val="99"/>
          <w:highlight w:val="none"/>
          <w:lang w:val="zh-CN" w:bidi="zh-CN"/>
        </w:rPr>
        <w:t>，剩余能力为2824m</w:t>
      </w:r>
      <w:r>
        <w:rPr>
          <w:rFonts w:ascii="Times New Roman" w:hAnsi="Times New Roman" w:cs="Times New Roman" w:eastAsiaTheme="minorEastAsia"/>
          <w:color w:val="auto"/>
          <w:w w:val="99"/>
          <w:highlight w:val="none"/>
          <w:vertAlign w:val="superscript"/>
          <w:lang w:val="zh-CN" w:bidi="zh-CN"/>
        </w:rPr>
        <w:t>3</w:t>
      </w:r>
      <w:r>
        <w:rPr>
          <w:rFonts w:ascii="Times New Roman" w:hAnsi="Times New Roman" w:cs="Times New Roman" w:eastAsiaTheme="minorEastAsia"/>
          <w:color w:val="auto"/>
          <w:w w:val="99"/>
          <w:highlight w:val="none"/>
          <w:lang w:val="zh-CN" w:bidi="zh-CN"/>
        </w:rPr>
        <w:t>/a，</w:t>
      </w:r>
      <w:r>
        <w:rPr>
          <w:rFonts w:ascii="Times New Roman" w:hAnsi="Times New Roman" w:cs="Times New Roman" w:eastAsiaTheme="minorEastAsia"/>
          <w:bCs/>
          <w:color w:val="auto"/>
          <w:w w:val="99"/>
          <w:highlight w:val="none"/>
          <w:lang w:bidi="zh-CN"/>
        </w:rPr>
        <w:t>本项目产生废弃防渗布和</w:t>
      </w:r>
      <w:r>
        <w:rPr>
          <w:rFonts w:ascii="Times New Roman" w:hAnsi="Times New Roman" w:cs="Times New Roman" w:eastAsiaTheme="minorEastAsia"/>
          <w:color w:val="auto"/>
          <w:w w:val="99"/>
          <w:kern w:val="2"/>
          <w:highlight w:val="none"/>
        </w:rPr>
        <w:t>膨润土、纯碱、重晶石粉废包装袋</w:t>
      </w:r>
      <w:r>
        <w:rPr>
          <w:rFonts w:ascii="Times New Roman" w:hAnsi="Times New Roman" w:cs="Times New Roman" w:eastAsiaTheme="minorEastAsia"/>
          <w:bCs/>
          <w:color w:val="auto"/>
          <w:w w:val="99"/>
          <w:highlight w:val="none"/>
          <w:lang w:bidi="zh-CN"/>
        </w:rPr>
        <w:t>共计</w:t>
      </w:r>
      <w:r>
        <w:rPr>
          <w:rFonts w:hint="eastAsia" w:ascii="Times New Roman" w:hAnsi="Times New Roman" w:cs="Times New Roman" w:eastAsiaTheme="minorEastAsia"/>
          <w:bCs/>
          <w:color w:val="auto"/>
          <w:w w:val="99"/>
          <w:highlight w:val="none"/>
          <w:lang w:bidi="zh-CN"/>
        </w:rPr>
        <w:t>19.052</w:t>
      </w:r>
      <w:r>
        <w:rPr>
          <w:rFonts w:ascii="Times New Roman" w:hAnsi="Times New Roman" w:cs="Times New Roman" w:eastAsiaTheme="minorEastAsia"/>
          <w:bCs/>
          <w:color w:val="auto"/>
          <w:w w:val="99"/>
          <w:highlight w:val="none"/>
          <w:lang w:bidi="zh-CN"/>
        </w:rPr>
        <w:t>t，填埋场剩余容量能够容纳本项目产生的固体废物，本项目依托可行。</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hint="eastAsia" w:ascii="Times New Roman" w:hAnsi="Times New Roman" w:cs="Times New Roman" w:eastAsiaTheme="minorEastAsia"/>
          <w:color w:val="auto"/>
          <w:w w:val="99"/>
          <w:kern w:val="2"/>
          <w:highlight w:val="none"/>
        </w:rPr>
        <w:t>生活垃圾统一收集后运至肇东市生活垃圾填埋场处理</w:t>
      </w:r>
      <w:r>
        <w:rPr>
          <w:rFonts w:ascii="Times New Roman" w:hAnsi="Times New Roman" w:cs="Times New Roman" w:eastAsiaTheme="minorEastAsia"/>
          <w:color w:val="auto"/>
          <w:w w:val="99"/>
          <w:kern w:val="2"/>
          <w:highlight w:val="none"/>
        </w:rPr>
        <w:t>。</w:t>
      </w:r>
    </w:p>
    <w:p>
      <w:pPr>
        <w:pStyle w:val="7"/>
        <w:keepNext w:val="0"/>
        <w:keepLines w:val="0"/>
        <w:widowControl w:val="0"/>
        <w:tabs>
          <w:tab w:val="left" w:pos="3967"/>
        </w:tabs>
        <w:jc w:val="both"/>
        <w:rPr>
          <w:b/>
          <w:color w:val="auto"/>
          <w:w w:val="99"/>
          <w:kern w:val="2"/>
          <w:sz w:val="24"/>
          <w:szCs w:val="24"/>
          <w:highlight w:val="none"/>
        </w:rPr>
      </w:pPr>
      <w:bookmarkStart w:id="1266" w:name="_Toc80105260"/>
      <w:bookmarkStart w:id="1267" w:name="_Toc74812431"/>
      <w:bookmarkStart w:id="1268" w:name="_Toc71372047"/>
      <w:bookmarkStart w:id="1269" w:name="_Toc61597328"/>
      <w:bookmarkStart w:id="1270" w:name="_Toc67523699"/>
      <w:bookmarkStart w:id="1271" w:name="_Toc77667404"/>
      <w:bookmarkStart w:id="1272" w:name="_Toc74812192"/>
      <w:bookmarkStart w:id="1273" w:name="_Toc69690917"/>
      <w:r>
        <w:rPr>
          <w:b/>
          <w:color w:val="auto"/>
          <w:w w:val="99"/>
          <w:kern w:val="2"/>
          <w:sz w:val="24"/>
          <w:szCs w:val="24"/>
          <w:highlight w:val="none"/>
        </w:rPr>
        <w:t>6.5.3KOH包装袋</w:t>
      </w:r>
      <w:bookmarkEnd w:id="1266"/>
      <w:bookmarkEnd w:id="1267"/>
      <w:bookmarkEnd w:id="1268"/>
      <w:bookmarkEnd w:id="1269"/>
      <w:bookmarkEnd w:id="1270"/>
      <w:bookmarkEnd w:id="1271"/>
      <w:bookmarkEnd w:id="1272"/>
      <w:bookmarkEnd w:id="1273"/>
      <w:r>
        <w:rPr>
          <w:b/>
          <w:color w:val="auto"/>
          <w:w w:val="99"/>
          <w:kern w:val="2"/>
          <w:sz w:val="24"/>
          <w:szCs w:val="24"/>
          <w:highlight w:val="none"/>
        </w:rPr>
        <w:tab/>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根据</w:t>
      </w:r>
      <w:r>
        <w:rPr>
          <w:rFonts w:ascii="Times New Roman" w:hAnsi="Times New Roman" w:cs="Times New Roman" w:eastAsiaTheme="minorEastAsia"/>
          <w:snapToGrid w:val="0"/>
          <w:color w:val="auto"/>
          <w:w w:val="99"/>
          <w:highlight w:val="none"/>
        </w:rPr>
        <w:t>《国家危险废物名录（2021年版）》（部令第15号）</w:t>
      </w:r>
      <w:r>
        <w:rPr>
          <w:rFonts w:ascii="Times New Roman" w:hAnsi="Times New Roman" w:cs="Times New Roman" w:eastAsiaTheme="minorEastAsia"/>
          <w:color w:val="auto"/>
          <w:w w:val="99"/>
          <w:kern w:val="2"/>
          <w:highlight w:val="none"/>
        </w:rPr>
        <w:t>，KOH废包装袋属于HW49其他废物，危险废物编号为900-041-49含有或沾染毒性、感染性危险废物的废弃包装物、容器、过滤吸附介质。项目施工期间产生的KOH废包装袋经收集后直接由施工单位委托资质单位处理，不在井场暂存。</w:t>
      </w:r>
    </w:p>
    <w:bookmarkEnd w:id="1160"/>
    <w:bookmarkEnd w:id="1161"/>
    <w:bookmarkEnd w:id="1248"/>
    <w:bookmarkEnd w:id="1249"/>
    <w:bookmarkEnd w:id="1250"/>
    <w:bookmarkEnd w:id="1251"/>
    <w:bookmarkEnd w:id="1252"/>
    <w:bookmarkEnd w:id="1253"/>
    <w:bookmarkEnd w:id="1254"/>
    <w:bookmarkEnd w:id="1255"/>
    <w:bookmarkEnd w:id="1256"/>
    <w:bookmarkEnd w:id="1257"/>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bookmarkStart w:id="1274" w:name="_Toc57976739"/>
      <w:bookmarkStart w:id="1275" w:name="_Toc57707987"/>
      <w:bookmarkStart w:id="1276" w:name="_Toc17898245"/>
      <w:bookmarkStart w:id="1277" w:name="_Toc57203317"/>
      <w:bookmarkStart w:id="1278" w:name="_Toc17898254"/>
      <w:bookmarkStart w:id="1279" w:name="_Toc57976748"/>
      <w:bookmarkStart w:id="1280" w:name="_Toc57707996"/>
      <w:bookmarkStart w:id="1281" w:name="_Toc57203326"/>
      <w:r>
        <w:rPr>
          <w:rFonts w:ascii="Times New Roman" w:hAnsi="Times New Roman" w:cs="Times New Roman" w:eastAsiaTheme="minorEastAsia"/>
          <w:color w:val="auto"/>
          <w:w w:val="99"/>
          <w:kern w:val="2"/>
          <w:highlight w:val="none"/>
        </w:rPr>
        <w:t>根据《建设项目危险废物环境影响评价指南》（环境保护部公告2017年第43号）相关规定， 危险废物收集、贮存、运输的一般要求：</w:t>
      </w:r>
      <w:r>
        <w:rPr>
          <w:rFonts w:hint="eastAsia"/>
          <w:color w:val="auto"/>
          <w:w w:val="99"/>
          <w:kern w:val="2"/>
          <w:highlight w:val="none"/>
        </w:rPr>
        <w:t>①</w:t>
      </w:r>
      <w:r>
        <w:rPr>
          <w:rFonts w:ascii="Times New Roman" w:hAnsi="Times New Roman" w:cs="Times New Roman" w:eastAsiaTheme="minorEastAsia"/>
          <w:color w:val="auto"/>
          <w:w w:val="99"/>
          <w:kern w:val="2"/>
          <w:highlight w:val="none"/>
        </w:rPr>
        <w:t>从事危险废物收集、贮存、运输经营活动的单位应具有危险废物经营许可证。在收集、贮存、运输危险废物时，应根据危险废物收集、贮存、处置经营许可证核发的有关规定建立相应的规章制度和污染防治措施，包括危险废物分析管理制度、安全管理制度、污染防治措施等；危险废物产生单位内部自行从事的危险废物收集、贮存、运输活动应遵照国家相关管理规定，建立健全规章制度及操作流程，确保该过程的安全、可靠。</w:t>
      </w:r>
      <w:r>
        <w:rPr>
          <w:rFonts w:hint="eastAsia"/>
          <w:color w:val="auto"/>
          <w:w w:val="99"/>
          <w:kern w:val="2"/>
          <w:highlight w:val="none"/>
        </w:rPr>
        <w:t>②</w:t>
      </w:r>
      <w:r>
        <w:rPr>
          <w:rFonts w:ascii="Times New Roman" w:hAnsi="Times New Roman" w:cs="Times New Roman" w:eastAsiaTheme="minorEastAsia"/>
          <w:color w:val="auto"/>
          <w:w w:val="99"/>
          <w:kern w:val="2"/>
          <w:highlight w:val="none"/>
        </w:rPr>
        <w:t>危险废物转移过程应按《危险废物转移联单管理办法》执行。</w:t>
      </w:r>
      <w:r>
        <w:rPr>
          <w:rFonts w:hint="eastAsia"/>
          <w:color w:val="auto"/>
          <w:w w:val="99"/>
          <w:kern w:val="2"/>
          <w:highlight w:val="none"/>
        </w:rPr>
        <w:t>③</w:t>
      </w:r>
      <w:r>
        <w:rPr>
          <w:rFonts w:ascii="Times New Roman" w:hAnsi="Times New Roman" w:cs="Times New Roman" w:eastAsiaTheme="minorEastAsia"/>
          <w:color w:val="auto"/>
          <w:w w:val="99"/>
          <w:kern w:val="2"/>
          <w:highlight w:val="none"/>
        </w:rPr>
        <w:t>危险废物收集、贮存、运输单位应建立规范的管理和技术人员培训制度，定期针对管理和技术人员进行培训。培训内容至少应包括危险废物鉴别要求、危险废物经营许可证管理、危险废物转移联单管理、危险废物包装和标识、危险废物运输要求、危险废物事故应急方法等。</w:t>
      </w:r>
      <w:r>
        <w:rPr>
          <w:rFonts w:hint="eastAsia"/>
          <w:color w:val="auto"/>
          <w:w w:val="99"/>
          <w:kern w:val="2"/>
          <w:highlight w:val="none"/>
        </w:rPr>
        <w:t>④</w:t>
      </w:r>
      <w:r>
        <w:rPr>
          <w:rFonts w:ascii="Times New Roman" w:hAnsi="Times New Roman" w:cs="Times New Roman" w:eastAsiaTheme="minorEastAsia"/>
          <w:color w:val="auto"/>
          <w:w w:val="99"/>
          <w:kern w:val="2"/>
          <w:highlight w:val="none"/>
        </w:rPr>
        <w:t>危险废物收集、贮存、运输单位应编制应急预案。应急预案编制可参照《危险废物经营单位编制应急预案指南》，涉及运输的相关内容还应符合交通行政主管部门的有关规定。针对危险废物收集、贮存、运输过程中的事故易发环节应定期组织应急演练。</w:t>
      </w:r>
      <w:r>
        <w:rPr>
          <w:rFonts w:hint="eastAsia"/>
          <w:color w:val="auto"/>
          <w:w w:val="99"/>
          <w:kern w:val="2"/>
          <w:highlight w:val="none"/>
        </w:rPr>
        <w:t>⑤</w:t>
      </w:r>
      <w:r>
        <w:rPr>
          <w:rFonts w:ascii="Times New Roman" w:hAnsi="Times New Roman" w:cs="Times New Roman" w:eastAsiaTheme="minorEastAsia"/>
          <w:color w:val="auto"/>
          <w:w w:val="99"/>
          <w:kern w:val="2"/>
          <w:highlight w:val="none"/>
        </w:rPr>
        <w:t>危险废物收集、贮存、运输时应按危险特性对危险废物进行分类、包装并设置相应的标志及标签。</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采取以上措施后，本项目产生的固体废物均得到有效处置，不会对周围环境产生不良影响。</w:t>
      </w:r>
    </w:p>
    <w:p>
      <w:pPr>
        <w:pStyle w:val="5"/>
        <w:keepNext w:val="0"/>
        <w:keepLines w:val="0"/>
        <w:widowControl w:val="0"/>
        <w:jc w:val="both"/>
        <w:rPr>
          <w:rFonts w:ascii="Times New Roman" w:hAnsi="Times New Roman"/>
          <w:b/>
          <w:snapToGrid w:val="0"/>
          <w:color w:val="auto"/>
          <w:w w:val="99"/>
          <w:highlight w:val="none"/>
        </w:rPr>
      </w:pPr>
      <w:bookmarkStart w:id="1282" w:name="_Toc80105261"/>
      <w:r>
        <w:rPr>
          <w:rFonts w:ascii="Times New Roman" w:hAnsi="Times New Roman"/>
          <w:b/>
          <w:snapToGrid w:val="0"/>
          <w:color w:val="auto"/>
          <w:w w:val="99"/>
          <w:highlight w:val="none"/>
        </w:rPr>
        <w:t>6.6生态保护减缓措施</w:t>
      </w:r>
      <w:bookmarkEnd w:id="1274"/>
      <w:bookmarkEnd w:id="1275"/>
      <w:bookmarkEnd w:id="1276"/>
      <w:bookmarkEnd w:id="1277"/>
      <w:bookmarkEnd w:id="1282"/>
    </w:p>
    <w:p>
      <w:pPr>
        <w:pStyle w:val="7"/>
        <w:keepNext w:val="0"/>
        <w:keepLines w:val="0"/>
        <w:widowControl w:val="0"/>
        <w:jc w:val="both"/>
        <w:rPr>
          <w:b/>
          <w:color w:val="auto"/>
          <w:w w:val="99"/>
          <w:kern w:val="2"/>
          <w:sz w:val="24"/>
          <w:szCs w:val="24"/>
          <w:highlight w:val="none"/>
        </w:rPr>
      </w:pPr>
      <w:bookmarkStart w:id="1283" w:name="_Toc74812194"/>
      <w:bookmarkStart w:id="1284" w:name="_Toc74812433"/>
      <w:bookmarkStart w:id="1285" w:name="_Toc80105262"/>
      <w:bookmarkStart w:id="1286" w:name="_Toc77667406"/>
      <w:bookmarkStart w:id="1287" w:name="_Toc71372049"/>
      <w:bookmarkStart w:id="1288" w:name="_Toc69690919"/>
      <w:bookmarkStart w:id="1289" w:name="_Toc61597330"/>
      <w:bookmarkStart w:id="1290" w:name="_Toc67523701"/>
      <w:r>
        <w:rPr>
          <w:b/>
          <w:color w:val="auto"/>
          <w:w w:val="99"/>
          <w:kern w:val="2"/>
          <w:sz w:val="24"/>
          <w:szCs w:val="24"/>
          <w:highlight w:val="none"/>
        </w:rPr>
        <w:t>6.6.1管理措施</w:t>
      </w:r>
      <w:bookmarkEnd w:id="1283"/>
      <w:bookmarkEnd w:id="1284"/>
      <w:bookmarkEnd w:id="1285"/>
      <w:bookmarkEnd w:id="1286"/>
      <w:bookmarkEnd w:id="1287"/>
      <w:bookmarkEnd w:id="1288"/>
    </w:p>
    <w:p>
      <w:pPr>
        <w:pStyle w:val="32"/>
        <w:spacing w:line="500" w:lineRule="exact"/>
        <w:ind w:firstLine="455"/>
        <w:jc w:val="both"/>
        <w:rPr>
          <w:rFonts w:ascii="Times New Roman" w:hAnsi="Times New Roman" w:eastAsiaTheme="minorEastAsia"/>
          <w:color w:val="auto"/>
          <w:w w:val="99"/>
          <w:szCs w:val="24"/>
          <w:highlight w:val="none"/>
        </w:rPr>
      </w:pPr>
      <w:r>
        <w:rPr>
          <w:rFonts w:ascii="Times New Roman" w:hAnsi="Times New Roman" w:eastAsiaTheme="minorEastAsia"/>
          <w:bCs/>
          <w:color w:val="auto"/>
          <w:w w:val="99"/>
          <w:szCs w:val="24"/>
          <w:highlight w:val="none"/>
        </w:rPr>
        <w:t>施工时避开大风及强降水季节</w:t>
      </w:r>
      <w:r>
        <w:rPr>
          <w:rFonts w:ascii="Times New Roman" w:hAnsi="Times New Roman" w:eastAsiaTheme="minorEastAsia"/>
          <w:color w:val="auto"/>
          <w:w w:val="99"/>
          <w:szCs w:val="24"/>
          <w:highlight w:val="none"/>
        </w:rPr>
        <w:t>。施工期间应划定施工活动范围，严格控制和管理运输车辆、重型机械设备作业范围，以及施工人员的活动范围，由专人负责管理，减少施工作业对周围土壤和植被的破坏范围和程度。</w:t>
      </w:r>
    </w:p>
    <w:p>
      <w:pPr>
        <w:spacing w:line="500" w:lineRule="exact"/>
        <w:ind w:firstLine="474" w:firstLineChars="200"/>
        <w:jc w:val="both"/>
        <w:rPr>
          <w:rFonts w:ascii="Times New Roman" w:hAnsi="Times New Roman" w:cs="Times New Roman"/>
          <w:bCs/>
          <w:color w:val="auto"/>
          <w:w w:val="99"/>
          <w:kern w:val="2"/>
          <w:szCs w:val="28"/>
          <w:highlight w:val="none"/>
        </w:rPr>
      </w:pPr>
      <w:r>
        <w:rPr>
          <w:rFonts w:ascii="Times New Roman" w:hAnsi="Times New Roman" w:cs="Times New Roman" w:eastAsiaTheme="minorEastAsia"/>
          <w:color w:val="auto"/>
          <w:w w:val="99"/>
          <w:kern w:val="2"/>
          <w:highlight w:val="none"/>
        </w:rPr>
        <w:t>严禁在大风天气下运输及装卸施工散料等。在便道出入口，竖立保护耕地的警示牌，以提醒施工作业人员，减少人员随意践踏造成的水土流失。严禁开发建设施工材料乱堆乱放，划定适宜的堆料场，以防对植物破坏范围的扩大，增加裸地面积而新增的水土流失。</w:t>
      </w:r>
    </w:p>
    <w:p>
      <w:pPr>
        <w:pStyle w:val="7"/>
        <w:keepNext w:val="0"/>
        <w:keepLines w:val="0"/>
        <w:widowControl w:val="0"/>
        <w:jc w:val="both"/>
        <w:rPr>
          <w:b/>
          <w:color w:val="auto"/>
          <w:w w:val="99"/>
          <w:kern w:val="2"/>
          <w:sz w:val="24"/>
          <w:szCs w:val="24"/>
          <w:highlight w:val="none"/>
        </w:rPr>
      </w:pPr>
      <w:bookmarkStart w:id="1291" w:name="_Toc80105263"/>
      <w:bookmarkStart w:id="1292" w:name="_Toc77667407"/>
      <w:bookmarkStart w:id="1293" w:name="_Toc74812195"/>
      <w:bookmarkStart w:id="1294" w:name="_Toc69690920"/>
      <w:bookmarkStart w:id="1295" w:name="_Toc74812434"/>
      <w:bookmarkStart w:id="1296" w:name="_Toc71372050"/>
      <w:r>
        <w:rPr>
          <w:b/>
          <w:color w:val="auto"/>
          <w:w w:val="99"/>
          <w:kern w:val="2"/>
          <w:sz w:val="24"/>
          <w:szCs w:val="24"/>
          <w:highlight w:val="none"/>
        </w:rPr>
        <w:t>6.6.2植被保护措施</w:t>
      </w:r>
      <w:bookmarkEnd w:id="1289"/>
      <w:bookmarkEnd w:id="1290"/>
      <w:bookmarkEnd w:id="1291"/>
      <w:bookmarkEnd w:id="1292"/>
      <w:bookmarkEnd w:id="1293"/>
      <w:bookmarkEnd w:id="1294"/>
      <w:bookmarkEnd w:id="1295"/>
      <w:bookmarkEnd w:id="1296"/>
    </w:p>
    <w:p>
      <w:pPr>
        <w:snapToGrid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（1）搬运钻井设备利用现有公路、小路，执行“无捷径”原则，认真确定车辆行驶路线，不在道路、井场以外的地方行驶和作业，禁止碾压和破坏地表植被。</w:t>
      </w:r>
    </w:p>
    <w:p>
      <w:pPr>
        <w:snapToGrid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（2）井场布置必须遵守《大庆油（气）田建设工程用地规范》规定，严格控制施工作业面积，以减少地表植被破坏。</w:t>
      </w:r>
    </w:p>
    <w:p>
      <w:pPr>
        <w:snapToGrid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恢复土地生产能力，提高土壤肥力。施工过程中尽量保护土地资源，不打乱土层，先挖表土层（20cm-30cm左右）单独堆放；然后挖心、底土层另外堆放。复原时先填心、底土，后平覆表土，以便尽快恢复植被。</w:t>
      </w:r>
    </w:p>
    <w:p>
      <w:pPr>
        <w:snapToGrid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（4）钻井施工过程中，应尽量减少占地面积，并规范行车路线及施工人员行为，严禁随意践踏、碾压施工区范围外的植被，不准乱挖、乱采野生植物。</w:t>
      </w:r>
    </w:p>
    <w:p>
      <w:pPr>
        <w:snapToGrid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（5）充分利用现有道路，尽量不再开辟新的临时进井通道。</w:t>
      </w:r>
    </w:p>
    <w:p>
      <w:pPr>
        <w:snapToGrid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（6）为避免施工期对植物的影响，对易产生扬尘的场所必要时加以遮挡，以减轻对草原生态系统的影响。</w:t>
      </w:r>
    </w:p>
    <w:p>
      <w:pPr>
        <w:snapToGrid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（7）缩短临时占地时间，施工完毕后立即恢复植被。</w:t>
      </w:r>
    </w:p>
    <w:p>
      <w:pPr>
        <w:snapToGrid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（10）钻井施工应编制施工预案，科学安排作业，最大限度减少钻机搬迁等对草原的碾压和破坏。</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（12）完井后对全部的临时占地进行平整，以利于植被自然恢复，井场地表恢复原有地貌。</w:t>
      </w:r>
    </w:p>
    <w:p>
      <w:pPr>
        <w:snapToGrid w:val="0"/>
        <w:spacing w:line="500" w:lineRule="exact"/>
        <w:ind w:firstLine="474" w:firstLineChars="200"/>
        <w:jc w:val="both"/>
        <w:rPr>
          <w:rFonts w:ascii="Times New Roman" w:hAnsi="Times New Roman" w:cs="Times New Roman" w:eastAsiaTheme="minorEastAsia"/>
          <w:bCs/>
          <w:color w:val="auto"/>
          <w:w w:val="99"/>
          <w:highlight w:val="none"/>
        </w:rPr>
      </w:pPr>
      <w:r>
        <w:rPr>
          <w:rFonts w:ascii="Times New Roman" w:hAnsi="Times New Roman" w:cs="Times New Roman" w:eastAsiaTheme="minorEastAsia"/>
          <w:color w:val="auto"/>
          <w:w w:val="99"/>
          <w:highlight w:val="none"/>
        </w:rPr>
        <w:t>（13）及时落实生态补偿和恢复措施，对临时占用的耕地进行整平翻松，对永久占用的耕地按“占一补一”的原则及相关规定缴纳土地补偿费，专款用于耕地的恢复及补偿</w:t>
      </w:r>
      <w:r>
        <w:rPr>
          <w:rFonts w:ascii="Times New Roman" w:hAnsi="Times New Roman" w:cs="Times New Roman" w:eastAsiaTheme="minorEastAsia"/>
          <w:bCs/>
          <w:color w:val="auto"/>
          <w:w w:val="99"/>
          <w:highlight w:val="none"/>
        </w:rPr>
        <w:t>。</w:t>
      </w:r>
    </w:p>
    <w:p>
      <w:pPr>
        <w:snapToGrid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14）由企业安全环保部对油田建设环境保护工作进行全过程监控，对环境保护措施强制推行，以加强设计和施工阶段的环境管理，控制施工阶段的环境污染和生态破坏；同时在日常生产管理过程中对相应的环境管理机构、人员及环境管理制度必须切实落实和执行。尤其在建设施工期，除设置油田专职环保员一名外，还应根据现场实际情况，建立健全相应的二级HSE管理网络，在油田已有HSE指挥部的基础上，分别配备数名HSE现场监督人员，确保环保措施落实到位。</w:t>
      </w:r>
    </w:p>
    <w:p>
      <w:pPr>
        <w:pStyle w:val="7"/>
        <w:keepNext w:val="0"/>
        <w:keepLines w:val="0"/>
        <w:widowControl w:val="0"/>
        <w:jc w:val="both"/>
        <w:rPr>
          <w:b/>
          <w:color w:val="auto"/>
          <w:w w:val="99"/>
          <w:kern w:val="2"/>
          <w:sz w:val="24"/>
          <w:szCs w:val="24"/>
          <w:highlight w:val="none"/>
        </w:rPr>
      </w:pPr>
      <w:bookmarkStart w:id="1297" w:name="_Toc77667408"/>
      <w:bookmarkStart w:id="1298" w:name="_Toc69690921"/>
      <w:bookmarkStart w:id="1299" w:name="_Toc67523702"/>
      <w:bookmarkStart w:id="1300" w:name="_Toc74812196"/>
      <w:bookmarkStart w:id="1301" w:name="_Toc61597331"/>
      <w:bookmarkStart w:id="1302" w:name="_Toc80105264"/>
      <w:bookmarkStart w:id="1303" w:name="_Toc71372051"/>
      <w:bookmarkStart w:id="1304" w:name="_Toc74812435"/>
      <w:r>
        <w:rPr>
          <w:b/>
          <w:color w:val="auto"/>
          <w:w w:val="99"/>
          <w:kern w:val="2"/>
          <w:sz w:val="24"/>
          <w:szCs w:val="24"/>
          <w:highlight w:val="none"/>
        </w:rPr>
        <w:t>6.6.3防沙治沙</w:t>
      </w:r>
      <w:bookmarkEnd w:id="1297"/>
      <w:bookmarkEnd w:id="1298"/>
      <w:bookmarkEnd w:id="1299"/>
      <w:bookmarkEnd w:id="1300"/>
      <w:bookmarkEnd w:id="1301"/>
      <w:bookmarkEnd w:id="1302"/>
      <w:bookmarkEnd w:id="1303"/>
      <w:bookmarkEnd w:id="1304"/>
      <w:r>
        <w:rPr>
          <w:b/>
          <w:color w:val="auto"/>
          <w:w w:val="99"/>
          <w:kern w:val="2"/>
          <w:sz w:val="24"/>
          <w:szCs w:val="24"/>
          <w:highlight w:val="none"/>
        </w:rPr>
        <w:t xml:space="preserve"> </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color w:val="auto"/>
          <w:w w:val="99"/>
          <w:kern w:val="2"/>
          <w:szCs w:val="28"/>
          <w:highlight w:val="none"/>
        </w:rPr>
        <w:t>（1）</w:t>
      </w:r>
      <w:r>
        <w:rPr>
          <w:rFonts w:ascii="Times New Roman" w:hAnsi="Times New Roman" w:cs="Times New Roman" w:eastAsiaTheme="minorEastAsia"/>
          <w:color w:val="auto"/>
          <w:w w:val="99"/>
          <w:kern w:val="2"/>
          <w:szCs w:val="28"/>
          <w:highlight w:val="none"/>
        </w:rPr>
        <w:t>做好施工期开挖土方临时堆存的水土保持措施，确保土方水土流失得到有效控制。对开挖井场造成植被破坏或地表裸露的，必须采取有效的修复措施，所有生态措施应在井场投运半年内完成。</w:t>
      </w:r>
    </w:p>
    <w:p>
      <w:pPr>
        <w:pStyle w:val="49"/>
        <w:spacing w:after="0" w:line="500" w:lineRule="exact"/>
        <w:ind w:left="0" w:leftChars="0" w:firstLine="474" w:firstLineChars="200"/>
        <w:rPr>
          <w:rFonts w:eastAsiaTheme="minorEastAsia"/>
          <w:bCs/>
          <w:color w:val="auto"/>
          <w:w w:val="99"/>
          <w:sz w:val="24"/>
          <w:highlight w:val="none"/>
        </w:rPr>
      </w:pPr>
      <w:r>
        <w:rPr>
          <w:rFonts w:eastAsiaTheme="minorEastAsia"/>
          <w:bCs/>
          <w:color w:val="auto"/>
          <w:w w:val="99"/>
          <w:sz w:val="24"/>
          <w:highlight w:val="none"/>
        </w:rPr>
        <w:t>（2）在施工活动结束后，要立即对施工现场进行回填平整，形成新的合适坡度，并尽可能覆土压实，基本程序是回填－平整－覆土－压实。工程回填物应首先考虑弃土、弃石和弃渣，并力求做到“挖填平衡”。</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color w:val="auto"/>
          <w:w w:val="99"/>
          <w:kern w:val="2"/>
          <w:szCs w:val="28"/>
          <w:highlight w:val="none"/>
        </w:rPr>
        <w:t>（3）</w:t>
      </w:r>
      <w:r>
        <w:rPr>
          <w:rFonts w:ascii="Times New Roman" w:hAnsi="Times New Roman" w:cs="Times New Roman" w:eastAsiaTheme="minorEastAsia"/>
          <w:color w:val="auto"/>
          <w:w w:val="99"/>
          <w:kern w:val="2"/>
          <w:szCs w:val="28"/>
          <w:highlight w:val="none"/>
        </w:rPr>
        <w:t>施工时要特别注意保护原始地表与天然植被，划定施工活动范围，严格控制和管理车辆及重型机械的运行范围，所有车辆采用“一”字型作业法，避免并行开辟新路，以减少风蚀沙化活动的范围。</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color w:val="auto"/>
          <w:w w:val="99"/>
          <w:kern w:val="2"/>
          <w:szCs w:val="28"/>
          <w:highlight w:val="none"/>
        </w:rPr>
        <w:t>（4）</w:t>
      </w:r>
      <w:r>
        <w:rPr>
          <w:rFonts w:ascii="Times New Roman" w:hAnsi="Times New Roman" w:cs="Times New Roman" w:eastAsiaTheme="minorEastAsia"/>
          <w:color w:val="auto"/>
          <w:w w:val="99"/>
          <w:kern w:val="2"/>
          <w:szCs w:val="28"/>
          <w:highlight w:val="none"/>
        </w:rPr>
        <w:t>施工作业避免在大风天施工。</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color w:val="auto"/>
          <w:w w:val="99"/>
          <w:kern w:val="2"/>
          <w:szCs w:val="28"/>
          <w:highlight w:val="none"/>
        </w:rPr>
        <w:t>（5）</w:t>
      </w:r>
      <w:r>
        <w:rPr>
          <w:rFonts w:ascii="Times New Roman" w:hAnsi="Times New Roman" w:cs="Times New Roman" w:eastAsiaTheme="minorEastAsia"/>
          <w:color w:val="auto"/>
          <w:w w:val="99"/>
          <w:kern w:val="2"/>
          <w:szCs w:val="28"/>
          <w:highlight w:val="none"/>
        </w:rPr>
        <w:t>路基边坡采取种草措施护坡固土，维护路基稳定和道路安全运行。</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通过以上措施，可有效防止土地沙化。</w:t>
      </w:r>
    </w:p>
    <w:p>
      <w:pPr>
        <w:pStyle w:val="7"/>
        <w:keepNext w:val="0"/>
        <w:keepLines w:val="0"/>
        <w:widowControl w:val="0"/>
        <w:jc w:val="both"/>
        <w:rPr>
          <w:b/>
          <w:color w:val="auto"/>
          <w:w w:val="99"/>
          <w:kern w:val="2"/>
          <w:sz w:val="24"/>
          <w:szCs w:val="24"/>
          <w:highlight w:val="none"/>
        </w:rPr>
      </w:pPr>
      <w:bookmarkStart w:id="1305" w:name="_Toc61597332"/>
      <w:bookmarkStart w:id="1306" w:name="_Toc67523703"/>
      <w:bookmarkStart w:id="1307" w:name="_Toc69690922"/>
      <w:bookmarkStart w:id="1308" w:name="_Toc74812436"/>
      <w:bookmarkStart w:id="1309" w:name="_Toc71372052"/>
      <w:bookmarkStart w:id="1310" w:name="_Toc77667409"/>
      <w:bookmarkStart w:id="1311" w:name="_Toc80105265"/>
      <w:bookmarkStart w:id="1312" w:name="_Toc74812197"/>
      <w:r>
        <w:rPr>
          <w:b/>
          <w:color w:val="auto"/>
          <w:w w:val="99"/>
          <w:kern w:val="2"/>
          <w:sz w:val="24"/>
          <w:szCs w:val="24"/>
          <w:highlight w:val="none"/>
        </w:rPr>
        <w:t>6.6.4水土流失防治措施</w:t>
      </w:r>
      <w:bookmarkEnd w:id="1305"/>
      <w:bookmarkEnd w:id="1306"/>
      <w:bookmarkEnd w:id="1307"/>
      <w:bookmarkEnd w:id="1308"/>
      <w:bookmarkEnd w:id="1309"/>
      <w:bookmarkEnd w:id="1310"/>
      <w:bookmarkEnd w:id="1311"/>
      <w:bookmarkEnd w:id="1312"/>
      <w:r>
        <w:rPr>
          <w:b/>
          <w:color w:val="auto"/>
          <w:w w:val="99"/>
          <w:kern w:val="2"/>
          <w:sz w:val="24"/>
          <w:szCs w:val="24"/>
          <w:highlight w:val="none"/>
        </w:rPr>
        <w:t xml:space="preserve"> </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（1）井场</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井场予以平整、压实，以免发生水土流失。对于建设开挖、回填产生的弃土石方要合理填埋、堆放、利用，并采取适当的压实平整措施。地面建设产生的弃方不得随处堆放，应合理利用。</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hint="eastAsia"/>
          <w:bCs/>
          <w:color w:val="auto"/>
          <w:w w:val="99"/>
          <w:szCs w:val="28"/>
          <w:highlight w:val="none"/>
        </w:rPr>
        <w:t>（2）</w:t>
      </w:r>
      <w:r>
        <w:rPr>
          <w:rFonts w:ascii="Times New Roman" w:hAnsi="Times New Roman" w:cs="Times New Roman" w:eastAsiaTheme="minorEastAsia"/>
          <w:bCs/>
          <w:color w:val="auto"/>
          <w:w w:val="99"/>
          <w:szCs w:val="28"/>
          <w:highlight w:val="none"/>
        </w:rPr>
        <w:t>道路</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严格控制施工车辆、机械及施工人员活动范围，尽可能减少原有植被和土壤的破坏。施工便道施工作业面宽度控制在永久占地范围内；施工便道应在推平后加以机械碾压压实或铺设砂石硬化，如遇水土流失较严重区域，应在道路一侧开挖简易土质排水沟。</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利用现有公路和已有便道行车，减少新建道路，避免造成新的裸露地表；执行“无捷径”原则，规范车辆行驶路线，不在道路、井场以外的地方行驶和作业，禁止碾压和破坏地表植被。在油田道路地势较低，容易汇水形成径流冲刷的路段，设置钢筋砼板涵，以保证道路两侧洪沟的畅通。作好道路泄洪桥涵洞的疏通、维修工作，保证各类设施的泄洪能力。</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hint="eastAsia"/>
          <w:bCs/>
          <w:color w:val="auto"/>
          <w:w w:val="99"/>
          <w:szCs w:val="28"/>
          <w:highlight w:val="none"/>
        </w:rPr>
        <w:t>（3）</w:t>
      </w:r>
      <w:r>
        <w:rPr>
          <w:rFonts w:ascii="Times New Roman" w:hAnsi="Times New Roman" w:cs="Times New Roman" w:eastAsiaTheme="minorEastAsia"/>
          <w:bCs/>
          <w:color w:val="auto"/>
          <w:w w:val="99"/>
          <w:szCs w:val="28"/>
          <w:highlight w:val="none"/>
        </w:rPr>
        <w:t>生物防治措施</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本项目水土保持生物措施主要根据油田地面植被情况，做好原有植被恢复工作，最大程度的降低因本项目施工建设和生产运行而新增的水土流失量，降低人为因素导致当地土壤盐碱化的趋势，尽量改善当地的生态环境。</w:t>
      </w:r>
    </w:p>
    <w:p>
      <w:pPr>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szCs w:val="28"/>
          <w:highlight w:val="none"/>
        </w:rPr>
        <w:t>本项目由于施工期短，各井场占地面积小，土石方可场内平衡，无外运量，工程实际新增的水土流失量小，在环境可接受范围内。</w:t>
      </w:r>
      <w:r>
        <w:rPr>
          <w:rFonts w:ascii="Times New Roman" w:hAnsi="Times New Roman" w:cs="Times New Roman" w:eastAsiaTheme="minorEastAsia"/>
          <w:color w:val="auto"/>
          <w:w w:val="99"/>
          <w:kern w:val="2"/>
          <w:highlight w:val="none"/>
        </w:rPr>
        <w:t>典型</w:t>
      </w:r>
      <w:r>
        <w:rPr>
          <w:rFonts w:hint="eastAsia" w:ascii="Times New Roman" w:hAnsi="Times New Roman" w:cs="Times New Roman" w:eastAsiaTheme="minorEastAsia"/>
          <w:color w:val="auto"/>
          <w:w w:val="99"/>
          <w:kern w:val="2"/>
          <w:highlight w:val="none"/>
        </w:rPr>
        <w:t>井场</w:t>
      </w:r>
      <w:r>
        <w:rPr>
          <w:rFonts w:ascii="Times New Roman" w:hAnsi="Times New Roman" w:cs="Times New Roman" w:eastAsiaTheme="minorEastAsia"/>
          <w:color w:val="auto"/>
          <w:w w:val="99"/>
          <w:kern w:val="2"/>
          <w:highlight w:val="none"/>
        </w:rPr>
        <w:t>生态保护措施平面布置示意图详见图6.6-1。</w:t>
      </w:r>
    </w:p>
    <w:p>
      <w:pPr>
        <w:wordWrap w:val="0"/>
        <w:jc w:val="center"/>
        <w:rPr>
          <w:rFonts w:ascii="Times New Roman" w:hAnsi="Times New Roman" w:cs="Times New Roman"/>
          <w:color w:val="auto"/>
          <w:w w:val="99"/>
          <w:kern w:val="2"/>
          <w:szCs w:val="28"/>
          <w:highlight w:val="none"/>
        </w:rPr>
      </w:pPr>
      <w:r>
        <w:rPr>
          <w:color w:val="auto"/>
          <w:highlight w:val="none"/>
        </w:rPr>
        <w:drawing>
          <wp:anchor distT="0" distB="0" distL="114300" distR="114300" simplePos="0" relativeHeight="251679744" behindDoc="0" locked="0" layoutInCell="1" allowOverlap="1">
            <wp:simplePos x="0" y="0"/>
            <wp:positionH relativeFrom="column">
              <wp:posOffset>4837430</wp:posOffset>
            </wp:positionH>
            <wp:positionV relativeFrom="paragraph">
              <wp:posOffset>1953260</wp:posOffset>
            </wp:positionV>
            <wp:extent cx="912495" cy="1494155"/>
            <wp:effectExtent l="0" t="0" r="1905" b="10795"/>
            <wp:wrapNone/>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45"/>
                    <a:stretch>
                      <a:fillRect/>
                    </a:stretch>
                  </pic:blipFill>
                  <pic:spPr>
                    <a:xfrm>
                      <a:off x="0" y="0"/>
                      <a:ext cx="912495" cy="1494155"/>
                    </a:xfrm>
                    <a:prstGeom prst="rect">
                      <a:avLst/>
                    </a:prstGeom>
                    <a:noFill/>
                    <a:ln>
                      <a:noFill/>
                    </a:ln>
                  </pic:spPr>
                </pic:pic>
              </a:graphicData>
            </a:graphic>
          </wp:anchor>
        </w:drawing>
      </w:r>
      <w:r>
        <w:rPr>
          <w:color w:val="auto"/>
          <w:highlight w:val="none"/>
        </w:rPr>
        <mc:AlternateContent>
          <mc:Choice Requires="wps">
            <w:drawing>
              <wp:anchor distT="0" distB="0" distL="114300" distR="114300" simplePos="0" relativeHeight="251680768" behindDoc="0" locked="0" layoutInCell="1" allowOverlap="1">
                <wp:simplePos x="0" y="0"/>
                <wp:positionH relativeFrom="column">
                  <wp:posOffset>107950</wp:posOffset>
                </wp:positionH>
                <wp:positionV relativeFrom="paragraph">
                  <wp:posOffset>655955</wp:posOffset>
                </wp:positionV>
                <wp:extent cx="1681480" cy="828040"/>
                <wp:effectExtent l="6350" t="6350" r="293370" b="22860"/>
                <wp:wrapNone/>
                <wp:docPr id="59" name="矩形标注 59"/>
                <wp:cNvGraphicFramePr/>
                <a:graphic xmlns:a="http://schemas.openxmlformats.org/drawingml/2006/main">
                  <a:graphicData uri="http://schemas.microsoft.com/office/word/2010/wordprocessingShape">
                    <wps:wsp>
                      <wps:cNvSpPr/>
                      <wps:spPr>
                        <a:xfrm>
                          <a:off x="0" y="0"/>
                          <a:ext cx="1681480" cy="828040"/>
                        </a:xfrm>
                        <a:prstGeom prst="wedgeRectCallout">
                          <a:avLst>
                            <a:gd name="adj1" fmla="val 65974"/>
                            <a:gd name="adj2" fmla="val 36196"/>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ascii="Times New Roman" w:hAnsi="Times New Roman" w:cs="Times New Roman"/>
                                <w:color w:val="000000" w:themeColor="text1"/>
                                <w:sz w:val="21"/>
                                <w:szCs w:val="21"/>
                                <w14:textFill>
                                  <w14:solidFill>
                                    <w14:schemeClr w14:val="tx1"/>
                                  </w14:solidFill>
                                </w14:textFill>
                              </w:rPr>
                            </w:pPr>
                            <w:r>
                              <w:drawing>
                                <wp:inline distT="0" distB="0" distL="114300" distR="114300">
                                  <wp:extent cx="1485265" cy="742950"/>
                                  <wp:effectExtent l="0" t="0" r="635"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46"/>
                                          <a:stretch>
                                            <a:fillRect/>
                                          </a:stretch>
                                        </pic:blipFill>
                                        <pic:spPr>
                                          <a:xfrm>
                                            <a:off x="0" y="0"/>
                                            <a:ext cx="1485265" cy="742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8.5pt;margin-top:51.65pt;height:65.2pt;width:132.4pt;z-index:251680768;v-text-anchor:middle;mso-width-relative:page;mso-height-relative:page;" fillcolor="#FFFFFF [3212]" filled="t" stroked="t" coordsize="21600,21600" o:gfxdata="UEsDBAoAAAAAAIdO4kAAAAAAAAAAAAAAAAAEAAAAZHJzL1BLAwQUAAAACACHTuJACAinsNcAAAAK&#10;AQAADwAAAGRycy9kb3ducmV2LnhtbE2PQU/DMAyF70j8h8hI3FjSVXSlazppSBxBYnDoMWtMW61x&#10;qiZdy7/HnOBkP/np+XvlYXWDuOIUek8ako0CgdR421Or4fPj5SEHEaIhawZPqOEbAxyq25vSFNYv&#10;9I7XU2wFh1AojIYuxrGQMjQdOhM2fkTi25efnIksp1baySwc7ga5VSqTzvTEHzoz4nOHzeU0Ow32&#10;6RjXkNVZeJzzpT7Wydv8mmh9f5eoPYiIa/wzwy8+o0PFTGc/kw1iYL3jKpGnSlMQbNjmCXc585Km&#10;O5BVKf9XqH4AUEsDBBQAAAAIAIdO4kAsRmBMqQIAAGQFAAAOAAAAZHJzL2Uyb0RvYy54bWytVM1u&#10;EzEQviPxDpbvdJOQpknUTRUlCkKqaEVBnB2vN7vIf9hON+UFeAwQJzhz5nEor8Fn77ZNC4ce2IN3&#10;xjOeme8bj49PdkqSS+F8bXRO+wc9SoTmpqj1Jqdv36yejSnxgemCSaNFTq+Epyezp0+OGzsVA1MZ&#10;WQhHEET7aWNzWoVgp1nmeSUU8wfGCg1jaZxiAarbZIVjDaIrmQ16vVHWGFdYZ7jwHrvL1ki7iO4x&#10;AU1Z1lwsDd8qoUMb1QnJAiD5qraezlK1ZSl4OCtLLwKROQXSkFYkgbyOazY7ZtONY7aqeVcCe0wJ&#10;DzApVmskvQ21ZIGRrav/CqVq7ow3ZTjgRmUtkMQIUPR7D7i5qJgVCQuo9vaWdP//wvJXl+eO1EVO&#10;DyeUaKbQ8d+fv//6+fX6y6frH98ItsFRY/0Urhf23HWahxgB70qn4h9QyC7xenXLq9gFwrHZH437&#10;wzEo57CNB+PeMBGf3Z22zocXwigShZw2otiI12jegklptiFRyy5PfUgcF12hrHjfp6RUEi27ZJKM&#10;DidHw66lez6DfZ/no/5kFH2QvYsI6SZ/DO+NrItVLWVS3Ga9kI4gfE5X6esO33OTmjTAOTjqRZQM&#10;Y1HiOkJUFtR6vaGEyQ3mjQeXwNw77R+XJBa5ZL5qi0kRWrCqDhhJWSuw24tfV6LUgBlb1zYrSmG3&#10;3nUdXJviCr13ph0Kb/mqRoZT5sM5c6AUUPBOhDMspTTAZzqJksq4j//aj/64nLBS0mCqgP3DljlB&#10;iXypcW0n/SF6T0JShodHAyhu37Let+itWhjwjiajuiRG/yBvxNIZ9Q7PyTxmhYlpjtwty52yCO20&#10;40HiYj5Pbhg9y8KpvrA8Bo991ma+DaasQ7wZkaiWnU7B8KUL0z0Ucbr39eR19zjO/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ICKew1wAAAAoBAAAPAAAAAAAAAAEAIAAAACIAAABkcnMvZG93bnJl&#10;di54bWxQSwECFAAUAAAACACHTuJALEZgTKkCAABkBQAADgAAAAAAAAABACAAAAAmAQAAZHJzL2Uy&#10;b0RvYy54bWxQSwUGAAAAAAYABgBZAQAAQQYAAAAA&#10;" adj="25050,18618">
                <v:fill on="t" focussize="0,0"/>
                <v:stroke weight="1pt" color="#FFFFFF [3212]" miterlimit="8" joinstyle="miter"/>
                <v:imagedata o:title=""/>
                <o:lock v:ext="edit" aspectratio="f"/>
                <v:textbox>
                  <w:txbxContent>
                    <w:p>
                      <w:pPr>
                        <w:rPr>
                          <w:rFonts w:ascii="Times New Roman" w:hAnsi="Times New Roman" w:cs="Times New Roman"/>
                          <w:color w:val="000000" w:themeColor="text1"/>
                          <w:sz w:val="21"/>
                          <w:szCs w:val="21"/>
                          <w14:textFill>
                            <w14:solidFill>
                              <w14:schemeClr w14:val="tx1"/>
                            </w14:solidFill>
                          </w14:textFill>
                        </w:rPr>
                      </w:pPr>
                      <w:r>
                        <w:drawing>
                          <wp:inline distT="0" distB="0" distL="114300" distR="114300">
                            <wp:extent cx="1485265" cy="742950"/>
                            <wp:effectExtent l="0" t="0" r="635"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46"/>
                                    <a:stretch>
                                      <a:fillRect/>
                                    </a:stretch>
                                  </pic:blipFill>
                                  <pic:spPr>
                                    <a:xfrm>
                                      <a:off x="0" y="0"/>
                                      <a:ext cx="1485265" cy="742950"/>
                                    </a:xfrm>
                                    <a:prstGeom prst="rect">
                                      <a:avLst/>
                                    </a:prstGeom>
                                    <a:noFill/>
                                    <a:ln>
                                      <a:noFill/>
                                    </a:ln>
                                  </pic:spPr>
                                </pic:pic>
                              </a:graphicData>
                            </a:graphic>
                          </wp:inline>
                        </w:drawing>
                      </w:r>
                    </w:p>
                  </w:txbxContent>
                </v:textbox>
              </v:shape>
            </w:pict>
          </mc:Fallback>
        </mc:AlternateContent>
      </w:r>
      <w:r>
        <w:rPr>
          <w:color w:val="auto"/>
          <w:highlight w:val="none"/>
        </w:rPr>
        <w:drawing>
          <wp:anchor distT="0" distB="0" distL="114300" distR="114300" simplePos="0" relativeHeight="251681792" behindDoc="0" locked="0" layoutInCell="1" allowOverlap="1">
            <wp:simplePos x="0" y="0"/>
            <wp:positionH relativeFrom="column">
              <wp:posOffset>5107940</wp:posOffset>
            </wp:positionH>
            <wp:positionV relativeFrom="paragraph">
              <wp:posOffset>10160</wp:posOffset>
            </wp:positionV>
            <wp:extent cx="629920" cy="882650"/>
            <wp:effectExtent l="0" t="0" r="17780" b="12700"/>
            <wp:wrapNone/>
            <wp:docPr id="6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
                    <pic:cNvPicPr>
                      <a:picLocks noChangeAspect="1"/>
                    </pic:cNvPicPr>
                  </pic:nvPicPr>
                  <pic:blipFill>
                    <a:blip r:embed="rId47"/>
                    <a:stretch>
                      <a:fillRect/>
                    </a:stretch>
                  </pic:blipFill>
                  <pic:spPr>
                    <a:xfrm>
                      <a:off x="0" y="0"/>
                      <a:ext cx="629920" cy="882650"/>
                    </a:xfrm>
                    <a:prstGeom prst="rect">
                      <a:avLst/>
                    </a:prstGeom>
                    <a:noFill/>
                    <a:ln>
                      <a:noFill/>
                    </a:ln>
                  </pic:spPr>
                </pic:pic>
              </a:graphicData>
            </a:graphic>
          </wp:anchor>
        </w:drawing>
      </w:r>
      <w:r>
        <w:rPr>
          <w:color w:val="auto"/>
          <w:highlight w:val="none"/>
        </w:rPr>
        <w:drawing>
          <wp:inline distT="0" distB="0" distL="114300" distR="114300">
            <wp:extent cx="5757545" cy="3438525"/>
            <wp:effectExtent l="0" t="0" r="14605" b="952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48"/>
                    <a:stretch>
                      <a:fillRect/>
                    </a:stretch>
                  </pic:blipFill>
                  <pic:spPr>
                    <a:xfrm>
                      <a:off x="0" y="0"/>
                      <a:ext cx="5757545" cy="3438525"/>
                    </a:xfrm>
                    <a:prstGeom prst="rect">
                      <a:avLst/>
                    </a:prstGeom>
                    <a:noFill/>
                    <a:ln>
                      <a:noFill/>
                    </a:ln>
                  </pic:spPr>
                </pic:pic>
              </a:graphicData>
            </a:graphic>
          </wp:inline>
        </w:drawing>
      </w:r>
    </w:p>
    <w:p>
      <w:pPr>
        <w:wordWrap w:val="0"/>
        <w:ind w:firstLine="474" w:firstLineChars="200"/>
        <w:rPr>
          <w:rFonts w:ascii="Times New Roman" w:hAnsi="Times New Roman" w:cs="Times New Roman"/>
          <w:bCs/>
          <w:color w:val="auto"/>
          <w:w w:val="99"/>
          <w:kern w:val="2"/>
          <w:szCs w:val="28"/>
          <w:highlight w:val="none"/>
        </w:rPr>
      </w:pPr>
      <w:r>
        <w:rPr>
          <w:rFonts w:ascii="Times New Roman" w:hAnsi="Times New Roman" w:cs="Times New Roman"/>
          <w:bCs/>
          <w:color w:val="auto"/>
          <w:w w:val="99"/>
          <w:kern w:val="2"/>
          <w:szCs w:val="20"/>
          <w:highlight w:val="none"/>
        </w:rPr>
        <w:t>图6.6-1           典型井场生态保护措施平面布置示意图</w:t>
      </w:r>
    </w:p>
    <w:bookmarkEnd w:id="1278"/>
    <w:bookmarkEnd w:id="1279"/>
    <w:bookmarkEnd w:id="1280"/>
    <w:bookmarkEnd w:id="1281"/>
    <w:p>
      <w:pPr>
        <w:pStyle w:val="5"/>
        <w:keepNext w:val="0"/>
        <w:keepLines w:val="0"/>
        <w:widowControl w:val="0"/>
        <w:jc w:val="both"/>
        <w:rPr>
          <w:rFonts w:ascii="Times New Roman" w:hAnsi="Times New Roman"/>
          <w:b/>
          <w:snapToGrid w:val="0"/>
          <w:color w:val="auto"/>
          <w:w w:val="99"/>
          <w:highlight w:val="none"/>
        </w:rPr>
      </w:pPr>
      <w:bookmarkStart w:id="1313" w:name="_Toc80105266"/>
      <w:bookmarkStart w:id="1314" w:name="_Toc502736527"/>
      <w:bookmarkStart w:id="1315" w:name="_Toc480447676"/>
      <w:r>
        <w:rPr>
          <w:rFonts w:ascii="Times New Roman" w:hAnsi="Times New Roman"/>
          <w:b/>
          <w:snapToGrid w:val="0"/>
          <w:color w:val="auto"/>
          <w:w w:val="99"/>
          <w:highlight w:val="none"/>
        </w:rPr>
        <w:t>6.7土壤污染防治措施</w:t>
      </w:r>
      <w:bookmarkEnd w:id="1313"/>
    </w:p>
    <w:p>
      <w:pPr>
        <w:pStyle w:val="7"/>
        <w:keepNext w:val="0"/>
        <w:keepLines w:val="0"/>
        <w:widowControl w:val="0"/>
        <w:jc w:val="both"/>
        <w:rPr>
          <w:b/>
          <w:color w:val="auto"/>
          <w:w w:val="99"/>
          <w:kern w:val="2"/>
          <w:sz w:val="24"/>
          <w:szCs w:val="24"/>
          <w:highlight w:val="none"/>
        </w:rPr>
      </w:pPr>
      <w:bookmarkStart w:id="1316" w:name="_Toc67523705"/>
      <w:bookmarkStart w:id="1317" w:name="_Toc77667411"/>
      <w:bookmarkStart w:id="1318" w:name="_Toc80105267"/>
      <w:bookmarkStart w:id="1319" w:name="_Toc69690924"/>
      <w:bookmarkStart w:id="1320" w:name="_Toc74812199"/>
      <w:bookmarkStart w:id="1321" w:name="_Toc71372054"/>
      <w:bookmarkStart w:id="1322" w:name="_Toc61597334"/>
      <w:bookmarkStart w:id="1323" w:name="_Toc74812438"/>
      <w:r>
        <w:rPr>
          <w:b/>
          <w:color w:val="auto"/>
          <w:w w:val="99"/>
          <w:kern w:val="2"/>
          <w:sz w:val="24"/>
          <w:szCs w:val="24"/>
          <w:highlight w:val="none"/>
        </w:rPr>
        <w:t>6.7.1污染防治基本要求</w:t>
      </w:r>
      <w:bookmarkEnd w:id="1316"/>
      <w:bookmarkEnd w:id="1317"/>
      <w:bookmarkEnd w:id="1318"/>
      <w:bookmarkEnd w:id="1319"/>
      <w:bookmarkEnd w:id="1320"/>
      <w:bookmarkEnd w:id="1321"/>
      <w:bookmarkEnd w:id="1322"/>
      <w:bookmarkEnd w:id="1323"/>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针对项目可能发生的土壤污染，按照源头控制、末端防治、污染监控、应急响应相结合的原则，从污染物的产生、入渗、扩散、应急响应等全阶段进行控制。</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（1）源头控制措施</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主要包括在施工工艺、设备、污水储存及处理构筑物采取相应措施，防止和降低污染物跑、冒、滴、漏，将污染物泄漏的环境风险事故降到最低程度。</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（2）末端控制措施</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主要包括钻井井场污染区地面的防渗措施和泄漏、渗漏污染物收集措施，即在污染区地面进行防渗处理，防止洒落地面的污染物渗入地下，并把滞留在地面的污染物收集起来集中处理；末端控制采取分区防渗原则。</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（3）污染监控体系</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为了及时了解项目场区及周边土壤环境质量状况和土壤中污染物的动态变化，根据《环境影响评价技术导则土壤环境（试行）》（HJ964-2018）、《排污单位自行监测技术指南总则》（HJ819-2017）的相关要求，本项目拟制定土壤环境跟踪监测措施，包括制定跟踪监测计划，科学、合理地设置土壤监测点位，建立完善的跟踪监测制度，配备必要的取样设备，以便及时发现并有效控制。</w:t>
      </w:r>
    </w:p>
    <w:p>
      <w:pPr>
        <w:widowControl w:val="0"/>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（4）应急响应措施</w:t>
      </w:r>
    </w:p>
    <w:p>
      <w:pPr>
        <w:widowControl w:val="0"/>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包括一旦发现土壤污染事故，立即采取应急措施控制土壤、地下水污染，并使污染得到治理。</w:t>
      </w:r>
    </w:p>
    <w:p>
      <w:pPr>
        <w:pStyle w:val="7"/>
        <w:keepNext w:val="0"/>
        <w:keepLines w:val="0"/>
        <w:widowControl w:val="0"/>
        <w:jc w:val="both"/>
        <w:rPr>
          <w:b/>
          <w:color w:val="auto"/>
          <w:w w:val="99"/>
          <w:kern w:val="2"/>
          <w:sz w:val="24"/>
          <w:szCs w:val="24"/>
          <w:highlight w:val="none"/>
        </w:rPr>
      </w:pPr>
      <w:bookmarkStart w:id="1324" w:name="_Toc69690925"/>
      <w:bookmarkStart w:id="1325" w:name="_Toc67523706"/>
      <w:bookmarkStart w:id="1326" w:name="_Toc77667412"/>
      <w:bookmarkStart w:id="1327" w:name="_Toc80105268"/>
      <w:bookmarkStart w:id="1328" w:name="_Toc74812200"/>
      <w:bookmarkStart w:id="1329" w:name="_Toc74812439"/>
      <w:bookmarkStart w:id="1330" w:name="_Toc61597335"/>
      <w:bookmarkStart w:id="1331" w:name="_Toc71372055"/>
      <w:r>
        <w:rPr>
          <w:b/>
          <w:color w:val="auto"/>
          <w:w w:val="99"/>
          <w:kern w:val="2"/>
          <w:sz w:val="24"/>
          <w:szCs w:val="24"/>
          <w:highlight w:val="none"/>
        </w:rPr>
        <w:t>6.7.2土壤环境保护措施</w:t>
      </w:r>
      <w:bookmarkEnd w:id="1324"/>
      <w:bookmarkEnd w:id="1325"/>
      <w:bookmarkEnd w:id="1326"/>
      <w:bookmarkEnd w:id="1327"/>
      <w:bookmarkEnd w:id="1328"/>
      <w:bookmarkEnd w:id="1329"/>
      <w:bookmarkEnd w:id="1330"/>
      <w:bookmarkEnd w:id="1331"/>
    </w:p>
    <w:p>
      <w:pPr>
        <w:widowControl w:val="0"/>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（1）加强施工中的环境管理，控制和消除土壤污染源。严禁随意倾倒污水、随意堆放固体废物，防止因“三废”处理不合理或处置措施不当对土壤造成污染。</w:t>
      </w:r>
    </w:p>
    <w:p>
      <w:pPr>
        <w:widowControl w:val="0"/>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2）井场布置必须遵守《大庆油田开发建设用地标准》规定，严格控制施工作业面积，以减少地表植被和土壤的破坏。本工程建设期间主要进行井场的建设与道路的铺设等作业。对环境的影响属于高强度、低频率的局地性破坏。本工程对占用的耕地，按照“占多少，垦多少”的原则，按照省市的规定缴纳耕地开垦费，专款用于开垦新的耕地。</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（3）充分利用现有道路，尽量不再开辟新的临时通道。</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4）对于临时占地，在对土壤进行开挖施工时要采取措施降低土壤风蚀，减少水土流失：对土壤要分层开挖、分别堆放，按原土层回填（先填心土，后覆盖表土）平埋方式（不起土坝）进行，以便其尽快恢复植被生长。</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lang w:bidi="zh-CN"/>
        </w:rPr>
        <w:t>（5）加强管理，杜绝钻井泥浆跑冒滴漏，施工井场采取分区防渗措施，杜绝污染物泄漏对土壤造成影响；</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kern w:val="21"/>
          <w:highlight w:val="none"/>
        </w:rPr>
        <w:t>（6）加强管理，</w:t>
      </w:r>
      <w:r>
        <w:rPr>
          <w:rFonts w:ascii="Times New Roman" w:hAnsi="Times New Roman" w:cs="Times New Roman" w:eastAsiaTheme="minorEastAsia"/>
          <w:color w:val="auto"/>
          <w:w w:val="99"/>
          <w:kern w:val="21"/>
          <w:highlight w:val="none"/>
          <w:lang w:bidi="zh-CN"/>
        </w:rPr>
        <w:t>提高职工的环境保护意识，</w:t>
      </w:r>
      <w:r>
        <w:rPr>
          <w:rFonts w:ascii="Times New Roman" w:hAnsi="Times New Roman" w:cs="Times New Roman" w:eastAsiaTheme="minorEastAsia"/>
          <w:color w:val="auto"/>
          <w:w w:val="99"/>
          <w:kern w:val="21"/>
          <w:highlight w:val="none"/>
        </w:rPr>
        <w:t>规范施工人员行为，严禁随意践踏、碾压施工区范围之外的植被；</w:t>
      </w:r>
    </w:p>
    <w:p>
      <w:pPr>
        <w:pStyle w:val="7"/>
        <w:keepNext w:val="0"/>
        <w:keepLines w:val="0"/>
        <w:widowControl w:val="0"/>
        <w:jc w:val="both"/>
        <w:rPr>
          <w:b/>
          <w:color w:val="auto"/>
          <w:w w:val="99"/>
          <w:kern w:val="2"/>
          <w:sz w:val="24"/>
          <w:szCs w:val="24"/>
          <w:highlight w:val="none"/>
        </w:rPr>
      </w:pPr>
      <w:bookmarkStart w:id="1332" w:name="_Toc67523707"/>
      <w:bookmarkStart w:id="1333" w:name="_Toc61597336"/>
      <w:bookmarkStart w:id="1334" w:name="_Toc74812201"/>
      <w:bookmarkStart w:id="1335" w:name="_Toc69690926"/>
      <w:bookmarkStart w:id="1336" w:name="_Toc80105269"/>
      <w:bookmarkStart w:id="1337" w:name="_Toc71372056"/>
      <w:bookmarkStart w:id="1338" w:name="_Toc74812440"/>
      <w:bookmarkStart w:id="1339" w:name="_Toc77667413"/>
      <w:r>
        <w:rPr>
          <w:b/>
          <w:color w:val="auto"/>
          <w:w w:val="99"/>
          <w:kern w:val="2"/>
          <w:sz w:val="24"/>
          <w:szCs w:val="24"/>
          <w:highlight w:val="none"/>
        </w:rPr>
        <w:t>6.7.3土壤环境跟踪监测</w:t>
      </w:r>
      <w:bookmarkEnd w:id="1332"/>
      <w:bookmarkEnd w:id="1333"/>
      <w:bookmarkEnd w:id="1334"/>
      <w:bookmarkEnd w:id="1335"/>
      <w:bookmarkEnd w:id="1336"/>
      <w:bookmarkEnd w:id="1337"/>
      <w:bookmarkEnd w:id="1338"/>
      <w:bookmarkEnd w:id="1339"/>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对井场的土壤定期监测，发现土壤污染时，及时查找泄漏源，防止污染源的进一步下渗，必要时对已污染的土壤进行替换或修复。基于本项目现状监测点设置兼顾土壤环境影响跟踪监测计划的原则，建议分别在</w:t>
      </w:r>
      <w:r>
        <w:rPr>
          <w:rFonts w:hint="eastAsia" w:ascii="Times New Roman" w:hAnsi="Times New Roman" w:cs="Times New Roman" w:eastAsiaTheme="minorEastAsia"/>
          <w:color w:val="auto"/>
          <w:w w:val="99"/>
          <w:kern w:val="21"/>
          <w:highlight w:val="none"/>
        </w:rPr>
        <w:t>源244-134</w:t>
      </w:r>
      <w:r>
        <w:rPr>
          <w:rFonts w:ascii="Times New Roman" w:hAnsi="Times New Roman" w:cs="Times New Roman" w:eastAsiaTheme="minorEastAsia"/>
          <w:color w:val="auto"/>
          <w:w w:val="99"/>
          <w:kern w:val="21"/>
          <w:highlight w:val="none"/>
        </w:rPr>
        <w:t>井场内、</w:t>
      </w:r>
      <w:r>
        <w:rPr>
          <w:rFonts w:hint="eastAsia" w:ascii="Times New Roman" w:hAnsi="Times New Roman" w:cs="Times New Roman" w:eastAsiaTheme="minorEastAsia"/>
          <w:color w:val="auto"/>
          <w:w w:val="99"/>
          <w:kern w:val="21"/>
          <w:highlight w:val="none"/>
        </w:rPr>
        <w:t>源256-128</w:t>
      </w:r>
      <w:r>
        <w:rPr>
          <w:rFonts w:ascii="Times New Roman" w:hAnsi="Times New Roman" w:cs="Times New Roman" w:eastAsiaTheme="minorEastAsia"/>
          <w:color w:val="auto"/>
          <w:w w:val="99"/>
          <w:kern w:val="21"/>
          <w:highlight w:val="none"/>
        </w:rPr>
        <w:t>井场东北侧60m耕地</w:t>
      </w:r>
      <w:r>
        <w:rPr>
          <w:rFonts w:hint="eastAsia" w:ascii="Times New Roman" w:hAnsi="Times New Roman" w:cs="Times New Roman" w:eastAsiaTheme="minorEastAsia"/>
          <w:color w:val="auto"/>
          <w:w w:val="99"/>
          <w:kern w:val="21"/>
          <w:highlight w:val="none"/>
          <w:lang w:eastAsia="zh-CN"/>
        </w:rPr>
        <w:t>、</w:t>
      </w:r>
      <w:r>
        <w:rPr>
          <w:rFonts w:hint="eastAsia" w:ascii="Times New Roman" w:hAnsi="Times New Roman" w:cs="Times New Roman" w:eastAsiaTheme="minorEastAsia"/>
          <w:color w:val="auto"/>
          <w:w w:val="99"/>
          <w:kern w:val="21"/>
          <w:highlight w:val="none"/>
        </w:rPr>
        <w:t>源312-104</w:t>
      </w:r>
      <w:r>
        <w:rPr>
          <w:rFonts w:ascii="Times New Roman" w:hAnsi="Times New Roman" w:cs="Times New Roman" w:eastAsiaTheme="minorEastAsia"/>
          <w:color w:val="auto"/>
          <w:w w:val="99"/>
          <w:kern w:val="21"/>
          <w:highlight w:val="none"/>
        </w:rPr>
        <w:t>井场东北侧60m</w:t>
      </w:r>
      <w:r>
        <w:rPr>
          <w:rFonts w:hint="eastAsia" w:ascii="Times New Roman" w:hAnsi="Times New Roman" w:cs="Times New Roman" w:eastAsiaTheme="minorEastAsia"/>
          <w:color w:val="auto"/>
          <w:w w:val="99"/>
          <w:kern w:val="21"/>
          <w:highlight w:val="none"/>
          <w:lang w:eastAsia="zh-CN"/>
        </w:rPr>
        <w:t>耕</w:t>
      </w:r>
      <w:r>
        <w:rPr>
          <w:rFonts w:ascii="Times New Roman" w:hAnsi="Times New Roman" w:cs="Times New Roman" w:eastAsiaTheme="minorEastAsia"/>
          <w:color w:val="auto"/>
          <w:w w:val="99"/>
          <w:kern w:val="21"/>
          <w:highlight w:val="none"/>
        </w:rPr>
        <w:t>地，布设土壤跟踪监测点，</w:t>
      </w:r>
      <w:r>
        <w:rPr>
          <w:rFonts w:hint="eastAsia" w:ascii="Times New Roman" w:hAnsi="Times New Roman" w:eastAsia="宋体" w:cs="Times New Roman"/>
          <w:bCs/>
          <w:color w:val="auto"/>
          <w:w w:val="99"/>
          <w:kern w:val="21"/>
          <w:szCs w:val="20"/>
          <w:highlight w:val="none"/>
        </w:rPr>
        <w:t>结合</w:t>
      </w:r>
      <w:r>
        <w:rPr>
          <w:rFonts w:hint="default" w:ascii="Times New Roman" w:hAnsi="Times New Roman" w:eastAsia="宋体" w:cs="Times New Roman"/>
          <w:bCs/>
          <w:color w:val="auto"/>
          <w:w w:val="99"/>
          <w:kern w:val="21"/>
          <w:szCs w:val="20"/>
          <w:highlight w:val="none"/>
        </w:rPr>
        <w:t>后续</w:t>
      </w:r>
      <w:r>
        <w:rPr>
          <w:rFonts w:hint="eastAsia" w:ascii="Times New Roman" w:hAnsi="Times New Roman" w:eastAsia="宋体" w:cs="Times New Roman"/>
          <w:bCs/>
          <w:color w:val="auto"/>
          <w:w w:val="99"/>
          <w:kern w:val="21"/>
          <w:szCs w:val="20"/>
          <w:highlight w:val="none"/>
        </w:rPr>
        <w:t>地面</w:t>
      </w:r>
      <w:r>
        <w:rPr>
          <w:rFonts w:hint="default" w:ascii="Times New Roman" w:hAnsi="Times New Roman" w:eastAsia="宋体" w:cs="Times New Roman"/>
          <w:bCs/>
          <w:color w:val="auto"/>
          <w:w w:val="99"/>
          <w:kern w:val="21"/>
          <w:szCs w:val="20"/>
          <w:highlight w:val="none"/>
        </w:rPr>
        <w:t>工程建设</w:t>
      </w:r>
      <w:r>
        <w:rPr>
          <w:rFonts w:hint="eastAsia" w:ascii="Times New Roman" w:hAnsi="Times New Roman" w:eastAsia="宋体" w:cs="Times New Roman"/>
          <w:bCs/>
          <w:color w:val="auto"/>
          <w:w w:val="99"/>
          <w:kern w:val="21"/>
          <w:szCs w:val="20"/>
          <w:highlight w:val="none"/>
        </w:rPr>
        <w:t>投产</w:t>
      </w:r>
      <w:r>
        <w:rPr>
          <w:rFonts w:hint="default" w:ascii="Times New Roman" w:hAnsi="Times New Roman" w:eastAsia="宋体" w:cs="Times New Roman"/>
          <w:bCs/>
          <w:color w:val="auto"/>
          <w:w w:val="99"/>
          <w:kern w:val="21"/>
          <w:szCs w:val="20"/>
          <w:highlight w:val="none"/>
        </w:rPr>
        <w:t>情况，在</w:t>
      </w:r>
      <w:r>
        <w:rPr>
          <w:rFonts w:hint="eastAsia" w:ascii="Times New Roman" w:hAnsi="Times New Roman" w:eastAsia="宋体" w:cs="Times New Roman"/>
          <w:bCs/>
          <w:color w:val="auto"/>
          <w:w w:val="99"/>
          <w:kern w:val="21"/>
          <w:szCs w:val="20"/>
          <w:highlight w:val="none"/>
        </w:rPr>
        <w:t>项目</w:t>
      </w:r>
      <w:r>
        <w:rPr>
          <w:rFonts w:hint="default" w:ascii="Times New Roman" w:hAnsi="Times New Roman" w:eastAsia="宋体" w:cs="Times New Roman"/>
          <w:bCs/>
          <w:color w:val="auto"/>
          <w:w w:val="99"/>
          <w:kern w:val="21"/>
          <w:szCs w:val="20"/>
          <w:highlight w:val="none"/>
        </w:rPr>
        <w:t>运营期开展监测。</w:t>
      </w:r>
      <w:r>
        <w:rPr>
          <w:rFonts w:ascii="Times New Roman" w:hAnsi="Times New Roman" w:cs="Times New Roman" w:eastAsiaTheme="minorEastAsia"/>
          <w:color w:val="auto"/>
          <w:w w:val="99"/>
          <w:kern w:val="21"/>
          <w:highlight w:val="none"/>
        </w:rPr>
        <w:t>具体布点见表6.7-1。土壤跟踪监测布点见</w:t>
      </w:r>
      <w:r>
        <w:rPr>
          <w:rFonts w:hint="eastAsia" w:ascii="Times New Roman" w:hAnsi="Times New Roman" w:cs="Times New Roman" w:eastAsiaTheme="minorEastAsia"/>
          <w:color w:val="auto"/>
          <w:w w:val="99"/>
          <w:kern w:val="21"/>
          <w:highlight w:val="none"/>
          <w:lang w:eastAsia="zh-CN"/>
        </w:rPr>
        <w:t>附图13</w:t>
      </w:r>
      <w:r>
        <w:rPr>
          <w:rFonts w:ascii="Times New Roman" w:hAnsi="Times New Roman" w:cs="Times New Roman" w:eastAsiaTheme="minorEastAsia"/>
          <w:color w:val="auto"/>
          <w:w w:val="99"/>
          <w:kern w:val="21"/>
          <w:highlight w:val="none"/>
        </w:rPr>
        <w:t>。</w:t>
      </w:r>
    </w:p>
    <w:p>
      <w:pPr>
        <w:spacing w:line="500" w:lineRule="exact"/>
        <w:ind w:firstLine="476" w:firstLineChars="200"/>
        <w:jc w:val="both"/>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1"/>
          <w:highlight w:val="none"/>
          <w:lang w:bidi="zh-CN"/>
        </w:rPr>
        <w:t>表</w:t>
      </w:r>
      <w:r>
        <w:rPr>
          <w:rFonts w:ascii="Times New Roman" w:hAnsi="Times New Roman" w:cs="Times New Roman" w:eastAsiaTheme="minorEastAsia"/>
          <w:b/>
          <w:bCs/>
          <w:color w:val="auto"/>
          <w:w w:val="99"/>
          <w:kern w:val="2"/>
          <w:szCs w:val="20"/>
          <w:highlight w:val="none"/>
          <w:lang w:bidi="zh-CN"/>
        </w:rPr>
        <w:t>6.7-1</w:t>
      </w:r>
      <w:r>
        <w:rPr>
          <w:rFonts w:ascii="Times New Roman" w:hAnsi="Times New Roman" w:cs="Times New Roman" w:eastAsiaTheme="minorEastAsia"/>
          <w:b/>
          <w:bCs/>
          <w:color w:val="auto"/>
          <w:w w:val="99"/>
          <w:kern w:val="21"/>
          <w:highlight w:val="none"/>
          <w:lang w:bidi="zh-CN"/>
        </w:rPr>
        <w:t xml:space="preserve">                    跟踪监测点位布设</w:t>
      </w:r>
    </w:p>
    <w:tbl>
      <w:tblPr>
        <w:tblStyle w:val="82"/>
        <w:tblW w:w="475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2198"/>
        <w:gridCol w:w="2555"/>
        <w:gridCol w:w="1402"/>
        <w:gridCol w:w="17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点位</w:t>
            </w:r>
          </w:p>
        </w:tc>
        <w:tc>
          <w:tcPr>
            <w:tcW w:w="1245"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跟踪监测</w:t>
            </w:r>
            <w:r>
              <w:rPr>
                <w:rFonts w:ascii="Times New Roman" w:hAnsi="Times New Roman" w:cs="Times New Roman" w:eastAsiaTheme="minorEastAsia"/>
                <w:color w:val="auto"/>
                <w:w w:val="99"/>
                <w:sz w:val="21"/>
                <w:szCs w:val="21"/>
                <w:highlight w:val="none"/>
              </w:rPr>
              <w:t>点位</w:t>
            </w:r>
          </w:p>
        </w:tc>
        <w:tc>
          <w:tcPr>
            <w:tcW w:w="1447"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坐标</w:t>
            </w:r>
          </w:p>
        </w:tc>
        <w:tc>
          <w:tcPr>
            <w:tcW w:w="794"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监测因子</w:t>
            </w:r>
          </w:p>
        </w:tc>
        <w:tc>
          <w:tcPr>
            <w:tcW w:w="1010"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w:t>
            </w:r>
          </w:p>
        </w:tc>
        <w:tc>
          <w:tcPr>
            <w:tcW w:w="1245"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源244-134</w:t>
            </w:r>
            <w:r>
              <w:rPr>
                <w:rFonts w:ascii="Times New Roman" w:hAnsi="Times New Roman" w:cs="Times New Roman" w:eastAsiaTheme="minorEastAsia"/>
                <w:color w:val="auto"/>
                <w:w w:val="99"/>
                <w:sz w:val="21"/>
                <w:szCs w:val="21"/>
                <w:highlight w:val="none"/>
              </w:rPr>
              <w:t>井场内</w:t>
            </w:r>
          </w:p>
        </w:tc>
        <w:tc>
          <w:tcPr>
            <w:tcW w:w="1447"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125.00737667,45.57635119</w:t>
            </w:r>
          </w:p>
        </w:tc>
        <w:tc>
          <w:tcPr>
            <w:tcW w:w="794" w:type="pct"/>
            <w:vMerge w:val="restar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石油烃、pH</w:t>
            </w:r>
          </w:p>
        </w:tc>
        <w:tc>
          <w:tcPr>
            <w:tcW w:w="1010" w:type="pct"/>
            <w:vMerge w:val="restar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1次/</w:t>
            </w:r>
            <w:r>
              <w:rPr>
                <w:rFonts w:hint="eastAsia" w:ascii="Times New Roman" w:hAnsi="Times New Roman" w:cs="Times New Roman" w:eastAsiaTheme="minorEastAsia"/>
                <w:color w:val="auto"/>
                <w:w w:val="99"/>
                <w:sz w:val="21"/>
                <w:szCs w:val="21"/>
                <w:highlight w:val="none"/>
              </w:rPr>
              <w:t>3年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w:t>
            </w:r>
          </w:p>
        </w:tc>
        <w:tc>
          <w:tcPr>
            <w:tcW w:w="1245"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源256-128</w:t>
            </w:r>
            <w:r>
              <w:rPr>
                <w:rFonts w:ascii="Times New Roman" w:hAnsi="Times New Roman" w:cs="Times New Roman" w:eastAsiaTheme="minorEastAsia"/>
                <w:color w:val="auto"/>
                <w:w w:val="99"/>
                <w:sz w:val="21"/>
                <w:szCs w:val="21"/>
                <w:highlight w:val="none"/>
              </w:rPr>
              <w:t>井场东北侧60m耕地</w:t>
            </w:r>
          </w:p>
        </w:tc>
        <w:tc>
          <w:tcPr>
            <w:tcW w:w="1447"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124.99557495,45.56824009</w:t>
            </w:r>
          </w:p>
        </w:tc>
        <w:tc>
          <w:tcPr>
            <w:tcW w:w="794" w:type="pct"/>
            <w:vMerge w:val="continue"/>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p>
        </w:tc>
        <w:tc>
          <w:tcPr>
            <w:tcW w:w="1010" w:type="pct"/>
            <w:vMerge w:val="continue"/>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vAlign w:val="center"/>
          </w:tcPr>
          <w:p>
            <w:pPr>
              <w:widowControl w:val="0"/>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3</w:t>
            </w:r>
          </w:p>
        </w:tc>
        <w:tc>
          <w:tcPr>
            <w:tcW w:w="124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sz w:val="21"/>
                <w:szCs w:val="21"/>
                <w:highlight w:val="none"/>
              </w:rPr>
              <w:t>源312-104</w:t>
            </w:r>
            <w:r>
              <w:rPr>
                <w:rFonts w:ascii="Times New Roman" w:hAnsi="Times New Roman" w:cs="Times New Roman" w:eastAsiaTheme="minorEastAsia"/>
                <w:color w:val="auto"/>
                <w:w w:val="99"/>
                <w:sz w:val="21"/>
                <w:szCs w:val="21"/>
                <w:highlight w:val="none"/>
              </w:rPr>
              <w:t>井场东北侧60m</w:t>
            </w:r>
            <w:r>
              <w:rPr>
                <w:rFonts w:hint="eastAsia" w:ascii="Times New Roman" w:hAnsi="Times New Roman" w:cs="Times New Roman" w:eastAsiaTheme="minorEastAsia"/>
                <w:color w:val="auto"/>
                <w:w w:val="99"/>
                <w:sz w:val="21"/>
                <w:szCs w:val="21"/>
                <w:highlight w:val="none"/>
                <w:lang w:eastAsia="zh-CN"/>
              </w:rPr>
              <w:t>耕地</w:t>
            </w:r>
            <w:r>
              <w:rPr>
                <w:rFonts w:ascii="Times New Roman" w:hAnsi="Times New Roman" w:cs="Times New Roman" w:eastAsiaTheme="minorEastAsia"/>
                <w:color w:val="auto"/>
                <w:w w:val="99"/>
                <w:sz w:val="21"/>
                <w:szCs w:val="21"/>
                <w:highlight w:val="none"/>
              </w:rPr>
              <w:t>地</w:t>
            </w:r>
          </w:p>
        </w:tc>
        <w:tc>
          <w:tcPr>
            <w:tcW w:w="1447"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124.98802185,45.55817468</w:t>
            </w:r>
          </w:p>
        </w:tc>
        <w:tc>
          <w:tcPr>
            <w:tcW w:w="794" w:type="pct"/>
            <w:vMerge w:val="continue"/>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p>
        </w:tc>
        <w:tc>
          <w:tcPr>
            <w:tcW w:w="1010" w:type="pct"/>
            <w:vMerge w:val="continue"/>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p>
        </w:tc>
      </w:tr>
    </w:tbl>
    <w:p>
      <w:pPr>
        <w:widowControl w:val="0"/>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上述监测结果应按项目有关规定及时建立档案，并定期向建设单位安全环保部门汇报，对于常规监测数据应该进行公开，特别是对项目所在区域的公众进行公开，满足法律中关于知情权的要求。</w:t>
      </w:r>
    </w:p>
    <w:p>
      <w:pPr>
        <w:pStyle w:val="5"/>
        <w:keepNext w:val="0"/>
        <w:keepLines w:val="0"/>
        <w:widowControl w:val="0"/>
        <w:jc w:val="both"/>
        <w:rPr>
          <w:rFonts w:ascii="Times New Roman" w:hAnsi="Times New Roman"/>
          <w:b/>
          <w:snapToGrid w:val="0"/>
          <w:color w:val="auto"/>
          <w:w w:val="99"/>
          <w:highlight w:val="none"/>
        </w:rPr>
      </w:pPr>
      <w:bookmarkStart w:id="1340" w:name="_Toc80105270"/>
      <w:r>
        <w:rPr>
          <w:rFonts w:ascii="Times New Roman" w:hAnsi="Times New Roman"/>
          <w:b/>
          <w:snapToGrid w:val="0"/>
          <w:color w:val="auto"/>
          <w:w w:val="99"/>
          <w:highlight w:val="none"/>
        </w:rPr>
        <w:t>6.8.环境风险防范措施</w:t>
      </w:r>
      <w:bookmarkEnd w:id="1340"/>
    </w:p>
    <w:p>
      <w:pPr>
        <w:pStyle w:val="7"/>
        <w:keepNext w:val="0"/>
        <w:keepLines w:val="0"/>
        <w:widowControl w:val="0"/>
        <w:jc w:val="both"/>
        <w:rPr>
          <w:b/>
          <w:color w:val="auto"/>
          <w:w w:val="99"/>
          <w:kern w:val="2"/>
          <w:sz w:val="24"/>
          <w:szCs w:val="24"/>
          <w:highlight w:val="none"/>
        </w:rPr>
      </w:pPr>
      <w:bookmarkStart w:id="1341" w:name="_Toc80105271"/>
      <w:bookmarkStart w:id="1342" w:name="_Toc77667415"/>
      <w:bookmarkStart w:id="1343" w:name="_Toc71372058"/>
      <w:bookmarkStart w:id="1344" w:name="_Toc74812442"/>
      <w:bookmarkStart w:id="1345" w:name="_Toc67523709"/>
      <w:bookmarkStart w:id="1346" w:name="_Toc74812203"/>
      <w:bookmarkStart w:id="1347" w:name="_Toc69690928"/>
      <w:r>
        <w:rPr>
          <w:b/>
          <w:color w:val="auto"/>
          <w:w w:val="99"/>
          <w:kern w:val="2"/>
          <w:sz w:val="24"/>
          <w:szCs w:val="24"/>
          <w:highlight w:val="none"/>
        </w:rPr>
        <w:t>6.8.1钻井井喷事故风险防范措施</w:t>
      </w:r>
      <w:bookmarkEnd w:id="1341"/>
      <w:bookmarkEnd w:id="1342"/>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为有效控制井喷事故的发生，必须加强钻井施工过程中的井控管理，采取有效措施加以防范，杜绝、避免井喷事故环境风险事件发生。因此，须采取以下防范措施：</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（1）地质设计要提供准确的底层孔隙压力资料，合理设计井身结构，正确地预测油、气层的位置。</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（2）严格按钻井操作规程操作，在井口安装防井控装置，包括防喷导流器、所液分离器、管汇以及远程控制台，钻井时控制起钻速度，避免产生抽吸作用。</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（3）使用的泥浆参数必须符合钻井地质技术的规定要求。泥浆比重和粘度要井场检查，每周不少于一次，在危险油气层钻进时，每30分钟检查一次。</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（4）在钻开油层前必须加重泥浆的密度，使泥浆的液柱压力大于地层压力3MPa~5MPa，井场的重泥浆储备量必须是井筒容积的1.5～2倍，并且还要储备足够的泥浆加重剂，本项目井场集中储备重晶石粉至少30t。</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（5）当出现溢流时，要及时安装防喷器等井控装置或配重泥浆压井，预防井喷。</w:t>
      </w:r>
    </w:p>
    <w:p>
      <w:pPr>
        <w:pStyle w:val="7"/>
        <w:keepNext w:val="0"/>
        <w:keepLines w:val="0"/>
        <w:widowControl w:val="0"/>
        <w:jc w:val="both"/>
        <w:rPr>
          <w:b/>
          <w:color w:val="auto"/>
          <w:w w:val="99"/>
          <w:kern w:val="2"/>
          <w:sz w:val="24"/>
          <w:szCs w:val="24"/>
          <w:highlight w:val="none"/>
        </w:rPr>
      </w:pPr>
      <w:bookmarkStart w:id="1348" w:name="_Toc80105272"/>
      <w:bookmarkStart w:id="1349" w:name="_Toc77667416"/>
      <w:r>
        <w:rPr>
          <w:b/>
          <w:color w:val="auto"/>
          <w:w w:val="99"/>
          <w:kern w:val="2"/>
          <w:sz w:val="24"/>
          <w:szCs w:val="24"/>
          <w:highlight w:val="none"/>
        </w:rPr>
        <w:t>6.8.2套损风险防范措施</w:t>
      </w:r>
      <w:bookmarkEnd w:id="1348"/>
      <w:bookmarkEnd w:id="1349"/>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（1）检查套管质量</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①</w:t>
      </w:r>
      <w:r>
        <w:rPr>
          <w:rFonts w:ascii="Times New Roman" w:hAnsi="Times New Roman" w:cs="Times New Roman" w:eastAsiaTheme="minorEastAsia"/>
          <w:color w:val="auto"/>
          <w:w w:val="99"/>
          <w:kern w:val="21"/>
          <w:szCs w:val="20"/>
          <w:highlight w:val="none"/>
        </w:rPr>
        <w:t>套管下井的质量检查。一是检查套管钢级、壁厚等是否符合下井的设计规范与要求（设计中应对各种应力、强度校核作严格计算）。二是加强对下井前套管的探伤检查，要用多种检测方法检查套管壁厚薄程度、弯曲程度、圆度、丝扣密封情况和破裂等质量问题，严禁不合格套管下井。</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②</w:t>
      </w:r>
      <w:r>
        <w:rPr>
          <w:rFonts w:ascii="Times New Roman" w:hAnsi="Times New Roman" w:cs="Times New Roman" w:eastAsiaTheme="minorEastAsia"/>
          <w:color w:val="auto"/>
          <w:w w:val="99"/>
          <w:kern w:val="21"/>
          <w:szCs w:val="20"/>
          <w:highlight w:val="none"/>
        </w:rPr>
        <w:t>确定厚壁套管下入井段，根据地应力集中点、膨胀泥岩深度。断层深度和油层部位等确定厚壁套管下入井段。</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（2）工程技术预防措施</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①</w:t>
      </w:r>
      <w:r>
        <w:rPr>
          <w:rFonts w:ascii="Times New Roman" w:hAnsi="Times New Roman" w:cs="Times New Roman" w:eastAsiaTheme="minorEastAsia"/>
          <w:color w:val="auto"/>
          <w:w w:val="99"/>
          <w:kern w:val="21"/>
          <w:szCs w:val="20"/>
          <w:highlight w:val="none"/>
        </w:rPr>
        <w:t>为防止浅层水腐蚀套管及浅层高塑性泥岩层蠕变，在浅层套管内外壁进行防腐。为减少管内承压，在高塑性泥岩层需下厚壁套管，并在环形空间内注入水泥封固。</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②</w:t>
      </w:r>
      <w:r>
        <w:rPr>
          <w:rFonts w:ascii="Times New Roman" w:hAnsi="Times New Roman" w:cs="Times New Roman" w:eastAsiaTheme="minorEastAsia"/>
          <w:color w:val="auto"/>
          <w:w w:val="99"/>
          <w:kern w:val="21"/>
          <w:szCs w:val="20"/>
          <w:highlight w:val="none"/>
        </w:rPr>
        <w:t>为保证套管接箍丝扣和密封脂质量及上扣的扭矩值，对井下的套管要定期紧扣。</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③</w:t>
      </w:r>
      <w:r>
        <w:rPr>
          <w:rFonts w:ascii="Times New Roman" w:hAnsi="Times New Roman" w:cs="Times New Roman" w:eastAsiaTheme="minorEastAsia"/>
          <w:color w:val="auto"/>
          <w:w w:val="99"/>
          <w:kern w:val="21"/>
          <w:szCs w:val="20"/>
          <w:highlight w:val="none"/>
        </w:rPr>
        <w:t>进行全程固井，表层套管固井时水泥浆应返至地面，油层套管固井水泥返高返至油层顶面以上100m。</w:t>
      </w:r>
    </w:p>
    <w:p>
      <w:pPr>
        <w:pStyle w:val="7"/>
        <w:keepNext w:val="0"/>
        <w:keepLines w:val="0"/>
        <w:widowControl w:val="0"/>
        <w:jc w:val="both"/>
        <w:rPr>
          <w:b/>
          <w:color w:val="auto"/>
          <w:w w:val="99"/>
          <w:kern w:val="2"/>
          <w:sz w:val="24"/>
          <w:szCs w:val="24"/>
          <w:highlight w:val="none"/>
        </w:rPr>
      </w:pPr>
      <w:bookmarkStart w:id="1350" w:name="_Toc77667417"/>
      <w:bookmarkStart w:id="1351" w:name="_Toc80105273"/>
      <w:r>
        <w:rPr>
          <w:b/>
          <w:color w:val="auto"/>
          <w:w w:val="99"/>
          <w:kern w:val="2"/>
          <w:sz w:val="24"/>
          <w:szCs w:val="24"/>
          <w:highlight w:val="none"/>
        </w:rPr>
        <w:t>6.8.3井漏风险防范措施</w:t>
      </w:r>
      <w:bookmarkEnd w:id="1350"/>
      <w:bookmarkEnd w:id="1351"/>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根据本项目钻井工程方案，钻井施工中应加强管理和生产组织协调，维护好设备，认真做好井漏等的预防工作，主要措施有：</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（1）发现井漏及油气显示等异常情况，立即报告。</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（2）钻进中发生井漏，液面不在井口时，将钻具提至关井位置，采取定时、定量反灌钻井液措施，及时处理井漏，防止发生溢流。</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（3）为防止井漏、井塌发生，可适当提高钻井液粘度，并控制钻速与排量，防止冲垮和憋漏地层。接单根时，应晚停泵、早开泵。</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（4）进入目的层后，若发生井漏，在保证井控安全和井眼稳定的情况下，应首先考虑降低钻井液密度，然后选择不伤害主要储层的堵漏措施，主要目的层应选用可酸化或可解堵的材料，严禁使用惰性材料堵漏。</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（5）施工区块集中储备随钻堵漏剂40t~60t，以备井漏发生时应急使用。</w:t>
      </w:r>
    </w:p>
    <w:p>
      <w:pPr>
        <w:pStyle w:val="7"/>
        <w:keepNext w:val="0"/>
        <w:keepLines w:val="0"/>
        <w:widowControl w:val="0"/>
        <w:jc w:val="both"/>
        <w:rPr>
          <w:b/>
          <w:color w:val="auto"/>
          <w:w w:val="99"/>
          <w:kern w:val="2"/>
          <w:sz w:val="24"/>
          <w:szCs w:val="24"/>
          <w:highlight w:val="none"/>
        </w:rPr>
      </w:pPr>
      <w:bookmarkStart w:id="1352" w:name="_Toc80105274"/>
      <w:bookmarkStart w:id="1353" w:name="_Toc77667418"/>
      <w:r>
        <w:rPr>
          <w:b/>
          <w:color w:val="auto"/>
          <w:w w:val="99"/>
          <w:kern w:val="2"/>
          <w:sz w:val="24"/>
          <w:szCs w:val="24"/>
          <w:highlight w:val="none"/>
        </w:rPr>
        <w:t>6.8.4现场防火、防爆、防油水泄漏措施</w:t>
      </w:r>
      <w:bookmarkEnd w:id="1352"/>
      <w:bookmarkEnd w:id="1353"/>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（1）井场钻井设备的布局要考虑防火的安全要求。距放喷管线不小于3m；</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（2）距井口30m以内及钻井泥浆循环系统的电气设备、照明设备、开关、输电线路及接线方法应符合防火防爆安全规定；</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（3）钻台下面和井口周围严禁堆放杂物和易燃品，机泵房下无积油；</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（4）井场内严禁吸烟和动用明火，应有明显的防火标志。若需动火，应执行相关的的安全规定；</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（5）井场内平面布置应将可发火花（明火、电火）布置于井场上风向；</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（6）在井架上、井场、钻台等地应至少设置2个风向标，一旦发生紧急情况，作业人员可向上风方向设定的2个紧急集合点疏散；</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（7）在钻台上下、振动筛、循环罐等气体易聚积的场所，应安装防爆排风扇以驱散工作场所弥漫的有毒有害、可燃气体；</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（8）一旦发生井喷事故，要及时上报上级主管部门，并有消防车、救护车、医护人员和技术安全人员在井场值班。</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（9）井场柴油罐设置围堰，围堰高度约为0.4m，柴油罐区地面及围堰做重点防渗处理，</w:t>
      </w:r>
      <w:r>
        <w:rPr>
          <w:rFonts w:ascii="Times New Roman" w:hAnsi="Times New Roman" w:cs="Times New Roman" w:eastAsiaTheme="minorEastAsia"/>
          <w:bCs/>
          <w:color w:val="auto"/>
          <w:w w:val="99"/>
          <w:kern w:val="21"/>
          <w:szCs w:val="20"/>
          <w:highlight w:val="none"/>
        </w:rPr>
        <w:t>采用地面碾压平整并铺设2mm厚防渗土工布进行防渗，渗透系数</w:t>
      </w:r>
      <w:r>
        <w:rPr>
          <w:rFonts w:hint="eastAsia" w:ascii="Times New Roman" w:hAnsi="Times New Roman" w:cs="Times New Roman" w:eastAsiaTheme="minorEastAsia"/>
          <w:bCs/>
          <w:color w:val="auto"/>
          <w:w w:val="99"/>
          <w:kern w:val="21"/>
          <w:szCs w:val="20"/>
          <w:highlight w:val="none"/>
        </w:rPr>
        <w:t>为</w:t>
      </w:r>
      <w:r>
        <w:rPr>
          <w:rFonts w:ascii="Times New Roman" w:hAnsi="Times New Roman" w:cs="Times New Roman" w:eastAsiaTheme="minorEastAsia"/>
          <w:bCs/>
          <w:color w:val="auto"/>
          <w:w w:val="99"/>
          <w:kern w:val="21"/>
          <w:szCs w:val="20"/>
          <w:highlight w:val="none"/>
        </w:rPr>
        <w:t>1×10</w:t>
      </w:r>
      <w:r>
        <w:rPr>
          <w:rFonts w:ascii="Times New Roman" w:hAnsi="Times New Roman" w:cs="Times New Roman" w:eastAsiaTheme="minorEastAsia"/>
          <w:bCs/>
          <w:color w:val="auto"/>
          <w:w w:val="99"/>
          <w:kern w:val="21"/>
          <w:szCs w:val="20"/>
          <w:highlight w:val="none"/>
          <w:vertAlign w:val="superscript"/>
        </w:rPr>
        <w:t>-10</w:t>
      </w:r>
      <w:r>
        <w:rPr>
          <w:rFonts w:ascii="Times New Roman" w:hAnsi="Times New Roman" w:cs="Times New Roman" w:eastAsiaTheme="minorEastAsia"/>
          <w:bCs/>
          <w:color w:val="auto"/>
          <w:w w:val="99"/>
          <w:kern w:val="21"/>
          <w:szCs w:val="20"/>
          <w:highlight w:val="none"/>
        </w:rPr>
        <w:t>cm/s</w:t>
      </w:r>
      <w:r>
        <w:rPr>
          <w:rFonts w:ascii="Times New Roman" w:hAnsi="Times New Roman" w:cs="Times New Roman" w:eastAsiaTheme="minorEastAsia"/>
          <w:color w:val="auto"/>
          <w:w w:val="99"/>
          <w:kern w:val="21"/>
          <w:szCs w:val="20"/>
          <w:highlight w:val="none"/>
        </w:rPr>
        <w:t>，在防渗工程施工时候留存影像资料。</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color w:val="auto"/>
          <w:w w:val="99"/>
          <w:kern w:val="21"/>
          <w:szCs w:val="20"/>
          <w:highlight w:val="none"/>
        </w:rPr>
        <w:t>（10）</w:t>
      </w:r>
      <w:r>
        <w:rPr>
          <w:rFonts w:ascii="Times New Roman" w:hAnsi="Times New Roman" w:cs="Times New Roman" w:eastAsiaTheme="minorEastAsia"/>
          <w:bCs/>
          <w:color w:val="auto"/>
          <w:w w:val="99"/>
          <w:kern w:val="21"/>
          <w:szCs w:val="20"/>
          <w:highlight w:val="none"/>
        </w:rPr>
        <w:t>施工井场周围设置截水沟（</w:t>
      </w:r>
      <w:r>
        <w:rPr>
          <w:rFonts w:hint="eastAsia" w:ascii="Times New Roman" w:hAnsi="Times New Roman" w:cs="Times New Roman" w:eastAsiaTheme="minorEastAsia"/>
          <w:bCs/>
          <w:color w:val="auto"/>
          <w:w w:val="99"/>
          <w:kern w:val="21"/>
          <w:szCs w:val="20"/>
          <w:highlight w:val="none"/>
        </w:rPr>
        <w:t>单井长140m×宽0.5m×深0.5m</w:t>
      </w:r>
      <w:r>
        <w:rPr>
          <w:rFonts w:ascii="Times New Roman" w:hAnsi="Times New Roman" w:cs="Times New Roman" w:eastAsiaTheme="minorEastAsia"/>
          <w:bCs/>
          <w:color w:val="auto"/>
          <w:w w:val="99"/>
          <w:kern w:val="21"/>
          <w:szCs w:val="20"/>
          <w:highlight w:val="none"/>
        </w:rPr>
        <w:t>），防止钻井废水溢流污染周边地表水体。</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p>
    <w:p>
      <w:pPr>
        <w:pStyle w:val="7"/>
        <w:keepNext w:val="0"/>
        <w:keepLines w:val="0"/>
        <w:widowControl w:val="0"/>
        <w:jc w:val="both"/>
        <w:rPr>
          <w:b/>
          <w:color w:val="auto"/>
          <w:w w:val="99"/>
          <w:kern w:val="2"/>
          <w:sz w:val="24"/>
          <w:szCs w:val="24"/>
          <w:highlight w:val="none"/>
        </w:rPr>
      </w:pPr>
      <w:bookmarkStart w:id="1354" w:name="_Toc77667419"/>
      <w:bookmarkStart w:id="1355" w:name="_Toc80105275"/>
      <w:r>
        <w:rPr>
          <w:b/>
          <w:color w:val="auto"/>
          <w:w w:val="99"/>
          <w:kern w:val="2"/>
          <w:sz w:val="24"/>
          <w:szCs w:val="24"/>
          <w:highlight w:val="none"/>
        </w:rPr>
        <w:t>6.8.5钻井施工管理措施</w:t>
      </w:r>
      <w:bookmarkEnd w:id="1354"/>
      <w:bookmarkEnd w:id="1355"/>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（1）在钻井施工时，制定出正常、异常或紧急状态下的操作手册和维修手册，并对操作、维修人员进行培训，持证上岗，避免因严重操作失误而造成的事故；</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（2）对日常监督、隐患排查、事故处理等各项安全管理都要有记录和建立档案；</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（3）完善各项事故应急预案，在制订的应急操作规程中明确发生井喷、火灾爆炸等事故时应采取的具体操作步骤，规定抢修进度，限制事故的影响，人员责任等事项；</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（4）操作人员要提高安全意识，具备识别事故发生前的异常状态能力，采取相应的措施得当；</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（5）对重要的仪器设备有完善的检查项目、维护方法；按计划进行定期维护；有专门档案（包括维护记录档案），文件齐全；</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（6）对项目区域可能涉及的民众开展应急宣传教育，使发生事故时能够将环境风险影响程度、范围降至最小；</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（7）建立应急响应机构，配备快捷的交通通讯工具，以便对泄漏事故及时作出反应和妥善处理。</w:t>
      </w:r>
    </w:p>
    <w:p>
      <w:pPr>
        <w:pStyle w:val="7"/>
        <w:keepNext w:val="0"/>
        <w:keepLines w:val="0"/>
        <w:widowControl w:val="0"/>
        <w:jc w:val="both"/>
        <w:rPr>
          <w:b/>
          <w:color w:val="auto"/>
          <w:w w:val="99"/>
          <w:kern w:val="2"/>
          <w:sz w:val="24"/>
          <w:szCs w:val="24"/>
          <w:highlight w:val="none"/>
        </w:rPr>
      </w:pPr>
      <w:bookmarkStart w:id="1356" w:name="_Toc77667420"/>
      <w:bookmarkStart w:id="1357" w:name="_Toc80105276"/>
      <w:r>
        <w:rPr>
          <w:b/>
          <w:color w:val="auto"/>
          <w:w w:val="99"/>
          <w:kern w:val="2"/>
          <w:sz w:val="24"/>
          <w:szCs w:val="24"/>
          <w:highlight w:val="none"/>
        </w:rPr>
        <w:t>6.8.6事故应急预案</w:t>
      </w:r>
      <w:bookmarkEnd w:id="1356"/>
      <w:bookmarkEnd w:id="1357"/>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（1）确定危害和风险</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钻井施工时因操作失误或处理不当，可能造成井喷事故，气涌井喷造成大量原油和天然气外泄，也可能引发火灾、爆炸事故，伴生/次生环境污染事件发生。</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出现井漏事故时，钻井液可能进入地下含水层，造成伴生地下水环境污染事件。</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泥浆槽出现渗漏，废弃泥浆携带污染物入渗包气带、地下潜水含水层，造成伴生土壤、地下水环境污染事件。</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因此，确定环境风险事故类型为：突发井控事件（井喷）、突发火灾爆炸事件、突发环境污染事件。</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（2）应急预案</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本项目钻井施工单位需针对可能发生的环境风险事故，结合所处区域的自然环境状况、地理位置等特点，制定环境风险事故防范应急预案，并严格执行。</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a 突发井喷事故应急处理</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①</w:t>
      </w:r>
      <w:r>
        <w:rPr>
          <w:rFonts w:ascii="Times New Roman" w:hAnsi="Times New Roman" w:cs="Times New Roman" w:eastAsiaTheme="minorEastAsia"/>
          <w:color w:val="auto"/>
          <w:w w:val="99"/>
          <w:kern w:val="21"/>
          <w:szCs w:val="20"/>
          <w:highlight w:val="none"/>
        </w:rPr>
        <w:t>当发现钻井井喷异常情况后，第一发现人立即报告司钻。</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②</w:t>
      </w:r>
      <w:r>
        <w:rPr>
          <w:rFonts w:ascii="Times New Roman" w:hAnsi="Times New Roman" w:cs="Times New Roman" w:eastAsiaTheme="minorEastAsia"/>
          <w:color w:val="auto"/>
          <w:w w:val="99"/>
          <w:kern w:val="21"/>
          <w:szCs w:val="20"/>
          <w:highlight w:val="none"/>
        </w:rPr>
        <w:t>司钻立即报警，组织班组人员关井，班组人员按《钻井井控突发事件岗位应急处置卡》进行操作。</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③</w:t>
      </w:r>
      <w:r>
        <w:rPr>
          <w:rFonts w:ascii="Times New Roman" w:hAnsi="Times New Roman" w:cs="Times New Roman" w:eastAsiaTheme="minorEastAsia"/>
          <w:color w:val="auto"/>
          <w:w w:val="99"/>
          <w:kern w:val="21"/>
          <w:szCs w:val="20"/>
          <w:highlight w:val="none"/>
        </w:rPr>
        <w:t>观察、记录立压、套压并向司钻报告；汇总钻井液增加量、工程参数及气测显示资料，记录关井时间，向值班干部报告。</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④</w:t>
      </w:r>
      <w:r>
        <w:rPr>
          <w:rFonts w:ascii="Times New Roman" w:hAnsi="Times New Roman" w:cs="Times New Roman" w:eastAsiaTheme="minorEastAsia"/>
          <w:color w:val="auto"/>
          <w:w w:val="99"/>
          <w:kern w:val="21"/>
          <w:szCs w:val="20"/>
          <w:highlight w:val="none"/>
        </w:rPr>
        <w:t>值班干部将关井情况及有关数据向井队长汇报，井队长立即向上级应急办公室报告。</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⑤</w:t>
      </w:r>
      <w:r>
        <w:rPr>
          <w:rFonts w:ascii="Times New Roman" w:hAnsi="Times New Roman" w:cs="Times New Roman" w:eastAsiaTheme="minorEastAsia"/>
          <w:color w:val="auto"/>
          <w:w w:val="99"/>
          <w:kern w:val="21"/>
          <w:szCs w:val="20"/>
          <w:highlight w:val="none"/>
        </w:rPr>
        <w:t>应急措施。听到报警信号或报告后，井队应急小组成员迅速赶赴现场，落实关井情况，研究处理措施，组织备用班组加重钻井液，做好压井准备。</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⑥</w:t>
      </w:r>
      <w:r>
        <w:rPr>
          <w:rFonts w:ascii="Times New Roman" w:hAnsi="Times New Roman" w:cs="Times New Roman" w:eastAsiaTheme="minorEastAsia"/>
          <w:color w:val="auto"/>
          <w:w w:val="99"/>
          <w:kern w:val="21"/>
          <w:szCs w:val="20"/>
          <w:highlight w:val="none"/>
        </w:rPr>
        <w:t>压井。按照上级应急领导机构的统一指挥实施压井作业。</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⑦</w:t>
      </w:r>
      <w:r>
        <w:rPr>
          <w:rFonts w:ascii="Times New Roman" w:hAnsi="Times New Roman" w:cs="Times New Roman" w:eastAsiaTheme="minorEastAsia"/>
          <w:color w:val="auto"/>
          <w:w w:val="99"/>
          <w:kern w:val="21"/>
          <w:szCs w:val="20"/>
          <w:highlight w:val="none"/>
        </w:rPr>
        <w:t>扩大应急。一旦井喷失控，应急小组要立即指挥停车、停电，杜绝一切火源，组织全体员工撤到安全区域，并立即向上级应急办公室求援。</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b 突发火灾爆炸事件应急处理</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①</w:t>
      </w:r>
      <w:r>
        <w:rPr>
          <w:rFonts w:ascii="Times New Roman" w:hAnsi="Times New Roman" w:cs="Times New Roman" w:eastAsiaTheme="minorEastAsia"/>
          <w:color w:val="auto"/>
          <w:w w:val="99"/>
          <w:kern w:val="21"/>
          <w:szCs w:val="20"/>
          <w:highlight w:val="none"/>
        </w:rPr>
        <w:t>发现异常。发生火灾或爆炸，发现人要向其它人发出报警，并第一时间向值班干部汇报。</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②</w:t>
      </w:r>
      <w:r>
        <w:rPr>
          <w:rFonts w:ascii="Times New Roman" w:hAnsi="Times New Roman" w:cs="Times New Roman" w:eastAsiaTheme="minorEastAsia"/>
          <w:color w:val="auto"/>
          <w:w w:val="99"/>
          <w:kern w:val="21"/>
          <w:szCs w:val="20"/>
          <w:highlight w:val="none"/>
        </w:rPr>
        <w:t>隔离与关闭。现场人员迅速切断易燃易爆物危险源，隔离易燃、易爆物品，关闭电源。</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③</w:t>
      </w:r>
      <w:r>
        <w:rPr>
          <w:rFonts w:ascii="Times New Roman" w:hAnsi="Times New Roman" w:cs="Times New Roman" w:eastAsiaTheme="minorEastAsia"/>
          <w:color w:val="auto"/>
          <w:w w:val="99"/>
          <w:kern w:val="21"/>
          <w:szCs w:val="20"/>
          <w:highlight w:val="none"/>
        </w:rPr>
        <w:t>汇报。向上级应急值班室汇报，拨打119报警电话。</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④</w:t>
      </w:r>
      <w:r>
        <w:rPr>
          <w:rFonts w:ascii="Times New Roman" w:hAnsi="Times New Roman" w:cs="Times New Roman" w:eastAsiaTheme="minorEastAsia"/>
          <w:color w:val="auto"/>
          <w:w w:val="99"/>
          <w:kern w:val="21"/>
          <w:szCs w:val="20"/>
          <w:highlight w:val="none"/>
        </w:rPr>
        <w:t>应急措施。在最短的时间内，利用现场现有的消防设施进行自救和控制火势蔓延，在专业的消防人员到达现场后，积极配合其进行灭火。</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⑤</w:t>
      </w:r>
      <w:r>
        <w:rPr>
          <w:rFonts w:ascii="Times New Roman" w:hAnsi="Times New Roman" w:cs="Times New Roman" w:eastAsiaTheme="minorEastAsia"/>
          <w:color w:val="auto"/>
          <w:w w:val="99"/>
          <w:kern w:val="21"/>
          <w:szCs w:val="20"/>
          <w:highlight w:val="none"/>
        </w:rPr>
        <w:t>疏散。指挥火区无关人员迅速疏散到安全集结区，并划定危险区域，清点人数。</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⑥</w:t>
      </w:r>
      <w:r>
        <w:rPr>
          <w:rFonts w:ascii="Times New Roman" w:hAnsi="Times New Roman" w:cs="Times New Roman" w:eastAsiaTheme="minorEastAsia"/>
          <w:color w:val="auto"/>
          <w:w w:val="99"/>
          <w:kern w:val="21"/>
          <w:szCs w:val="20"/>
          <w:highlight w:val="none"/>
        </w:rPr>
        <w:t>救援。有人员受困时，在采取保护性措施的情况下积极抢救受困人员。</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⑦</w:t>
      </w:r>
      <w:r>
        <w:rPr>
          <w:rFonts w:ascii="Times New Roman" w:hAnsi="Times New Roman" w:cs="Times New Roman" w:eastAsiaTheme="minorEastAsia"/>
          <w:color w:val="auto"/>
          <w:w w:val="99"/>
          <w:kern w:val="21"/>
          <w:szCs w:val="20"/>
          <w:highlight w:val="none"/>
        </w:rPr>
        <w:t>扩大应急。当井队力量不足无法控制火势时，组织人员撤离现场，向安全集结区撤离，并向上级应急办公室求援。</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c突发环境污染事件应急处理</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①</w:t>
      </w:r>
      <w:r>
        <w:rPr>
          <w:rFonts w:ascii="Times New Roman" w:hAnsi="Times New Roman" w:cs="Times New Roman" w:eastAsiaTheme="minorEastAsia"/>
          <w:color w:val="auto"/>
          <w:w w:val="99"/>
          <w:kern w:val="21"/>
          <w:szCs w:val="20"/>
          <w:highlight w:val="none"/>
        </w:rPr>
        <w:t>发现异常。发生环境污染事件时，发现人要在第一时间向值班干部汇报。</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②</w:t>
      </w:r>
      <w:r>
        <w:rPr>
          <w:rFonts w:ascii="Times New Roman" w:hAnsi="Times New Roman" w:cs="Times New Roman" w:eastAsiaTheme="minorEastAsia"/>
          <w:color w:val="auto"/>
          <w:w w:val="99"/>
          <w:kern w:val="21"/>
          <w:szCs w:val="20"/>
          <w:highlight w:val="none"/>
        </w:rPr>
        <w:t>汇报。立即向上级应急值班室汇报。</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③</w:t>
      </w:r>
      <w:r>
        <w:rPr>
          <w:rFonts w:ascii="Times New Roman" w:hAnsi="Times New Roman" w:cs="Times New Roman" w:eastAsiaTheme="minorEastAsia"/>
          <w:color w:val="auto"/>
          <w:w w:val="99"/>
          <w:kern w:val="21"/>
          <w:szCs w:val="20"/>
          <w:highlight w:val="none"/>
        </w:rPr>
        <w:t>应急措施。</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A.突发井喷事件时：要迅速带领抢险人员在井场周围设置围堰，在合适位置设置污坑并铺设防渗布，将井喷喷出物（泥浆、油、水）及消防废水引流至污坑；控制住井喷后，将污坑内所有废液清理干净拉走；清理井场范围内残油。</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B.泥浆槽溢流时：将泥浆槽围堰加高、加宽、加固，妥善保管泥浆药品，用罐车回收溢出泥浆，如泥浆泄漏至附近地表水体，及时组织人员，使用潜水泵等收集钻井泥浆。</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d井漏应急处理</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钻进时放空，或钻入低压层，会发生井漏，当液面下降到一定程度时，同层或其它层的井底压力小于地层压力时，就可能因井漏诱发井喷。</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发现以上情况时，应立即停钻，循环观察，注意泵压变化，判断井漏原因。对于裸眼井段存在不同压力系统的地层，当下部存在高压油、气、水层的压力系数超过上部裸眼井段地层的漏失压力系数或破裂压力系数时，应在进入高压层之前进行堵漏，提高上部地层的承压能力，并采取调整钻井液性能等技术措施，防止钻至高压油、气、水层时因井漏而诱发井喷。</w:t>
      </w:r>
    </w:p>
    <w:p>
      <w:pPr>
        <w:adjustRightInd w:val="0"/>
        <w:snapToGrid w:val="0"/>
        <w:spacing w:line="500" w:lineRule="exact"/>
        <w:ind w:firstLine="480"/>
        <w:jc w:val="both"/>
        <w:rPr>
          <w:rFonts w:ascii="Times New Roman" w:hAnsi="Times New Roman" w:cs="Times New Roman" w:eastAsiaTheme="minorEastAsia"/>
          <w:color w:val="auto"/>
          <w:w w:val="99"/>
          <w:kern w:val="2"/>
          <w:highlight w:val="none"/>
        </w:rPr>
      </w:pPr>
      <w:r>
        <w:rPr>
          <w:rFonts w:hint="eastAsia" w:ascii="Times New Roman" w:hAnsi="Times New Roman" w:cs="Times New Roman" w:eastAsiaTheme="minorEastAsia"/>
          <w:color w:val="auto"/>
          <w:w w:val="99"/>
          <w:kern w:val="2"/>
          <w:highlight w:val="none"/>
        </w:rPr>
        <w:t>（3）应急状态地企联动</w:t>
      </w:r>
    </w:p>
    <w:p>
      <w:pPr>
        <w:adjustRightInd w:val="0"/>
        <w:snapToGrid w:val="0"/>
        <w:spacing w:line="500" w:lineRule="exact"/>
        <w:ind w:firstLine="480"/>
        <w:jc w:val="both"/>
        <w:rPr>
          <w:rFonts w:ascii="Times New Roman" w:hAnsi="Times New Roman" w:cs="Times New Roman" w:eastAsiaTheme="minorEastAsia"/>
          <w:color w:val="auto"/>
          <w:w w:val="99"/>
          <w:kern w:val="2"/>
          <w:highlight w:val="none"/>
        </w:rPr>
      </w:pPr>
      <w:r>
        <w:rPr>
          <w:rFonts w:hint="eastAsia" w:ascii="Times New Roman" w:hAnsi="Times New Roman" w:cs="Times New Roman" w:eastAsiaTheme="minorEastAsia"/>
          <w:color w:val="auto"/>
          <w:w w:val="99"/>
          <w:kern w:val="2"/>
          <w:highlight w:val="none"/>
        </w:rPr>
        <w:t>本项目由</w:t>
      </w:r>
      <w:r>
        <w:rPr>
          <w:rFonts w:ascii="Times New Roman" w:hAnsi="Times New Roman" w:cs="Times New Roman" w:eastAsiaTheme="minorEastAsia"/>
          <w:color w:val="auto"/>
          <w:w w:val="99"/>
          <w:kern w:val="2"/>
          <w:highlight w:val="none"/>
        </w:rPr>
        <w:t>大庆钻探工程公司</w:t>
      </w:r>
      <w:r>
        <w:rPr>
          <w:rFonts w:hint="eastAsia" w:ascii="Times New Roman" w:hAnsi="Times New Roman" w:cs="Times New Roman" w:eastAsiaTheme="minorEastAsia"/>
          <w:color w:val="auto"/>
          <w:w w:val="99"/>
          <w:kern w:val="2"/>
          <w:highlight w:val="none"/>
        </w:rPr>
        <w:t>进行</w:t>
      </w:r>
      <w:r>
        <w:rPr>
          <w:rFonts w:ascii="Times New Roman" w:hAnsi="Times New Roman" w:cs="Times New Roman" w:eastAsiaTheme="minorEastAsia"/>
          <w:color w:val="auto"/>
          <w:w w:val="99"/>
          <w:kern w:val="2"/>
          <w:highlight w:val="none"/>
        </w:rPr>
        <w:t>施工，施工期应急预案依托大庆钻探工程公司</w:t>
      </w:r>
      <w:r>
        <w:rPr>
          <w:rFonts w:hint="eastAsia" w:ascii="Times New Roman" w:hAnsi="Times New Roman" w:cs="Times New Roman" w:eastAsiaTheme="minorEastAsia"/>
          <w:color w:val="auto"/>
          <w:w w:val="99"/>
          <w:kern w:val="2"/>
          <w:highlight w:val="none"/>
        </w:rPr>
        <w:t>已有</w:t>
      </w:r>
      <w:r>
        <w:rPr>
          <w:rFonts w:ascii="Times New Roman" w:hAnsi="Times New Roman" w:cs="Times New Roman" w:eastAsiaTheme="minorEastAsia"/>
          <w:color w:val="auto"/>
          <w:w w:val="99"/>
          <w:kern w:val="2"/>
          <w:highlight w:val="none"/>
        </w:rPr>
        <w:t>的应急预案，</w:t>
      </w:r>
      <w:r>
        <w:rPr>
          <w:rFonts w:hint="eastAsia" w:ascii="Times New Roman" w:hAnsi="Times New Roman" w:cs="Times New Roman" w:eastAsiaTheme="minorEastAsia"/>
          <w:color w:val="auto"/>
          <w:w w:val="99"/>
          <w:kern w:val="2"/>
          <w:highlight w:val="none"/>
        </w:rPr>
        <w:t>后续</w:t>
      </w:r>
      <w:r>
        <w:rPr>
          <w:rFonts w:ascii="Times New Roman" w:hAnsi="Times New Roman" w:cs="Times New Roman" w:eastAsiaTheme="minorEastAsia"/>
          <w:color w:val="auto"/>
          <w:w w:val="99"/>
          <w:kern w:val="2"/>
          <w:highlight w:val="none"/>
        </w:rPr>
        <w:t>运营依托</w:t>
      </w:r>
      <w:r>
        <w:rPr>
          <w:rFonts w:hint="eastAsia" w:ascii="Times New Roman" w:hAnsi="Times New Roman" w:cs="Times New Roman" w:eastAsiaTheme="minorEastAsia"/>
          <w:color w:val="auto"/>
          <w:w w:val="99"/>
          <w:kern w:val="2"/>
          <w:highlight w:val="none"/>
        </w:rPr>
        <w:t>大庆油田有限责任公司第十采油厂已有</w:t>
      </w:r>
      <w:r>
        <w:rPr>
          <w:rFonts w:ascii="Times New Roman" w:hAnsi="Times New Roman" w:cs="Times New Roman" w:eastAsiaTheme="minorEastAsia"/>
          <w:color w:val="auto"/>
          <w:w w:val="99"/>
          <w:kern w:val="2"/>
          <w:highlight w:val="none"/>
        </w:rPr>
        <w:t>的应急预案</w:t>
      </w:r>
      <w:r>
        <w:rPr>
          <w:rFonts w:hint="eastAsia" w:ascii="Times New Roman" w:hAnsi="Times New Roman" w:cs="Times New Roman" w:eastAsiaTheme="minorEastAsia"/>
          <w:color w:val="auto"/>
          <w:w w:val="99"/>
          <w:kern w:val="2"/>
          <w:highlight w:val="none"/>
        </w:rPr>
        <w:t>，</w:t>
      </w:r>
      <w:r>
        <w:rPr>
          <w:rFonts w:ascii="Times New Roman" w:hAnsi="Times New Roman" w:cs="Times New Roman" w:eastAsiaTheme="minorEastAsia"/>
          <w:color w:val="auto"/>
          <w:w w:val="99"/>
          <w:kern w:val="2"/>
          <w:highlight w:val="none"/>
        </w:rPr>
        <w:t>钻探公司应急预案</w:t>
      </w:r>
      <w:r>
        <w:rPr>
          <w:rFonts w:hint="eastAsia" w:ascii="Times New Roman" w:hAnsi="Times New Roman" w:cs="Times New Roman" w:eastAsiaTheme="minorEastAsia"/>
          <w:color w:val="auto"/>
          <w:w w:val="99"/>
          <w:kern w:val="2"/>
          <w:highlight w:val="none"/>
        </w:rPr>
        <w:t>及大庆油田有限责任公司第十采油厂</w:t>
      </w:r>
      <w:r>
        <w:rPr>
          <w:rFonts w:ascii="Times New Roman" w:hAnsi="Times New Roman" w:cs="Times New Roman" w:eastAsiaTheme="minorEastAsia"/>
          <w:color w:val="auto"/>
          <w:w w:val="99"/>
          <w:kern w:val="2"/>
          <w:highlight w:val="none"/>
        </w:rPr>
        <w:t>应急预案已在大庆油田有限责任公司备案登记，由大庆油田有限责任公司向市政府有关部门及集团公司申请备案</w:t>
      </w:r>
      <w:r>
        <w:rPr>
          <w:rFonts w:hint="eastAsia" w:ascii="Times New Roman" w:hAnsi="Times New Roman" w:cs="Times New Roman" w:eastAsiaTheme="minorEastAsia"/>
          <w:color w:val="auto"/>
          <w:w w:val="99"/>
          <w:kern w:val="2"/>
          <w:highlight w:val="none"/>
        </w:rPr>
        <w:t>，大庆</w:t>
      </w:r>
      <w:r>
        <w:rPr>
          <w:rFonts w:ascii="Times New Roman" w:hAnsi="Times New Roman" w:cs="Times New Roman" w:eastAsiaTheme="minorEastAsia"/>
          <w:color w:val="auto"/>
          <w:w w:val="99"/>
          <w:kern w:val="2"/>
          <w:highlight w:val="none"/>
        </w:rPr>
        <w:t>油田有限责任公司应急预案备案表</w:t>
      </w:r>
      <w:r>
        <w:rPr>
          <w:rFonts w:hint="eastAsia" w:ascii="Times New Roman" w:hAnsi="Times New Roman" w:cs="Times New Roman" w:eastAsiaTheme="minorEastAsia"/>
          <w:color w:val="auto"/>
          <w:w w:val="99"/>
          <w:kern w:val="2"/>
          <w:highlight w:val="none"/>
        </w:rPr>
        <w:t>见</w:t>
      </w:r>
      <w:r>
        <w:rPr>
          <w:rFonts w:ascii="Times New Roman" w:hAnsi="Times New Roman" w:cs="Times New Roman" w:eastAsiaTheme="minorEastAsia"/>
          <w:color w:val="auto"/>
          <w:w w:val="99"/>
          <w:kern w:val="2"/>
          <w:highlight w:val="none"/>
        </w:rPr>
        <w:t>附件8。钻探公司已备案登记《突发事件总体应急预案》、</w:t>
      </w:r>
      <w:r>
        <w:rPr>
          <w:rFonts w:hint="eastAsia" w:ascii="Times New Roman" w:hAnsi="Times New Roman" w:cs="Times New Roman" w:eastAsiaTheme="minorEastAsia"/>
          <w:color w:val="auto"/>
          <w:w w:val="99"/>
          <w:kern w:val="2"/>
          <w:highlight w:val="none"/>
        </w:rPr>
        <w:t>《环境突发事件专项应急预案》、《井控突发事件专项应急预案》、</w:t>
      </w:r>
      <w:r>
        <w:rPr>
          <w:rFonts w:ascii="Times New Roman" w:hAnsi="Times New Roman" w:cs="Times New Roman" w:eastAsiaTheme="minorEastAsia"/>
          <w:color w:val="auto"/>
          <w:w w:val="99"/>
          <w:kern w:val="2"/>
          <w:highlight w:val="none"/>
        </w:rPr>
        <w:t>《</w:t>
      </w:r>
      <w:r>
        <w:rPr>
          <w:rFonts w:hint="eastAsia" w:ascii="Times New Roman" w:hAnsi="Times New Roman" w:cs="Times New Roman" w:eastAsiaTheme="minorEastAsia"/>
          <w:color w:val="auto"/>
          <w:w w:val="99"/>
          <w:kern w:val="2"/>
          <w:highlight w:val="none"/>
        </w:rPr>
        <w:t>爆炸着火突发事件专项应急预案</w:t>
      </w:r>
      <w:r>
        <w:rPr>
          <w:rFonts w:ascii="Times New Roman" w:hAnsi="Times New Roman" w:cs="Times New Roman" w:eastAsiaTheme="minorEastAsia"/>
          <w:color w:val="auto"/>
          <w:w w:val="99"/>
          <w:kern w:val="2"/>
          <w:highlight w:val="none"/>
        </w:rPr>
        <w:t>》等16个应急预案，</w:t>
      </w:r>
      <w:r>
        <w:rPr>
          <w:rFonts w:hint="eastAsia" w:ascii="Times New Roman" w:hAnsi="Times New Roman" w:cs="Times New Roman" w:eastAsiaTheme="minorEastAsia"/>
          <w:color w:val="auto"/>
          <w:w w:val="99"/>
          <w:kern w:val="2"/>
          <w:highlight w:val="none"/>
        </w:rPr>
        <w:t>大庆油田有限责任公司第十采油厂已</w:t>
      </w:r>
      <w:r>
        <w:rPr>
          <w:rFonts w:ascii="Times New Roman" w:hAnsi="Times New Roman" w:cs="Times New Roman" w:eastAsiaTheme="minorEastAsia"/>
          <w:color w:val="auto"/>
          <w:w w:val="99"/>
          <w:kern w:val="2"/>
          <w:highlight w:val="none"/>
        </w:rPr>
        <w:t>备案登记</w:t>
      </w:r>
      <w:r>
        <w:rPr>
          <w:rFonts w:hint="eastAsia" w:ascii="Times New Roman" w:hAnsi="Times New Roman" w:cs="Times New Roman" w:eastAsiaTheme="minorEastAsia"/>
          <w:color w:val="auto"/>
          <w:w w:val="99"/>
          <w:kern w:val="2"/>
          <w:highlight w:val="none"/>
        </w:rPr>
        <w:t>《突发事件综合（总体）应急预案》、《突发环境事件专项应急预案》、《井喷突发事件专项应急预案》、</w:t>
      </w:r>
      <w:r>
        <w:rPr>
          <w:rFonts w:ascii="Times New Roman" w:hAnsi="Times New Roman" w:cs="Times New Roman" w:eastAsiaTheme="minorEastAsia"/>
          <w:color w:val="auto"/>
          <w:w w:val="99"/>
          <w:kern w:val="2"/>
          <w:highlight w:val="none"/>
        </w:rPr>
        <w:t>《</w:t>
      </w:r>
      <w:r>
        <w:rPr>
          <w:rFonts w:hint="eastAsia" w:ascii="Times New Roman" w:hAnsi="Times New Roman" w:cs="Times New Roman" w:eastAsiaTheme="minorEastAsia"/>
          <w:color w:val="auto"/>
          <w:w w:val="99"/>
          <w:kern w:val="2"/>
          <w:highlight w:val="none"/>
        </w:rPr>
        <w:t>危险化学品、油气泄漏突发事件专项应急预案</w:t>
      </w:r>
      <w:r>
        <w:rPr>
          <w:rFonts w:ascii="Times New Roman" w:hAnsi="Times New Roman" w:cs="Times New Roman" w:eastAsiaTheme="minorEastAsia"/>
          <w:color w:val="auto"/>
          <w:w w:val="99"/>
          <w:kern w:val="2"/>
          <w:highlight w:val="none"/>
        </w:rPr>
        <w:t>》</w:t>
      </w:r>
      <w:r>
        <w:rPr>
          <w:rFonts w:hint="eastAsia" w:ascii="Times New Roman" w:hAnsi="Times New Roman" w:cs="Times New Roman" w:eastAsiaTheme="minorEastAsia"/>
          <w:color w:val="auto"/>
          <w:w w:val="99"/>
          <w:kern w:val="2"/>
          <w:highlight w:val="none"/>
        </w:rPr>
        <w:t>等15</w:t>
      </w:r>
      <w:r>
        <w:rPr>
          <w:rFonts w:ascii="Times New Roman" w:hAnsi="Times New Roman" w:cs="Times New Roman" w:eastAsiaTheme="minorEastAsia"/>
          <w:color w:val="auto"/>
          <w:w w:val="99"/>
          <w:kern w:val="2"/>
          <w:highlight w:val="none"/>
        </w:rPr>
        <w:t>个应急预案</w:t>
      </w:r>
      <w:r>
        <w:rPr>
          <w:rFonts w:hint="eastAsia" w:ascii="Times New Roman" w:hAnsi="Times New Roman" w:cs="Times New Roman" w:eastAsiaTheme="minorEastAsia"/>
          <w:color w:val="auto"/>
          <w:w w:val="99"/>
          <w:kern w:val="2"/>
          <w:highlight w:val="none"/>
        </w:rPr>
        <w:t>。</w:t>
      </w:r>
      <w:r>
        <w:rPr>
          <w:rFonts w:ascii="Times New Roman" w:hAnsi="Times New Roman" w:cs="Times New Roman" w:eastAsiaTheme="minorEastAsia"/>
          <w:color w:val="auto"/>
          <w:w w:val="99"/>
          <w:kern w:val="2"/>
          <w:highlight w:val="none"/>
        </w:rPr>
        <w:t>发生事故时，多个应急预案联动响应。同时，企业环保部门与地方社会力量保持应急状态联动，事故发生后，消防部门、医疗部门、环保部门及公安部门启动相应紧急预案，保障事故控制及事故救援得到有效迅捷地处理，详见下表。</w:t>
      </w:r>
    </w:p>
    <w:p>
      <w:pPr>
        <w:widowControl w:val="0"/>
        <w:tabs>
          <w:tab w:val="left" w:pos="3480"/>
        </w:tabs>
        <w:adjustRightInd w:val="0"/>
        <w:snapToGrid w:val="0"/>
        <w:spacing w:line="500" w:lineRule="exact"/>
        <w:ind w:firstLine="476" w:firstLineChars="200"/>
        <w:jc w:val="both"/>
        <w:rPr>
          <w:rFonts w:ascii="Times New Roman" w:hAnsi="Times New Roman" w:cs="Times New Roman" w:eastAsiaTheme="minorEastAsia"/>
          <w:b/>
          <w:bCs/>
          <w:color w:val="auto"/>
          <w:w w:val="99"/>
          <w:kern w:val="2"/>
          <w:szCs w:val="22"/>
          <w:highlight w:val="none"/>
        </w:rPr>
      </w:pPr>
      <w:r>
        <w:rPr>
          <w:rFonts w:ascii="Times New Roman" w:hAnsi="Times New Roman" w:cs="Times New Roman" w:eastAsiaTheme="minorEastAsia"/>
          <w:b/>
          <w:bCs/>
          <w:color w:val="auto"/>
          <w:w w:val="99"/>
          <w:kern w:val="2"/>
          <w:szCs w:val="22"/>
          <w:highlight w:val="none"/>
        </w:rPr>
        <w:t>表</w:t>
      </w:r>
      <w:r>
        <w:rPr>
          <w:rFonts w:ascii="Times New Roman" w:hAnsi="Times New Roman" w:cs="Times New Roman" w:eastAsiaTheme="minorEastAsia"/>
          <w:b/>
          <w:bCs/>
          <w:color w:val="auto"/>
          <w:w w:val="99"/>
          <w:kern w:val="2"/>
          <w:highlight w:val="none"/>
        </w:rPr>
        <w:t>6.8-1</w:t>
      </w:r>
      <w:r>
        <w:rPr>
          <w:rFonts w:ascii="Times New Roman" w:hAnsi="Times New Roman" w:cs="Times New Roman" w:eastAsiaTheme="minorEastAsia"/>
          <w:b/>
          <w:bCs/>
          <w:color w:val="auto"/>
          <w:w w:val="99"/>
          <w:kern w:val="2"/>
          <w:szCs w:val="22"/>
          <w:highlight w:val="none"/>
        </w:rPr>
        <w:t xml:space="preserve">                地企联动各部门联系方式</w:t>
      </w:r>
    </w:p>
    <w:tbl>
      <w:tblPr>
        <w:tblStyle w:val="8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27"/>
        <w:gridCol w:w="45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名称</w:t>
            </w:r>
          </w:p>
        </w:tc>
        <w:tc>
          <w:tcPr>
            <w:tcW w:w="4528"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联系电话</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火警</w:t>
            </w:r>
          </w:p>
        </w:tc>
        <w:tc>
          <w:tcPr>
            <w:tcW w:w="4528"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119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医疗急救</w:t>
            </w:r>
          </w:p>
        </w:tc>
        <w:tc>
          <w:tcPr>
            <w:tcW w:w="4528"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大庆市人民政府</w:t>
            </w:r>
          </w:p>
        </w:tc>
        <w:tc>
          <w:tcPr>
            <w:tcW w:w="4528"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0459-4609222/6373055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大庆市生态环境局</w:t>
            </w:r>
          </w:p>
        </w:tc>
        <w:tc>
          <w:tcPr>
            <w:tcW w:w="4528"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0459-4623818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大庆市应急管理局</w:t>
            </w:r>
          </w:p>
        </w:tc>
        <w:tc>
          <w:tcPr>
            <w:tcW w:w="4528"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0459-6377119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大庆市安全生产委员会办公室</w:t>
            </w:r>
          </w:p>
        </w:tc>
        <w:tc>
          <w:tcPr>
            <w:tcW w:w="4528"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0459-4600048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大庆油田总医院</w:t>
            </w:r>
          </w:p>
        </w:tc>
        <w:tc>
          <w:tcPr>
            <w:tcW w:w="4528"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0459-5886408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大庆市气象站</w:t>
            </w:r>
          </w:p>
        </w:tc>
        <w:tc>
          <w:tcPr>
            <w:tcW w:w="4528"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0459-8151030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大庆油田有限责任公司</w:t>
            </w:r>
            <w:r>
              <w:rPr>
                <w:rFonts w:hint="eastAsia" w:ascii="Times New Roman" w:hAnsi="Times New Roman" w:cs="Times New Roman" w:eastAsiaTheme="minorEastAsia"/>
                <w:color w:val="auto"/>
                <w:w w:val="99"/>
                <w:kern w:val="2"/>
                <w:sz w:val="21"/>
                <w:szCs w:val="20"/>
                <w:highlight w:val="none"/>
              </w:rPr>
              <w:t>第十采油厂</w:t>
            </w:r>
            <w:r>
              <w:rPr>
                <w:rFonts w:ascii="Times New Roman" w:hAnsi="Times New Roman" w:cs="Times New Roman" w:eastAsiaTheme="minorEastAsia"/>
                <w:color w:val="auto"/>
                <w:w w:val="99"/>
                <w:kern w:val="2"/>
                <w:sz w:val="21"/>
                <w:szCs w:val="20"/>
                <w:highlight w:val="none"/>
              </w:rPr>
              <w:t>环保部</w:t>
            </w:r>
          </w:p>
        </w:tc>
        <w:tc>
          <w:tcPr>
            <w:tcW w:w="4528"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0459-4494385</w:t>
            </w:r>
          </w:p>
        </w:tc>
      </w:tr>
      <w:bookmarkEnd w:id="1343"/>
      <w:bookmarkEnd w:id="1344"/>
      <w:bookmarkEnd w:id="1345"/>
      <w:bookmarkEnd w:id="1346"/>
      <w:bookmarkEnd w:id="1347"/>
    </w:tbl>
    <w:p>
      <w:pPr>
        <w:pStyle w:val="7"/>
        <w:keepNext w:val="0"/>
        <w:keepLines w:val="0"/>
        <w:widowControl w:val="0"/>
        <w:jc w:val="both"/>
        <w:rPr>
          <w:b/>
          <w:color w:val="auto"/>
          <w:w w:val="99"/>
          <w:kern w:val="2"/>
          <w:sz w:val="24"/>
          <w:szCs w:val="24"/>
          <w:highlight w:val="none"/>
        </w:rPr>
      </w:pPr>
      <w:bookmarkStart w:id="1358" w:name="_Toc71372062"/>
      <w:bookmarkStart w:id="1359" w:name="_Toc69690932"/>
      <w:bookmarkStart w:id="1360" w:name="_Toc74812446"/>
      <w:bookmarkStart w:id="1361" w:name="_Toc67523713"/>
      <w:bookmarkStart w:id="1362" w:name="_Toc77667421"/>
      <w:bookmarkStart w:id="1363" w:name="_Toc74812207"/>
      <w:bookmarkStart w:id="1364" w:name="_Toc80105277"/>
      <w:r>
        <w:rPr>
          <w:b/>
          <w:color w:val="auto"/>
          <w:w w:val="99"/>
          <w:kern w:val="2"/>
          <w:sz w:val="24"/>
          <w:szCs w:val="24"/>
          <w:highlight w:val="none"/>
        </w:rPr>
        <w:t>6.8.7钻井施工管理措施</w:t>
      </w:r>
      <w:bookmarkEnd w:id="1358"/>
      <w:bookmarkEnd w:id="1359"/>
      <w:bookmarkEnd w:id="1360"/>
      <w:bookmarkEnd w:id="1361"/>
      <w:bookmarkEnd w:id="1362"/>
      <w:bookmarkEnd w:id="1363"/>
      <w:bookmarkEnd w:id="1364"/>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（1）在钻井施工时，制定出正常、异常或紧急状态下的操作手册和维修手册，并对操作、维修人员进行培训，持证上岗，避免因严重操作失误而造成的事故；</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（2）对日常监督、隐患排查、事故处理等各项安全管理都要有记录和建立档案；</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3）本项目钻井施工单位需针对可能发生的环境风险事故，结合所处区域的自然环境状况、地理位置等特点，制定环境风险事故防范应急预案，并严格执行，在制订的应急操作规程中明确发生井喷、火灾爆炸等事故时应采取的具体操作步骤，规定抢修进度，限制事故的影响，人员责任等事项；</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（4）操作人员要提高安全意识，具备识别事故发生前的异常状态能力，采取相应的措施得当；</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（5）对重要的仪器设备有完善的检查项目、维护方法；按计划进行定期维护；有专门档案（包括维护记录档案），文件齐全；</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（6）对项目区域可能涉及的民众开展应急宣传教育，使发生事故时能够将环境风险影响程度、范围降至最小；</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（7）建立应急响应机构，配备快捷的交通通讯工具，以便对泄漏事故及时作出反应和妥善处理。</w:t>
      </w:r>
    </w:p>
    <w:p>
      <w:pPr>
        <w:pStyle w:val="5"/>
        <w:keepNext w:val="0"/>
        <w:keepLines w:val="0"/>
        <w:widowControl w:val="0"/>
        <w:jc w:val="both"/>
        <w:rPr>
          <w:rFonts w:ascii="Times New Roman" w:hAnsi="Times New Roman"/>
          <w:b/>
          <w:snapToGrid w:val="0"/>
          <w:color w:val="auto"/>
          <w:w w:val="99"/>
          <w:highlight w:val="none"/>
        </w:rPr>
      </w:pPr>
      <w:bookmarkStart w:id="1365" w:name="_Toc80105278"/>
      <w:r>
        <w:rPr>
          <w:rFonts w:ascii="Times New Roman" w:hAnsi="Times New Roman"/>
          <w:b/>
          <w:snapToGrid w:val="0"/>
          <w:color w:val="auto"/>
          <w:w w:val="99"/>
          <w:highlight w:val="none"/>
        </w:rPr>
        <w:t>6.</w:t>
      </w:r>
      <w:bookmarkEnd w:id="1314"/>
      <w:bookmarkEnd w:id="1315"/>
      <w:r>
        <w:rPr>
          <w:rFonts w:ascii="Times New Roman" w:hAnsi="Times New Roman"/>
          <w:b/>
          <w:snapToGrid w:val="0"/>
          <w:color w:val="auto"/>
          <w:w w:val="99"/>
          <w:highlight w:val="none"/>
        </w:rPr>
        <w:t>9“三同时”环保验收一览表</w:t>
      </w:r>
      <w:bookmarkEnd w:id="1365"/>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为进一步落实本项目工程设计和环境影响评价提出的各项环保措施，确保环保工程发挥真正作用，本评价列出“三同时”项目表和竣工验收监测与调查的相关要求，具体内容见表6.9-1、表6.9-2。</w:t>
      </w:r>
    </w:p>
    <w:p>
      <w:pPr>
        <w:spacing w:line="500" w:lineRule="exact"/>
        <w:ind w:firstLine="476" w:firstLineChars="200"/>
        <w:jc w:val="both"/>
        <w:rPr>
          <w:rFonts w:ascii="Times New Roman" w:hAnsi="Times New Roman" w:cs="Times New Roman" w:eastAsiaTheme="minorEastAsia"/>
          <w:b/>
          <w:bCs/>
          <w:color w:val="auto"/>
          <w:w w:val="99"/>
          <w:kern w:val="21"/>
          <w:szCs w:val="20"/>
          <w:highlight w:val="none"/>
        </w:rPr>
      </w:pPr>
      <w:r>
        <w:rPr>
          <w:rFonts w:ascii="Times New Roman" w:hAnsi="Times New Roman" w:cs="Times New Roman" w:eastAsiaTheme="minorEastAsia"/>
          <w:b/>
          <w:bCs/>
          <w:color w:val="auto"/>
          <w:w w:val="99"/>
          <w:kern w:val="21"/>
          <w:szCs w:val="20"/>
          <w:highlight w:val="none"/>
        </w:rPr>
        <w:t>表6.9-1               三同时环保设施竣工验收</w:t>
      </w:r>
    </w:p>
    <w:tbl>
      <w:tblPr>
        <w:tblStyle w:val="8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3"/>
        <w:gridCol w:w="1491"/>
        <w:gridCol w:w="4027"/>
        <w:gridCol w:w="33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6" w:type="pct"/>
            <w:gridSpan w:val="2"/>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防治内容</w:t>
            </w:r>
          </w:p>
        </w:tc>
        <w:tc>
          <w:tcPr>
            <w:tcW w:w="2169" w:type="pct"/>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环保措施</w:t>
            </w:r>
          </w:p>
        </w:tc>
        <w:tc>
          <w:tcPr>
            <w:tcW w:w="1793" w:type="pct"/>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验收标准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废气</w:t>
            </w:r>
          </w:p>
        </w:tc>
        <w:tc>
          <w:tcPr>
            <w:tcW w:w="80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施工期扬尘</w:t>
            </w:r>
          </w:p>
        </w:tc>
        <w:tc>
          <w:tcPr>
            <w:tcW w:w="2169"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及时洒水、临时土方等加盖苫布等遮盖物</w:t>
            </w:r>
          </w:p>
        </w:tc>
        <w:tc>
          <w:tcPr>
            <w:tcW w:w="179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施工场界颗粒物满足《大气污染物综合排放标准》(GB16297-1996）表2中无组织排放监控浓度限值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噪声</w:t>
            </w:r>
          </w:p>
        </w:tc>
        <w:tc>
          <w:tcPr>
            <w:tcW w:w="80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井场噪声</w:t>
            </w:r>
          </w:p>
        </w:tc>
        <w:tc>
          <w:tcPr>
            <w:tcW w:w="2169"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低噪声机械、基础减震，围挡隔声，布置于室内</w:t>
            </w:r>
          </w:p>
        </w:tc>
        <w:tc>
          <w:tcPr>
            <w:tcW w:w="179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满足《建筑施工场界环境噪声排放标准》（GB12523-2011）限值，昼间≤70dB（A），夜间≤55dB（A）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vMerge w:val="restart"/>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废水</w:t>
            </w:r>
          </w:p>
        </w:tc>
        <w:tc>
          <w:tcPr>
            <w:tcW w:w="803" w:type="pct"/>
            <w:vMerge w:val="restart"/>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地下水</w:t>
            </w:r>
            <w:r>
              <w:rPr>
                <w:rFonts w:hint="eastAsia" w:ascii="Times New Roman" w:hAnsi="Times New Roman" w:cs="Times New Roman" w:eastAsiaTheme="minorEastAsia"/>
                <w:color w:val="auto"/>
                <w:w w:val="99"/>
                <w:kern w:val="2"/>
                <w:sz w:val="21"/>
                <w:szCs w:val="21"/>
                <w:highlight w:val="none"/>
              </w:rPr>
              <w:t>与</w:t>
            </w:r>
            <w:r>
              <w:rPr>
                <w:rFonts w:ascii="Times New Roman" w:hAnsi="Times New Roman" w:cs="Times New Roman" w:eastAsiaTheme="minorEastAsia"/>
                <w:color w:val="auto"/>
                <w:w w:val="99"/>
                <w:kern w:val="2"/>
                <w:sz w:val="21"/>
                <w:szCs w:val="21"/>
                <w:highlight w:val="none"/>
              </w:rPr>
              <w:t>土壤防护</w:t>
            </w:r>
          </w:p>
        </w:tc>
        <w:tc>
          <w:tcPr>
            <w:tcW w:w="4027" w:type="dxa"/>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1"/>
                <w:sz w:val="21"/>
                <w:szCs w:val="21"/>
                <w:highlight w:val="none"/>
              </w:rPr>
              <w:t>上游</w:t>
            </w:r>
            <w:r>
              <w:rPr>
                <w:rFonts w:hint="eastAsia" w:ascii="Times New Roman" w:hAnsi="Times New Roman" w:cs="Times New Roman" w:eastAsiaTheme="minorEastAsia"/>
                <w:bCs/>
                <w:color w:val="auto"/>
                <w:w w:val="99"/>
                <w:kern w:val="21"/>
                <w:sz w:val="21"/>
                <w:szCs w:val="21"/>
                <w:highlight w:val="none"/>
                <w:lang w:eastAsia="zh-CN"/>
              </w:rPr>
              <w:t>后仓粮</w:t>
            </w:r>
            <w:r>
              <w:rPr>
                <w:rFonts w:ascii="Times New Roman" w:hAnsi="Times New Roman" w:cs="Times New Roman" w:eastAsiaTheme="minorEastAsia"/>
                <w:bCs/>
                <w:color w:val="auto"/>
                <w:w w:val="99"/>
                <w:kern w:val="21"/>
                <w:sz w:val="21"/>
                <w:szCs w:val="21"/>
                <w:highlight w:val="none"/>
              </w:rPr>
              <w:t>水井</w:t>
            </w:r>
            <w:r>
              <w:rPr>
                <w:rFonts w:hint="eastAsia" w:ascii="Times New Roman" w:hAnsi="Times New Roman" w:cs="Times New Roman" w:eastAsiaTheme="minorEastAsia"/>
                <w:bCs/>
                <w:color w:val="auto"/>
                <w:w w:val="99"/>
                <w:kern w:val="21"/>
                <w:sz w:val="21"/>
                <w:szCs w:val="21"/>
                <w:highlight w:val="none"/>
              </w:rPr>
              <w:t>（坐标：</w:t>
            </w:r>
            <w:r>
              <w:rPr>
                <w:rFonts w:hint="eastAsia" w:ascii="Times New Roman" w:hAnsi="Times New Roman" w:cs="Times New Roman" w:eastAsiaTheme="minorEastAsia"/>
                <w:color w:val="auto"/>
                <w:w w:val="99"/>
                <w:kern w:val="2"/>
                <w:sz w:val="21"/>
                <w:szCs w:val="21"/>
                <w:highlight w:val="none"/>
              </w:rPr>
              <w:t>125.01523018,45.57848391</w:t>
            </w:r>
            <w:r>
              <w:rPr>
                <w:rFonts w:ascii="Times New Roman" w:hAnsi="Times New Roman" w:cs="Times New Roman" w:eastAsiaTheme="minorEastAsia"/>
                <w:bCs/>
                <w:color w:val="auto"/>
                <w:w w:val="99"/>
                <w:kern w:val="21"/>
                <w:sz w:val="21"/>
                <w:szCs w:val="21"/>
                <w:highlight w:val="none"/>
              </w:rPr>
              <w:t>）布设1口潜水背景值监测水井，在区域内</w:t>
            </w:r>
            <w:r>
              <w:rPr>
                <w:rFonts w:hint="eastAsia" w:ascii="Times New Roman" w:hAnsi="Times New Roman" w:cs="Times New Roman" w:eastAsiaTheme="minorEastAsia"/>
                <w:bCs/>
                <w:color w:val="auto"/>
                <w:w w:val="99"/>
                <w:kern w:val="21"/>
                <w:sz w:val="21"/>
                <w:szCs w:val="21"/>
                <w:highlight w:val="none"/>
                <w:lang w:eastAsia="zh-CN"/>
              </w:rPr>
              <w:t>厢房屯</w:t>
            </w:r>
            <w:r>
              <w:rPr>
                <w:rFonts w:ascii="Times New Roman" w:hAnsi="Times New Roman" w:cs="Times New Roman" w:eastAsiaTheme="minorEastAsia"/>
                <w:bCs/>
                <w:color w:val="auto"/>
                <w:w w:val="99"/>
                <w:kern w:val="21"/>
                <w:sz w:val="21"/>
                <w:szCs w:val="21"/>
                <w:highlight w:val="none"/>
              </w:rPr>
              <w:t>水井</w:t>
            </w:r>
            <w:r>
              <w:rPr>
                <w:rFonts w:hint="eastAsia" w:ascii="Times New Roman" w:hAnsi="Times New Roman" w:cs="Times New Roman" w:eastAsiaTheme="minorEastAsia"/>
                <w:bCs/>
                <w:color w:val="auto"/>
                <w:w w:val="99"/>
                <w:kern w:val="21"/>
                <w:sz w:val="21"/>
                <w:szCs w:val="21"/>
                <w:highlight w:val="none"/>
              </w:rPr>
              <w:t>（坐标：</w:t>
            </w:r>
            <w:r>
              <w:rPr>
                <w:rFonts w:hint="eastAsia" w:ascii="Times New Roman" w:hAnsi="Times New Roman" w:cs="Times New Roman" w:eastAsiaTheme="minorEastAsia"/>
                <w:color w:val="auto"/>
                <w:w w:val="99"/>
                <w:kern w:val="2"/>
                <w:sz w:val="21"/>
                <w:szCs w:val="21"/>
                <w:highlight w:val="none"/>
              </w:rPr>
              <w:t>125.00428677,45.56709843</w:t>
            </w:r>
            <w:r>
              <w:rPr>
                <w:rFonts w:ascii="Times New Roman" w:hAnsi="Times New Roman" w:cs="Times New Roman" w:eastAsiaTheme="minorEastAsia"/>
                <w:bCs/>
                <w:color w:val="auto"/>
                <w:w w:val="99"/>
                <w:kern w:val="21"/>
                <w:sz w:val="21"/>
                <w:szCs w:val="21"/>
                <w:highlight w:val="none"/>
              </w:rPr>
              <w:t>）、区域下游</w:t>
            </w:r>
            <w:r>
              <w:rPr>
                <w:rFonts w:hint="eastAsia" w:ascii="Times New Roman" w:hAnsi="Times New Roman" w:cs="Times New Roman" w:eastAsiaTheme="minorEastAsia"/>
                <w:bCs/>
                <w:color w:val="auto"/>
                <w:w w:val="99"/>
                <w:kern w:val="21"/>
                <w:sz w:val="21"/>
                <w:szCs w:val="21"/>
                <w:highlight w:val="none"/>
                <w:lang w:eastAsia="zh-CN"/>
              </w:rPr>
              <w:t>后永利村</w:t>
            </w:r>
            <w:r>
              <w:rPr>
                <w:rFonts w:hint="eastAsia" w:ascii="Times New Roman" w:hAnsi="Times New Roman" w:cs="Times New Roman" w:eastAsiaTheme="minorEastAsia"/>
                <w:bCs/>
                <w:color w:val="auto"/>
                <w:w w:val="99"/>
                <w:kern w:val="21"/>
                <w:sz w:val="21"/>
                <w:szCs w:val="21"/>
                <w:highlight w:val="none"/>
              </w:rPr>
              <w:t>水井（坐标：</w:t>
            </w:r>
            <w:r>
              <w:rPr>
                <w:rFonts w:hint="eastAsia" w:ascii="Times New Roman" w:hAnsi="Times New Roman" w:cs="Times New Roman" w:eastAsiaTheme="minorEastAsia"/>
                <w:color w:val="auto"/>
                <w:w w:val="99"/>
                <w:kern w:val="2"/>
                <w:sz w:val="21"/>
                <w:szCs w:val="21"/>
                <w:highlight w:val="none"/>
              </w:rPr>
              <w:t>124.99969482,45.55114286</w:t>
            </w:r>
            <w:r>
              <w:rPr>
                <w:rFonts w:ascii="Times New Roman" w:hAnsi="Times New Roman" w:cs="Times New Roman" w:eastAsiaTheme="minorEastAsia"/>
                <w:bCs/>
                <w:color w:val="auto"/>
                <w:w w:val="99"/>
                <w:kern w:val="21"/>
                <w:sz w:val="21"/>
                <w:szCs w:val="21"/>
                <w:highlight w:val="none"/>
              </w:rPr>
              <w:t>）各布设1口潜水跟踪监测水井）各布设1口潜水跟踪监测水井，定期对地下水进行跟踪监测。</w:t>
            </w:r>
          </w:p>
        </w:tc>
        <w:tc>
          <w:tcPr>
            <w:tcW w:w="3329" w:type="dxa"/>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对布设的6口潜水监测井进行监测，水质应满足《地下水质量标准》（GB/T14848-2017）III类标准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vMerge w:val="continue"/>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p>
        </w:tc>
        <w:tc>
          <w:tcPr>
            <w:tcW w:w="803" w:type="pct"/>
            <w:vMerge w:val="continue"/>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p>
        </w:tc>
        <w:tc>
          <w:tcPr>
            <w:tcW w:w="2169" w:type="pct"/>
            <w:vAlign w:val="center"/>
          </w:tcPr>
          <w:p>
            <w:pPr>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kern w:val="21"/>
                <w:sz w:val="21"/>
                <w:szCs w:val="21"/>
                <w:highlight w:val="none"/>
              </w:rPr>
              <w:t>柴油罐区、钻井液罐区、发电机房、钢制泥浆槽、KOH材料房、钻井泵、钻台等处属于重点防渗区；钻井液材料房、其他材料房</w:t>
            </w:r>
            <w:r>
              <w:rPr>
                <w:rFonts w:hint="eastAsia" w:ascii="Times New Roman" w:hAnsi="Times New Roman" w:cs="Times New Roman" w:eastAsiaTheme="minorEastAsia"/>
                <w:bCs/>
                <w:color w:val="auto"/>
                <w:w w:val="99"/>
                <w:kern w:val="21"/>
                <w:sz w:val="21"/>
                <w:szCs w:val="21"/>
                <w:highlight w:val="none"/>
              </w:rPr>
              <w:t>、</w:t>
            </w:r>
            <w:r>
              <w:rPr>
                <w:rFonts w:ascii="Times New Roman" w:hAnsi="Times New Roman" w:cs="Times New Roman" w:eastAsiaTheme="minorEastAsia"/>
                <w:bCs/>
                <w:color w:val="auto"/>
                <w:w w:val="99"/>
                <w:kern w:val="21"/>
                <w:sz w:val="21"/>
                <w:szCs w:val="21"/>
                <w:highlight w:val="none"/>
              </w:rPr>
              <w:t>临时旱厕做一般防渗处理。井场其他区域属于简单防渗区。</w:t>
            </w:r>
            <w:r>
              <w:rPr>
                <w:rFonts w:ascii="Times New Roman" w:hAnsi="Times New Roman" w:cs="Times New Roman" w:eastAsiaTheme="minorEastAsia"/>
                <w:color w:val="auto"/>
                <w:w w:val="99"/>
                <w:sz w:val="21"/>
                <w:szCs w:val="21"/>
                <w:highlight w:val="none"/>
              </w:rPr>
              <w:t xml:space="preserve"> </w:t>
            </w:r>
          </w:p>
        </w:tc>
        <w:tc>
          <w:tcPr>
            <w:tcW w:w="1793" w:type="pct"/>
            <w:vAlign w:val="center"/>
          </w:tcPr>
          <w:p>
            <w:pPr>
              <w:snapToGrid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1"/>
                <w:sz w:val="21"/>
                <w:szCs w:val="21"/>
                <w:highlight w:val="none"/>
              </w:rPr>
              <w:t>重点防渗区采用地面碾压平整并铺设2mm厚防渗土工布进行防渗，渗透系数</w:t>
            </w:r>
            <w:r>
              <w:rPr>
                <w:rFonts w:hint="eastAsia" w:ascii="Times New Roman" w:hAnsi="Times New Roman" w:cs="Times New Roman" w:eastAsiaTheme="minorEastAsia"/>
                <w:bCs/>
                <w:color w:val="auto"/>
                <w:w w:val="99"/>
                <w:kern w:val="21"/>
                <w:sz w:val="21"/>
                <w:szCs w:val="21"/>
                <w:highlight w:val="none"/>
              </w:rPr>
              <w:t>为</w:t>
            </w:r>
            <w:r>
              <w:rPr>
                <w:rFonts w:ascii="Times New Roman" w:hAnsi="Times New Roman" w:cs="Times New Roman" w:eastAsiaTheme="minorEastAsia"/>
                <w:bCs/>
                <w:color w:val="auto"/>
                <w:w w:val="99"/>
                <w:kern w:val="21"/>
                <w:sz w:val="21"/>
                <w:szCs w:val="21"/>
                <w:highlight w:val="none"/>
              </w:rPr>
              <w:t>1×10</w:t>
            </w:r>
            <w:r>
              <w:rPr>
                <w:rFonts w:ascii="Times New Roman" w:hAnsi="Times New Roman" w:cs="Times New Roman" w:eastAsiaTheme="minorEastAsia"/>
                <w:bCs/>
                <w:color w:val="auto"/>
                <w:w w:val="99"/>
                <w:kern w:val="21"/>
                <w:sz w:val="21"/>
                <w:szCs w:val="21"/>
                <w:highlight w:val="none"/>
                <w:vertAlign w:val="superscript"/>
              </w:rPr>
              <w:t>-10</w:t>
            </w:r>
            <w:r>
              <w:rPr>
                <w:rFonts w:ascii="Times New Roman" w:hAnsi="Times New Roman" w:cs="Times New Roman" w:eastAsiaTheme="minorEastAsia"/>
                <w:bCs/>
                <w:color w:val="auto"/>
                <w:w w:val="99"/>
                <w:kern w:val="21"/>
                <w:sz w:val="21"/>
                <w:szCs w:val="21"/>
                <w:highlight w:val="none"/>
              </w:rPr>
              <w:t>cm/s；一般防渗区采用1.5m厚黏土防渗层，渗透系数</w:t>
            </w:r>
            <w:r>
              <w:rPr>
                <w:rFonts w:hint="eastAsia" w:ascii="Times New Roman" w:hAnsi="Times New Roman" w:cs="Times New Roman" w:eastAsiaTheme="minorEastAsia"/>
                <w:bCs/>
                <w:color w:val="auto"/>
                <w:w w:val="99"/>
                <w:kern w:val="21"/>
                <w:sz w:val="21"/>
                <w:szCs w:val="21"/>
                <w:highlight w:val="none"/>
              </w:rPr>
              <w:t>为</w:t>
            </w:r>
            <w:r>
              <w:rPr>
                <w:rFonts w:ascii="Times New Roman" w:hAnsi="Times New Roman" w:cs="Times New Roman" w:eastAsiaTheme="minorEastAsia"/>
                <w:bCs/>
                <w:color w:val="auto"/>
                <w:w w:val="99"/>
                <w:kern w:val="21"/>
                <w:sz w:val="21"/>
                <w:szCs w:val="21"/>
                <w:highlight w:val="none"/>
              </w:rPr>
              <w:t>1.0×10</w:t>
            </w:r>
            <w:r>
              <w:rPr>
                <w:rFonts w:ascii="Times New Roman" w:hAnsi="Times New Roman" w:cs="Times New Roman" w:eastAsiaTheme="minorEastAsia"/>
                <w:bCs/>
                <w:color w:val="auto"/>
                <w:w w:val="99"/>
                <w:kern w:val="21"/>
                <w:sz w:val="21"/>
                <w:szCs w:val="21"/>
                <w:highlight w:val="none"/>
                <w:vertAlign w:val="superscript"/>
              </w:rPr>
              <w:t>-7</w:t>
            </w:r>
            <w:r>
              <w:rPr>
                <w:rFonts w:ascii="Times New Roman" w:hAnsi="Times New Roman" w:cs="Times New Roman" w:eastAsiaTheme="minorEastAsia"/>
                <w:bCs/>
                <w:color w:val="auto"/>
                <w:w w:val="99"/>
                <w:kern w:val="21"/>
                <w:sz w:val="21"/>
                <w:szCs w:val="21"/>
                <w:highlight w:val="none"/>
              </w:rPr>
              <w:t>cm/s。简单防渗区采用地面碾压平整进行防渗。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vMerge w:val="continue"/>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p>
        </w:tc>
        <w:tc>
          <w:tcPr>
            <w:tcW w:w="803" w:type="pct"/>
            <w:vMerge w:val="continue"/>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p>
        </w:tc>
        <w:tc>
          <w:tcPr>
            <w:tcW w:w="2169" w:type="pct"/>
            <w:vAlign w:val="center"/>
          </w:tcPr>
          <w:p>
            <w:pPr>
              <w:snapToGrid w:val="0"/>
              <w:spacing w:line="320" w:lineRule="exact"/>
              <w:jc w:val="center"/>
              <w:rPr>
                <w:rFonts w:ascii="Times New Roman" w:hAnsi="Times New Roman" w:cs="Times New Roman" w:eastAsiaTheme="minorEastAsia"/>
                <w:bCs/>
                <w:color w:val="auto"/>
                <w:w w:val="99"/>
                <w:kern w:val="21"/>
                <w:sz w:val="21"/>
                <w:szCs w:val="21"/>
                <w:highlight w:val="none"/>
              </w:rPr>
            </w:pPr>
            <w:r>
              <w:rPr>
                <w:rFonts w:hint="eastAsia" w:ascii="Times New Roman" w:hAnsi="Times New Roman" w:cs="Times New Roman" w:eastAsiaTheme="minorEastAsia"/>
                <w:color w:val="auto"/>
                <w:w w:val="99"/>
                <w:kern w:val="2"/>
                <w:sz w:val="21"/>
                <w:szCs w:val="21"/>
                <w:highlight w:val="none"/>
              </w:rPr>
              <w:t>源244-134</w:t>
            </w:r>
            <w:r>
              <w:rPr>
                <w:rFonts w:ascii="Times New Roman" w:hAnsi="Times New Roman" w:cs="Times New Roman" w:eastAsiaTheme="minorEastAsia"/>
                <w:color w:val="auto"/>
                <w:w w:val="99"/>
                <w:kern w:val="2"/>
                <w:sz w:val="21"/>
                <w:szCs w:val="21"/>
                <w:highlight w:val="none"/>
              </w:rPr>
              <w:t>井场内、</w:t>
            </w:r>
            <w:r>
              <w:rPr>
                <w:rFonts w:hint="eastAsia" w:ascii="Times New Roman" w:hAnsi="Times New Roman" w:cs="Times New Roman" w:eastAsiaTheme="minorEastAsia"/>
                <w:color w:val="auto"/>
                <w:w w:val="99"/>
                <w:kern w:val="2"/>
                <w:sz w:val="21"/>
                <w:szCs w:val="21"/>
                <w:highlight w:val="none"/>
              </w:rPr>
              <w:t>源256-128</w:t>
            </w:r>
            <w:r>
              <w:rPr>
                <w:rFonts w:ascii="Times New Roman" w:hAnsi="Times New Roman" w:cs="Times New Roman" w:eastAsiaTheme="minorEastAsia"/>
                <w:color w:val="auto"/>
                <w:w w:val="99"/>
                <w:kern w:val="2"/>
                <w:sz w:val="21"/>
                <w:szCs w:val="21"/>
                <w:highlight w:val="none"/>
              </w:rPr>
              <w:t>井场东北侧60m耕地</w:t>
            </w:r>
            <w:r>
              <w:rPr>
                <w:rFonts w:hint="eastAsia" w:ascii="Times New Roman" w:hAnsi="Times New Roman" w:cs="Times New Roman" w:eastAsiaTheme="minorEastAsia"/>
                <w:color w:val="auto"/>
                <w:w w:val="99"/>
                <w:kern w:val="2"/>
                <w:sz w:val="21"/>
                <w:szCs w:val="21"/>
                <w:highlight w:val="none"/>
                <w:lang w:eastAsia="zh-CN"/>
              </w:rPr>
              <w:t>、</w:t>
            </w:r>
            <w:r>
              <w:rPr>
                <w:rFonts w:hint="eastAsia" w:ascii="Times New Roman" w:hAnsi="Times New Roman" w:cs="Times New Roman" w:eastAsiaTheme="minorEastAsia"/>
                <w:color w:val="auto"/>
                <w:w w:val="99"/>
                <w:kern w:val="2"/>
                <w:sz w:val="21"/>
                <w:szCs w:val="21"/>
                <w:highlight w:val="none"/>
              </w:rPr>
              <w:t>源312-104</w:t>
            </w:r>
            <w:r>
              <w:rPr>
                <w:rFonts w:ascii="Times New Roman" w:hAnsi="Times New Roman" w:cs="Times New Roman" w:eastAsiaTheme="minorEastAsia"/>
                <w:color w:val="auto"/>
                <w:w w:val="99"/>
                <w:kern w:val="2"/>
                <w:sz w:val="21"/>
                <w:szCs w:val="21"/>
                <w:highlight w:val="none"/>
              </w:rPr>
              <w:t>井场东北侧60m</w:t>
            </w:r>
            <w:r>
              <w:rPr>
                <w:rFonts w:hint="eastAsia" w:ascii="Times New Roman" w:hAnsi="Times New Roman" w:cs="Times New Roman" w:eastAsiaTheme="minorEastAsia"/>
                <w:color w:val="auto"/>
                <w:w w:val="99"/>
                <w:kern w:val="2"/>
                <w:sz w:val="21"/>
                <w:szCs w:val="21"/>
                <w:highlight w:val="none"/>
                <w:lang w:eastAsia="zh-CN"/>
              </w:rPr>
              <w:t>耕</w:t>
            </w:r>
            <w:r>
              <w:rPr>
                <w:rFonts w:ascii="Times New Roman" w:hAnsi="Times New Roman" w:cs="Times New Roman" w:eastAsiaTheme="minorEastAsia"/>
                <w:color w:val="auto"/>
                <w:w w:val="99"/>
                <w:kern w:val="2"/>
                <w:sz w:val="21"/>
                <w:szCs w:val="21"/>
                <w:highlight w:val="none"/>
              </w:rPr>
              <w:t>地</w:t>
            </w:r>
            <w:r>
              <w:rPr>
                <w:rFonts w:hint="eastAsia" w:ascii="Times New Roman" w:hAnsi="Times New Roman" w:cs="Times New Roman" w:eastAsiaTheme="minorEastAsia"/>
                <w:color w:val="auto"/>
                <w:w w:val="99"/>
                <w:kern w:val="2"/>
                <w:sz w:val="21"/>
                <w:szCs w:val="21"/>
                <w:highlight w:val="none"/>
              </w:rPr>
              <w:t>各</w:t>
            </w:r>
            <w:r>
              <w:rPr>
                <w:rFonts w:ascii="Times New Roman" w:hAnsi="Times New Roman" w:cs="Times New Roman" w:eastAsiaTheme="minorEastAsia"/>
                <w:color w:val="auto"/>
                <w:w w:val="99"/>
                <w:kern w:val="2"/>
                <w:sz w:val="21"/>
                <w:szCs w:val="21"/>
                <w:highlight w:val="none"/>
              </w:rPr>
              <w:t>设1</w:t>
            </w:r>
            <w:r>
              <w:rPr>
                <w:rFonts w:hint="eastAsia" w:ascii="Times New Roman" w:hAnsi="Times New Roman" w:cs="Times New Roman" w:eastAsiaTheme="minorEastAsia"/>
                <w:color w:val="auto"/>
                <w:w w:val="99"/>
                <w:kern w:val="2"/>
                <w:sz w:val="21"/>
                <w:szCs w:val="21"/>
                <w:highlight w:val="none"/>
              </w:rPr>
              <w:t>个</w:t>
            </w:r>
            <w:r>
              <w:rPr>
                <w:rFonts w:ascii="Times New Roman" w:hAnsi="Times New Roman" w:cs="Times New Roman" w:eastAsiaTheme="minorEastAsia"/>
                <w:color w:val="auto"/>
                <w:w w:val="99"/>
                <w:kern w:val="2"/>
                <w:sz w:val="21"/>
                <w:szCs w:val="21"/>
                <w:highlight w:val="none"/>
              </w:rPr>
              <w:t>土壤跟踪监测点，监测因子为pH</w:t>
            </w:r>
            <w:r>
              <w:rPr>
                <w:rFonts w:hint="eastAsia" w:ascii="Times New Roman" w:hAnsi="Times New Roman" w:cs="Times New Roman" w:eastAsiaTheme="minor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石油烃，监测频率为</w:t>
            </w:r>
            <w:r>
              <w:rPr>
                <w:rFonts w:hint="eastAsia" w:ascii="Times New Roman" w:hAnsi="Times New Roman" w:cs="Times New Roman" w:eastAsiaTheme="minorEastAsia"/>
                <w:color w:val="auto"/>
                <w:w w:val="99"/>
                <w:kern w:val="2"/>
                <w:sz w:val="21"/>
                <w:szCs w:val="21"/>
                <w:highlight w:val="none"/>
              </w:rPr>
              <w:t>1次/3年</w:t>
            </w:r>
            <w:r>
              <w:rPr>
                <w:rFonts w:ascii="Times New Roman" w:hAnsi="Times New Roman" w:cs="Times New Roman" w:eastAsiaTheme="minorEastAsia"/>
                <w:color w:val="auto"/>
                <w:w w:val="99"/>
                <w:kern w:val="2"/>
                <w:sz w:val="21"/>
                <w:szCs w:val="21"/>
                <w:highlight w:val="none"/>
              </w:rPr>
              <w:t>，定期对土壤进行跟踪监测。</w:t>
            </w:r>
          </w:p>
        </w:tc>
        <w:tc>
          <w:tcPr>
            <w:tcW w:w="1793" w:type="pct"/>
            <w:vAlign w:val="center"/>
          </w:tcPr>
          <w:p>
            <w:pPr>
              <w:snapToGrid w:val="0"/>
              <w:spacing w:line="320" w:lineRule="exact"/>
              <w:jc w:val="both"/>
              <w:rPr>
                <w:rFonts w:ascii="Times New Roman" w:hAnsi="Times New Roman" w:cs="Times New Roman" w:eastAsiaTheme="minorEastAsia"/>
                <w:bCs/>
                <w:color w:val="auto"/>
                <w:w w:val="99"/>
                <w:kern w:val="21"/>
                <w:sz w:val="21"/>
                <w:szCs w:val="21"/>
                <w:highlight w:val="none"/>
              </w:rPr>
            </w:pPr>
            <w:r>
              <w:rPr>
                <w:rFonts w:hint="eastAsia" w:ascii="Times New Roman" w:hAnsi="Times New Roman" w:cs="Times New Roman" w:eastAsiaTheme="minorEastAsia"/>
                <w:bCs/>
                <w:color w:val="auto"/>
                <w:w w:val="99"/>
                <w:kern w:val="21"/>
                <w:sz w:val="21"/>
                <w:szCs w:val="21"/>
                <w:highlight w:val="none"/>
              </w:rPr>
              <w:t>石油烃</w:t>
            </w:r>
            <w:r>
              <w:rPr>
                <w:rFonts w:ascii="Times New Roman" w:hAnsi="Times New Roman" w:cs="Times New Roman" w:eastAsiaTheme="minorEastAsia"/>
                <w:bCs/>
                <w:color w:val="auto"/>
                <w:w w:val="99"/>
                <w:kern w:val="21"/>
                <w:sz w:val="21"/>
                <w:szCs w:val="21"/>
                <w:highlight w:val="none"/>
              </w:rPr>
              <w:t>执行《土壤环境质量 建设用地土壤污染风险管控标准（试行）》（GB36600-2018）表2（其他项目）中第二类用地石油烃筛选值标准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vMerge w:val="continue"/>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p>
        </w:tc>
        <w:tc>
          <w:tcPr>
            <w:tcW w:w="803" w:type="pct"/>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生活污水</w:t>
            </w:r>
          </w:p>
        </w:tc>
        <w:tc>
          <w:tcPr>
            <w:tcW w:w="2169" w:type="pct"/>
            <w:vAlign w:val="center"/>
          </w:tcPr>
          <w:p>
            <w:pPr>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生活污水</w:t>
            </w:r>
            <w:r>
              <w:rPr>
                <w:rFonts w:hint="eastAsia" w:ascii="Times New Roman" w:hAnsi="Times New Roman" w:cs="Times New Roman" w:eastAsiaTheme="minorEastAsia"/>
                <w:color w:val="auto"/>
                <w:w w:val="99"/>
                <w:sz w:val="21"/>
                <w:szCs w:val="21"/>
                <w:highlight w:val="none"/>
              </w:rPr>
              <w:t>排入施工</w:t>
            </w:r>
            <w:r>
              <w:rPr>
                <w:rFonts w:ascii="Times New Roman" w:hAnsi="Times New Roman" w:cs="Times New Roman" w:eastAsiaTheme="minorEastAsia"/>
                <w:color w:val="auto"/>
                <w:w w:val="99"/>
                <w:sz w:val="21"/>
                <w:szCs w:val="21"/>
                <w:highlight w:val="none"/>
              </w:rPr>
              <w:t>井场内</w:t>
            </w:r>
            <w:r>
              <w:rPr>
                <w:rFonts w:hint="eastAsia" w:ascii="Times New Roman" w:hAnsi="Times New Roman" w:cs="Times New Roman" w:eastAsiaTheme="minorEastAsia"/>
                <w:color w:val="auto"/>
                <w:w w:val="99"/>
                <w:sz w:val="21"/>
                <w:szCs w:val="21"/>
                <w:highlight w:val="none"/>
              </w:rPr>
              <w:t>临时</w:t>
            </w:r>
            <w:r>
              <w:rPr>
                <w:rFonts w:ascii="Times New Roman" w:hAnsi="Times New Roman" w:cs="Times New Roman" w:eastAsiaTheme="minorEastAsia"/>
                <w:color w:val="auto"/>
                <w:w w:val="99"/>
                <w:sz w:val="21"/>
                <w:szCs w:val="21"/>
                <w:highlight w:val="none"/>
              </w:rPr>
              <w:t>设置的防渗旱厕，定期清掏外运堆肥处理</w:t>
            </w:r>
            <w:r>
              <w:rPr>
                <w:rFonts w:hint="eastAsia" w:ascii="Times New Roman" w:hAnsi="Times New Roman" w:cs="Times New Roman" w:eastAsiaTheme="minorEastAsia"/>
                <w:color w:val="auto"/>
                <w:w w:val="99"/>
                <w:sz w:val="21"/>
                <w:szCs w:val="21"/>
                <w:highlight w:val="none"/>
              </w:rPr>
              <w:t>，施工结束后进行卫生处理，场地进行平整</w:t>
            </w:r>
            <w:r>
              <w:rPr>
                <w:rFonts w:ascii="Times New Roman" w:hAnsi="Times New Roman" w:cs="Times New Roman" w:eastAsiaTheme="minorEastAsia"/>
                <w:color w:val="auto"/>
                <w:w w:val="99"/>
                <w:sz w:val="21"/>
                <w:szCs w:val="21"/>
                <w:highlight w:val="none"/>
              </w:rPr>
              <w:t>。</w:t>
            </w:r>
          </w:p>
        </w:tc>
        <w:tc>
          <w:tcPr>
            <w:tcW w:w="1793" w:type="pct"/>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vMerge w:val="continue"/>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p>
        </w:tc>
        <w:tc>
          <w:tcPr>
            <w:tcW w:w="803" w:type="pct"/>
            <w:vAlign w:val="center"/>
          </w:tcPr>
          <w:p>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钻井废水</w:t>
            </w:r>
          </w:p>
        </w:tc>
        <w:tc>
          <w:tcPr>
            <w:tcW w:w="2169" w:type="pct"/>
            <w:vAlign w:val="center"/>
          </w:tcPr>
          <w:p>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施工期钻井废水暂存于钢制泥浆槽，由罐车及时拉运</w:t>
            </w:r>
            <w:r>
              <w:rPr>
                <w:rFonts w:hint="eastAsia" w:ascii="Times New Roman" w:hAnsi="Times New Roman" w:cs="Times New Roman" w:eastAsiaTheme="minorEastAsia"/>
                <w:color w:val="auto"/>
                <w:w w:val="99"/>
                <w:sz w:val="21"/>
                <w:szCs w:val="21"/>
                <w:highlight w:val="none"/>
              </w:rPr>
              <w:t>大庆油田昆仑集团有限公司环保分公司</w:t>
            </w:r>
            <w:r>
              <w:rPr>
                <w:rFonts w:ascii="Times New Roman" w:hAnsi="Times New Roman" w:cs="Times New Roman" w:eastAsiaTheme="minorEastAsia"/>
                <w:color w:val="auto"/>
                <w:w w:val="99"/>
                <w:sz w:val="21"/>
                <w:szCs w:val="21"/>
                <w:highlight w:val="none"/>
              </w:rPr>
              <w:t>处理</w:t>
            </w:r>
          </w:p>
        </w:tc>
        <w:tc>
          <w:tcPr>
            <w:tcW w:w="1793" w:type="pct"/>
            <w:vAlign w:val="center"/>
          </w:tcPr>
          <w:p>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vMerge w:val="restart"/>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固废</w:t>
            </w:r>
          </w:p>
        </w:tc>
        <w:tc>
          <w:tcPr>
            <w:tcW w:w="80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膨润土、纯碱、重晶石粉废包装袋</w:t>
            </w:r>
          </w:p>
        </w:tc>
        <w:tc>
          <w:tcPr>
            <w:tcW w:w="2169"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由施工单位统一收集后拉运至第八采油厂工业固废填埋场处理</w:t>
            </w:r>
          </w:p>
        </w:tc>
        <w:tc>
          <w:tcPr>
            <w:tcW w:w="179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处置率100%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vMerge w:val="continue"/>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p>
        </w:tc>
        <w:tc>
          <w:tcPr>
            <w:tcW w:w="80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废防渗布</w:t>
            </w:r>
          </w:p>
        </w:tc>
        <w:tc>
          <w:tcPr>
            <w:tcW w:w="2169"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由施工单位统一收集后拉运至第八采油厂工业固废填埋场处理</w:t>
            </w:r>
          </w:p>
        </w:tc>
        <w:tc>
          <w:tcPr>
            <w:tcW w:w="179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处置率100%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vMerge w:val="continue"/>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p>
        </w:tc>
        <w:tc>
          <w:tcPr>
            <w:tcW w:w="803" w:type="pct"/>
            <w:vAlign w:val="center"/>
          </w:tcPr>
          <w:p>
            <w:pPr>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21"/>
                <w:szCs w:val="21"/>
                <w:highlight w:val="none"/>
              </w:rPr>
              <w:t>废钻井液、钻井岩屑、废射孔液</w:t>
            </w:r>
          </w:p>
        </w:tc>
        <w:tc>
          <w:tcPr>
            <w:tcW w:w="2169"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进入井场泥浆槽中，及时拉运</w:t>
            </w:r>
            <w:r>
              <w:rPr>
                <w:rFonts w:hint="eastAsia" w:ascii="Times New Roman" w:hAnsi="Times New Roman" w:cs="Times New Roman" w:eastAsiaTheme="minorEastAsia"/>
                <w:color w:val="auto"/>
                <w:w w:val="99"/>
                <w:kern w:val="2"/>
                <w:sz w:val="21"/>
                <w:szCs w:val="21"/>
                <w:highlight w:val="none"/>
                <w:lang w:bidi="zh-CN"/>
              </w:rPr>
              <w:t>大庆油田昆仑集团有限公司环保分公司</w:t>
            </w:r>
            <w:r>
              <w:rPr>
                <w:rFonts w:ascii="Times New Roman" w:hAnsi="Times New Roman" w:cs="Times New Roman" w:eastAsiaTheme="minorEastAsia"/>
                <w:color w:val="auto"/>
                <w:w w:val="99"/>
                <w:kern w:val="2"/>
                <w:sz w:val="21"/>
                <w:szCs w:val="21"/>
                <w:highlight w:val="none"/>
              </w:rPr>
              <w:t>处理</w:t>
            </w:r>
          </w:p>
        </w:tc>
        <w:tc>
          <w:tcPr>
            <w:tcW w:w="179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sz w:val="21"/>
                <w:szCs w:val="21"/>
                <w:highlight w:val="none"/>
              </w:rPr>
              <w:t>无害化处置</w:t>
            </w:r>
            <w:r>
              <w:rPr>
                <w:rFonts w:ascii="Times New Roman" w:hAnsi="Times New Roman" w:cs="Times New Roman" w:eastAsiaTheme="minorEastAsia"/>
                <w:color w:val="auto"/>
                <w:w w:val="99"/>
                <w:sz w:val="21"/>
                <w:szCs w:val="21"/>
                <w:highlight w:val="none"/>
              </w:rPr>
              <w:t>，签订处理协议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vMerge w:val="continue"/>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p>
        </w:tc>
        <w:tc>
          <w:tcPr>
            <w:tcW w:w="80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KOH废包装袋</w:t>
            </w:r>
          </w:p>
        </w:tc>
        <w:tc>
          <w:tcPr>
            <w:tcW w:w="2169"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经收集后直接由施工单位委托资质单位处理，不在井场暂存</w:t>
            </w:r>
          </w:p>
        </w:tc>
        <w:tc>
          <w:tcPr>
            <w:tcW w:w="179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委托资质单位处理，</w:t>
            </w:r>
            <w:r>
              <w:rPr>
                <w:rFonts w:ascii="Times New Roman" w:hAnsi="Times New Roman" w:cs="Times New Roman" w:eastAsiaTheme="minorEastAsia"/>
                <w:color w:val="auto"/>
                <w:w w:val="99"/>
                <w:sz w:val="21"/>
                <w:szCs w:val="21"/>
                <w:highlight w:val="none"/>
              </w:rPr>
              <w:t>签订处置协议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vMerge w:val="continue"/>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p>
        </w:tc>
        <w:tc>
          <w:tcPr>
            <w:tcW w:w="80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生活垃圾</w:t>
            </w:r>
          </w:p>
        </w:tc>
        <w:tc>
          <w:tcPr>
            <w:tcW w:w="2169"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snapToGrid w:val="0"/>
                <w:color w:val="auto"/>
                <w:w w:val="99"/>
                <w:sz w:val="21"/>
                <w:szCs w:val="21"/>
                <w:highlight w:val="none"/>
              </w:rPr>
              <w:t>统一收集后运至</w:t>
            </w:r>
            <w:r>
              <w:rPr>
                <w:rFonts w:hint="eastAsia" w:ascii="Times New Roman" w:hAnsi="Times New Roman" w:cs="Times New Roman" w:eastAsiaTheme="minorEastAsia"/>
                <w:snapToGrid w:val="0"/>
                <w:color w:val="auto"/>
                <w:w w:val="99"/>
                <w:sz w:val="21"/>
                <w:szCs w:val="21"/>
                <w:highlight w:val="none"/>
                <w:lang w:eastAsia="zh-CN"/>
              </w:rPr>
              <w:t>肇东市生活垃圾填埋场</w:t>
            </w:r>
            <w:r>
              <w:rPr>
                <w:rFonts w:hint="eastAsia" w:ascii="Times New Roman" w:hAnsi="Times New Roman" w:cs="Times New Roman" w:eastAsiaTheme="minorEastAsia"/>
                <w:snapToGrid w:val="0"/>
                <w:color w:val="auto"/>
                <w:w w:val="99"/>
                <w:sz w:val="21"/>
                <w:szCs w:val="21"/>
                <w:highlight w:val="none"/>
              </w:rPr>
              <w:t>处理</w:t>
            </w:r>
          </w:p>
        </w:tc>
        <w:tc>
          <w:tcPr>
            <w:tcW w:w="179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处置率100%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6" w:type="pct"/>
            <w:gridSpan w:val="2"/>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生态恢复</w:t>
            </w:r>
          </w:p>
        </w:tc>
        <w:tc>
          <w:tcPr>
            <w:tcW w:w="2169" w:type="pct"/>
            <w:vAlign w:val="center"/>
          </w:tcPr>
          <w:p>
            <w:pPr>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表土留存，对占地覆土平整，不改变原有地势，并按照相关要求办理土地占用手续，施工结束后恢复临时占用的耕地</w:t>
            </w:r>
            <w:r>
              <w:rPr>
                <w:rFonts w:hint="eastAsia" w:ascii="Times New Roman" w:hAnsi="Times New Roman" w:cs="Times New Roman" w:eastAsiaTheme="minorEastAsia"/>
                <w:color w:val="auto"/>
                <w:w w:val="99"/>
                <w:kern w:val="2"/>
                <w:sz w:val="21"/>
                <w:szCs w:val="21"/>
                <w:highlight w:val="none"/>
                <w:lang w:val="en-US" w:eastAsia="zh-CN"/>
              </w:rPr>
              <w:t>22.88</w:t>
            </w:r>
            <w:r>
              <w:rPr>
                <w:rFonts w:hint="eastAsia" w:ascii="Times New Roman" w:hAnsi="Times New Roman" w:cs="Times New Roman" w:eastAsiaTheme="minorEastAsia"/>
                <w:color w:val="auto"/>
                <w:w w:val="99"/>
                <w:kern w:val="2"/>
                <w:sz w:val="21"/>
                <w:szCs w:val="21"/>
                <w:highlight w:val="none"/>
              </w:rPr>
              <w:t>hm</w:t>
            </w:r>
            <w:r>
              <w:rPr>
                <w:rFonts w:hint="eastAsia" w:ascii="Times New Roman" w:hAnsi="Times New Roman" w:cs="Times New Roman" w:eastAsiaTheme="minorEastAsia"/>
                <w:color w:val="auto"/>
                <w:w w:val="99"/>
                <w:kern w:val="2"/>
                <w:sz w:val="21"/>
                <w:szCs w:val="21"/>
                <w:highlight w:val="none"/>
                <w:vertAlign w:val="superscript"/>
              </w:rPr>
              <w:t>2</w:t>
            </w:r>
            <w:r>
              <w:rPr>
                <w:rFonts w:ascii="Times New Roman" w:hAnsi="Times New Roman" w:cs="Times New Roman" w:eastAsiaTheme="minorEastAsia"/>
                <w:color w:val="auto"/>
                <w:w w:val="99"/>
                <w:kern w:val="2"/>
                <w:sz w:val="21"/>
                <w:szCs w:val="21"/>
                <w:highlight w:val="none"/>
              </w:rPr>
              <w:t>，</w:t>
            </w:r>
          </w:p>
        </w:tc>
        <w:tc>
          <w:tcPr>
            <w:tcW w:w="1793" w:type="pct"/>
            <w:vAlign w:val="center"/>
          </w:tcPr>
          <w:p>
            <w:pPr>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对临时占地进行植被恢复；保留项目施工前后地貌及对临时占地进行生态恢复的图片作为工程环境保护验收和日常管理的依据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6" w:type="pct"/>
            <w:gridSpan w:val="2"/>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防沙治沙</w:t>
            </w:r>
          </w:p>
        </w:tc>
        <w:tc>
          <w:tcPr>
            <w:tcW w:w="2169" w:type="pct"/>
            <w:vAlign w:val="center"/>
          </w:tcPr>
          <w:p>
            <w:pPr>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结束后及时有效地对占地区域土地进行平整，利于植被自然恢复；划定施工活动范围，严格控制和管理车辆及重型机械的运行范围，所有车辆采用“一”字型作业法，避免并行开辟新路，以减少风蚀沙化活动的范围。</w:t>
            </w:r>
          </w:p>
        </w:tc>
        <w:tc>
          <w:tcPr>
            <w:tcW w:w="1793" w:type="pct"/>
            <w:vAlign w:val="center"/>
          </w:tcPr>
          <w:p>
            <w:pPr>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施工区域土地平整并恢复植被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6" w:type="pct"/>
            <w:gridSpan w:val="2"/>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水土保持</w:t>
            </w:r>
          </w:p>
        </w:tc>
        <w:tc>
          <w:tcPr>
            <w:tcW w:w="2169" w:type="pct"/>
            <w:vAlign w:val="center"/>
          </w:tcPr>
          <w:p>
            <w:pPr>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井场予以平整、压实，以免发生水土流失；严格控制施工车辆、机械及施工人员活动范围；做好原有植被恢复工作</w:t>
            </w:r>
            <w:r>
              <w:rPr>
                <w:rFonts w:ascii="Times New Roman" w:hAnsi="Times New Roman" w:cs="Times New Roman" w:eastAsiaTheme="minorEastAsia"/>
                <w:color w:val="auto"/>
                <w:w w:val="99"/>
                <w:kern w:val="2"/>
                <w:sz w:val="21"/>
                <w:szCs w:val="21"/>
                <w:highlight w:val="none"/>
              </w:rPr>
              <w:t>。</w:t>
            </w:r>
          </w:p>
        </w:tc>
        <w:tc>
          <w:tcPr>
            <w:tcW w:w="1793" w:type="pct"/>
            <w:vAlign w:val="center"/>
          </w:tcPr>
          <w:p>
            <w:pPr>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植被恢复、耕地复垦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6" w:type="pct"/>
            <w:gridSpan w:val="2"/>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环境</w:t>
            </w:r>
            <w:r>
              <w:rPr>
                <w:rFonts w:ascii="Times New Roman" w:hAnsi="Times New Roman" w:cs="Times New Roman" w:eastAsiaTheme="minorEastAsia"/>
                <w:color w:val="auto"/>
                <w:w w:val="99"/>
                <w:kern w:val="2"/>
                <w:sz w:val="21"/>
                <w:szCs w:val="21"/>
                <w:highlight w:val="none"/>
              </w:rPr>
              <w:t>风险</w:t>
            </w:r>
          </w:p>
        </w:tc>
        <w:tc>
          <w:tcPr>
            <w:tcW w:w="2169" w:type="pct"/>
            <w:vAlign w:val="center"/>
          </w:tcPr>
          <w:p>
            <w:pPr>
              <w:spacing w:line="32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每座施工井场泥浆泵、泥浆槽、钻机底座、井控远程控制台，砂泵坑等处设置铁质围堰，上铺防渗布，围堰高度为0.1m；柴油储罐设0.4m高围堰；施工井场周围设置截水沟（</w:t>
            </w:r>
            <w:r>
              <w:rPr>
                <w:rFonts w:hint="eastAsia" w:ascii="Times New Roman" w:hAnsi="Times New Roman" w:cs="Times New Roman" w:eastAsiaTheme="minorEastAsia"/>
                <w:bCs/>
                <w:color w:val="auto"/>
                <w:w w:val="99"/>
                <w:kern w:val="2"/>
                <w:sz w:val="21"/>
                <w:szCs w:val="21"/>
                <w:highlight w:val="none"/>
              </w:rPr>
              <w:t>单井长140m×宽0.5m×深0.5m</w:t>
            </w:r>
            <w:r>
              <w:rPr>
                <w:rFonts w:ascii="Times New Roman" w:hAnsi="Times New Roman" w:cs="Times New Roman" w:eastAsiaTheme="minorEastAsia"/>
                <w:bCs/>
                <w:color w:val="auto"/>
                <w:w w:val="99"/>
                <w:kern w:val="2"/>
                <w:sz w:val="21"/>
                <w:szCs w:val="21"/>
                <w:highlight w:val="none"/>
              </w:rPr>
              <w:t>）。</w:t>
            </w:r>
          </w:p>
        </w:tc>
        <w:tc>
          <w:tcPr>
            <w:tcW w:w="1793" w:type="pct"/>
            <w:vAlign w:val="center"/>
          </w:tcPr>
          <w:p>
            <w:pPr>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防止钻井废水溢流污染周边地表水体</w:t>
            </w:r>
          </w:p>
        </w:tc>
      </w:tr>
    </w:tbl>
    <w:p>
      <w:pPr>
        <w:pStyle w:val="134"/>
        <w:widowControl w:val="0"/>
        <w:tabs>
          <w:tab w:val="left" w:pos="2683"/>
        </w:tabs>
        <w:spacing w:line="500" w:lineRule="exact"/>
        <w:ind w:left="0" w:firstLine="476" w:firstLineChars="200"/>
        <w:jc w:val="both"/>
        <w:rPr>
          <w:rFonts w:ascii="Times New Roman" w:hAnsi="Times New Roman" w:cs="Times New Roman" w:eastAsiaTheme="minorEastAsia"/>
          <w:b/>
          <w:bCs/>
          <w:color w:val="auto"/>
          <w:spacing w:val="-3"/>
          <w:w w:val="99"/>
          <w:szCs w:val="21"/>
          <w:highlight w:val="none"/>
          <w:lang w:val="en-US"/>
        </w:rPr>
      </w:pPr>
      <w:r>
        <w:rPr>
          <w:rFonts w:ascii="Times New Roman" w:hAnsi="Times New Roman" w:cs="Times New Roman" w:eastAsiaTheme="minorEastAsia"/>
          <w:b/>
          <w:bCs/>
          <w:color w:val="auto"/>
          <w:w w:val="99"/>
          <w:kern w:val="21"/>
          <w:szCs w:val="20"/>
          <w:highlight w:val="none"/>
        </w:rPr>
        <w:t>表6.9-2</w:t>
      </w:r>
      <w:r>
        <w:rPr>
          <w:rFonts w:ascii="Times New Roman" w:hAnsi="Times New Roman" w:cs="Times New Roman" w:eastAsiaTheme="minorEastAsia"/>
          <w:b/>
          <w:bCs/>
          <w:color w:val="auto"/>
          <w:spacing w:val="-3"/>
          <w:w w:val="99"/>
          <w:szCs w:val="21"/>
          <w:highlight w:val="none"/>
          <w:lang w:val="en-US"/>
        </w:rPr>
        <w:t xml:space="preserve">              竣工验收监测与调查主要内容</w:t>
      </w:r>
    </w:p>
    <w:tbl>
      <w:tblPr>
        <w:tblStyle w:val="8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7"/>
        <w:gridCol w:w="76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项目</w:t>
            </w:r>
          </w:p>
        </w:tc>
        <w:tc>
          <w:tcPr>
            <w:tcW w:w="414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pct"/>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环境保护管理检查</w:t>
            </w:r>
          </w:p>
        </w:tc>
        <w:tc>
          <w:tcPr>
            <w:tcW w:w="414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项目各阶段环境保护法律、法规、规章制度的执行情况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pct"/>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414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环境保护审批手续及环境保护归档资料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pct"/>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414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环保组织机构及规章管理制度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pct"/>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414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环保设施建成及运行情况，</w:t>
            </w:r>
            <w:r>
              <w:rPr>
                <w:rFonts w:hint="eastAsia" w:ascii="Times New Roman" w:hAnsi="Times New Roman" w:cs="Times New Roman" w:eastAsiaTheme="minorEastAsia"/>
                <w:color w:val="auto"/>
                <w:w w:val="99"/>
                <w:kern w:val="2"/>
                <w:sz w:val="21"/>
                <w:szCs w:val="21"/>
                <w:highlight w:val="none"/>
              </w:rPr>
              <w:t>临时</w:t>
            </w:r>
            <w:r>
              <w:rPr>
                <w:rFonts w:ascii="Times New Roman" w:hAnsi="Times New Roman" w:cs="Times New Roman" w:eastAsiaTheme="minorEastAsia"/>
                <w:color w:val="auto"/>
                <w:w w:val="99"/>
                <w:kern w:val="2"/>
                <w:sz w:val="21"/>
                <w:szCs w:val="21"/>
                <w:highlight w:val="none"/>
              </w:rPr>
              <w:t>占地生态恢复、</w:t>
            </w:r>
            <w:r>
              <w:rPr>
                <w:rFonts w:hint="eastAsia" w:ascii="Times New Roman" w:hAnsi="Times New Roman" w:cs="Times New Roman" w:eastAsiaTheme="minorEastAsia"/>
                <w:color w:val="auto"/>
                <w:w w:val="99"/>
                <w:kern w:val="2"/>
                <w:sz w:val="21"/>
                <w:szCs w:val="21"/>
                <w:highlight w:val="none"/>
              </w:rPr>
              <w:t>永久</w:t>
            </w:r>
            <w:r>
              <w:rPr>
                <w:rFonts w:ascii="Times New Roman" w:hAnsi="Times New Roman" w:cs="Times New Roman" w:eastAsiaTheme="minorEastAsia"/>
                <w:color w:val="auto"/>
                <w:w w:val="99"/>
                <w:kern w:val="2"/>
                <w:sz w:val="21"/>
                <w:szCs w:val="21"/>
                <w:highlight w:val="none"/>
              </w:rPr>
              <w:t>占地补偿等措施的落实情况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pct"/>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414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本项目事故风险的环保应急计划，包括物资配备、防范措施，应急处置等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pct"/>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414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施工期扰民现象的调查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pct"/>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414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固体废物种类、产生量、处理处置情况、综合利用情况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环境保护敏感点环境质量监测</w:t>
            </w:r>
          </w:p>
        </w:tc>
        <w:tc>
          <w:tcPr>
            <w:tcW w:w="414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油田开发区内的环境空气、地下水、土壤及生态环境质量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pct"/>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生态调查主要内容</w:t>
            </w:r>
          </w:p>
        </w:tc>
        <w:tc>
          <w:tcPr>
            <w:tcW w:w="414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项目在施工落实环境影响评价、工程设计文件以及各级环境保护行政主管部门批复文件中生态保护措施的情况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pct"/>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414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耕地复耕、耕地异地补偿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pct"/>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414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针对环境破坏或潜在环境影响提出不就措施的落实情况</w:t>
            </w:r>
          </w:p>
        </w:tc>
      </w:tr>
    </w:tbl>
    <w:p>
      <w:pPr>
        <w:rPr>
          <w:rFonts w:ascii="Times New Roman" w:hAnsi="Times New Roman" w:cs="Times New Roman" w:eastAsiaTheme="minorEastAsia"/>
          <w:color w:val="auto"/>
          <w:w w:val="99"/>
          <w:highlight w:val="none"/>
        </w:rPr>
      </w:pPr>
      <w:bookmarkStart w:id="1366" w:name="_Toc480447677"/>
      <w:bookmarkStart w:id="1367" w:name="_Toc502736528"/>
    </w:p>
    <w:p>
      <w:pPr>
        <w:rPr>
          <w:rFonts w:ascii="Times New Roman" w:hAnsi="Times New Roman" w:cs="Times New Roman" w:eastAsiaTheme="minorEastAsia"/>
          <w:color w:val="auto"/>
          <w:w w:val="99"/>
          <w:highlight w:val="none"/>
        </w:rPr>
      </w:pPr>
    </w:p>
    <w:p>
      <w:pPr>
        <w:pStyle w:val="4"/>
        <w:widowControl w:val="0"/>
        <w:spacing w:line="500" w:lineRule="exact"/>
        <w:jc w:val="both"/>
        <w:rPr>
          <w:rFonts w:ascii="Times New Roman" w:hAnsi="Times New Roman"/>
          <w:b/>
          <w:snapToGrid w:val="0"/>
          <w:color w:val="auto"/>
          <w:w w:val="99"/>
          <w:sz w:val="30"/>
          <w:szCs w:val="30"/>
          <w:highlight w:val="none"/>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26" w:charSpace="0"/>
        </w:sectPr>
      </w:pPr>
      <w:bookmarkStart w:id="1368" w:name="_Toc80105279"/>
    </w:p>
    <w:p>
      <w:pPr>
        <w:pStyle w:val="4"/>
        <w:widowControl w:val="0"/>
        <w:spacing w:line="500" w:lineRule="exact"/>
        <w:jc w:val="both"/>
        <w:rPr>
          <w:rFonts w:ascii="Times New Roman" w:hAnsi="Times New Roman"/>
          <w:b/>
          <w:snapToGrid w:val="0"/>
          <w:color w:val="auto"/>
          <w:w w:val="99"/>
          <w:sz w:val="30"/>
          <w:szCs w:val="30"/>
          <w:highlight w:val="none"/>
        </w:rPr>
      </w:pPr>
      <w:r>
        <w:rPr>
          <w:rFonts w:ascii="Times New Roman" w:hAnsi="Times New Roman"/>
          <w:b/>
          <w:snapToGrid w:val="0"/>
          <w:color w:val="auto"/>
          <w:w w:val="99"/>
          <w:sz w:val="30"/>
          <w:szCs w:val="30"/>
          <w:highlight w:val="none"/>
        </w:rPr>
        <w:t>7环境影响经济损益分析</w:t>
      </w:r>
      <w:bookmarkEnd w:id="1366"/>
      <w:bookmarkEnd w:id="1367"/>
      <w:bookmarkEnd w:id="1368"/>
    </w:p>
    <w:p>
      <w:pPr>
        <w:pStyle w:val="32"/>
        <w:widowControl w:val="0"/>
        <w:spacing w:line="500" w:lineRule="exact"/>
        <w:ind w:firstLine="446" w:firstLineChars="200"/>
        <w:jc w:val="both"/>
        <w:rPr>
          <w:rFonts w:ascii="Times New Roman" w:hAnsi="Times New Roman" w:eastAsiaTheme="minorEastAsia"/>
          <w:color w:val="auto"/>
          <w:spacing w:val="-7"/>
          <w:w w:val="99"/>
          <w:highlight w:val="none"/>
        </w:rPr>
      </w:pPr>
      <w:r>
        <w:rPr>
          <w:rFonts w:ascii="Times New Roman" w:hAnsi="Times New Roman" w:eastAsiaTheme="minorEastAsia"/>
          <w:color w:val="auto"/>
          <w:spacing w:val="-7"/>
          <w:w w:val="99"/>
          <w:szCs w:val="24"/>
          <w:highlight w:val="none"/>
        </w:rPr>
        <w:t>油田项目的开发建设，除对所在区域的经济发展起着促进作用外，</w:t>
      </w:r>
      <w:r>
        <w:rPr>
          <w:rFonts w:ascii="Times New Roman" w:hAnsi="Times New Roman" w:eastAsiaTheme="minorEastAsia"/>
          <w:color w:val="auto"/>
          <w:w w:val="99"/>
          <w:szCs w:val="24"/>
          <w:highlight w:val="none"/>
        </w:rPr>
        <w:t>也在一定程度上影响着项目拟建地区环境的变化。本评价将通过对拟建项</w:t>
      </w:r>
      <w:r>
        <w:rPr>
          <w:rFonts w:ascii="Times New Roman" w:hAnsi="Times New Roman" w:eastAsiaTheme="minorEastAsia"/>
          <w:color w:val="auto"/>
          <w:spacing w:val="-3"/>
          <w:w w:val="99"/>
          <w:szCs w:val="24"/>
          <w:highlight w:val="none"/>
        </w:rPr>
        <w:t>目的经济和环境效益分析，对项目建设的合理性进行分析。</w:t>
      </w:r>
    </w:p>
    <w:p>
      <w:pPr>
        <w:pStyle w:val="5"/>
        <w:keepNext w:val="0"/>
        <w:keepLines w:val="0"/>
        <w:widowControl w:val="0"/>
        <w:jc w:val="both"/>
        <w:rPr>
          <w:rFonts w:ascii="Times New Roman" w:hAnsi="Times New Roman"/>
          <w:b/>
          <w:snapToGrid w:val="0"/>
          <w:color w:val="auto"/>
          <w:w w:val="99"/>
          <w:highlight w:val="none"/>
        </w:rPr>
      </w:pPr>
      <w:bookmarkStart w:id="1369" w:name="_bookmark45"/>
      <w:bookmarkEnd w:id="1369"/>
      <w:bookmarkStart w:id="1370" w:name="_Toc80105280"/>
      <w:r>
        <w:rPr>
          <w:rFonts w:ascii="Times New Roman" w:hAnsi="Times New Roman"/>
          <w:b/>
          <w:snapToGrid w:val="0"/>
          <w:color w:val="auto"/>
          <w:w w:val="99"/>
          <w:highlight w:val="none"/>
        </w:rPr>
        <w:t>7.1 环境损失费估算</w:t>
      </w:r>
      <w:bookmarkEnd w:id="1370"/>
    </w:p>
    <w:p>
      <w:pPr>
        <w:pStyle w:val="32"/>
        <w:widowControl w:val="0"/>
        <w:spacing w:line="500" w:lineRule="exac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本项目开发过程中，由于井场建设，需要占用一定面积土地，而且由此产生的污染物对周围环境也会造成一定污染，因此引起的环境损失费往往很难直接用经济价值来计算，因此，我们仅用植被损失费和资源损失费来估算。</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highlight w:val="none"/>
        </w:rPr>
        <w:t>本项目损失主要为耕地的损失，</w:t>
      </w:r>
      <w:r>
        <w:rPr>
          <w:rFonts w:ascii="Times New Roman" w:hAnsi="Times New Roman" w:cs="Times New Roman" w:eastAsiaTheme="minorEastAsia"/>
          <w:color w:val="auto"/>
          <w:w w:val="99"/>
          <w:kern w:val="2"/>
          <w:szCs w:val="28"/>
          <w:highlight w:val="none"/>
        </w:rPr>
        <w:t>本工程永久占用</w:t>
      </w:r>
      <w:r>
        <w:rPr>
          <w:rFonts w:ascii="Times New Roman" w:hAnsi="Times New Roman" w:cs="Times New Roman" w:eastAsiaTheme="minorEastAsia"/>
          <w:color w:val="auto"/>
          <w:w w:val="99"/>
          <w:kern w:val="2"/>
          <w:highlight w:val="none"/>
        </w:rPr>
        <w:t>耕地</w:t>
      </w:r>
      <w:r>
        <w:rPr>
          <w:rFonts w:hint="eastAsia" w:ascii="Times New Roman" w:hAnsi="Times New Roman" w:cs="Times New Roman" w:eastAsiaTheme="minorEastAsia"/>
          <w:color w:val="auto"/>
          <w:w w:val="99"/>
          <w:kern w:val="2"/>
          <w:highlight w:val="none"/>
          <w:lang w:val="en-US" w:eastAsia="zh-CN"/>
        </w:rPr>
        <w:t>6.16</w:t>
      </w:r>
      <w:r>
        <w:rPr>
          <w:rFonts w:ascii="Times New Roman" w:hAnsi="Times New Roman" w:cs="Times New Roman" w:eastAsiaTheme="minorEastAsia"/>
          <w:color w:val="auto"/>
          <w:w w:val="99"/>
          <w:kern w:val="2"/>
          <w:szCs w:val="28"/>
          <w:highlight w:val="none"/>
        </w:rPr>
        <w:t>hm</w:t>
      </w:r>
      <w:r>
        <w:rPr>
          <w:rFonts w:ascii="Times New Roman" w:hAnsi="Times New Roman" w:cs="Times New Roman" w:eastAsiaTheme="minorEastAsia"/>
          <w:color w:val="auto"/>
          <w:w w:val="99"/>
          <w:kern w:val="2"/>
          <w:szCs w:val="28"/>
          <w:highlight w:val="none"/>
          <w:vertAlign w:val="superscript"/>
        </w:rPr>
        <w:t>2</w:t>
      </w:r>
      <w:r>
        <w:rPr>
          <w:rFonts w:ascii="Times New Roman" w:hAnsi="Times New Roman" w:cs="Times New Roman" w:eastAsiaTheme="minorEastAsia"/>
          <w:color w:val="auto"/>
          <w:w w:val="99"/>
          <w:kern w:val="2"/>
          <w:szCs w:val="28"/>
          <w:highlight w:val="none"/>
        </w:rPr>
        <w:t>；</w:t>
      </w:r>
      <w:r>
        <w:rPr>
          <w:rFonts w:hint="eastAsia" w:ascii="Times New Roman" w:hAnsi="Times New Roman" w:cs="Times New Roman" w:eastAsiaTheme="minorEastAsia"/>
          <w:color w:val="auto"/>
          <w:w w:val="99"/>
          <w:kern w:val="2"/>
          <w:szCs w:val="28"/>
          <w:highlight w:val="none"/>
        </w:rPr>
        <w:t>临时</w:t>
      </w:r>
      <w:r>
        <w:rPr>
          <w:rFonts w:ascii="Times New Roman" w:hAnsi="Times New Roman" w:cs="Times New Roman" w:eastAsiaTheme="minorEastAsia"/>
          <w:color w:val="auto"/>
          <w:w w:val="99"/>
          <w:kern w:val="2"/>
          <w:szCs w:val="28"/>
          <w:highlight w:val="none"/>
        </w:rPr>
        <w:t>占用耕地</w:t>
      </w:r>
      <w:r>
        <w:rPr>
          <w:rFonts w:hint="eastAsia" w:ascii="Times New Roman" w:hAnsi="Times New Roman" w:cs="Times New Roman" w:eastAsiaTheme="minorEastAsia"/>
          <w:color w:val="auto"/>
          <w:w w:val="99"/>
          <w:kern w:val="2"/>
          <w:szCs w:val="28"/>
          <w:highlight w:val="none"/>
          <w:lang w:val="en-US" w:eastAsia="zh-CN"/>
        </w:rPr>
        <w:t>22.88</w:t>
      </w:r>
      <w:r>
        <w:rPr>
          <w:rFonts w:ascii="Times New Roman" w:hAnsi="Times New Roman" w:cs="Times New Roman" w:eastAsiaTheme="minorEastAsia"/>
          <w:color w:val="auto"/>
          <w:w w:val="99"/>
          <w:kern w:val="2"/>
          <w:szCs w:val="28"/>
          <w:highlight w:val="none"/>
        </w:rPr>
        <w:t>hm</w:t>
      </w:r>
      <w:r>
        <w:rPr>
          <w:rFonts w:ascii="Times New Roman" w:hAnsi="Times New Roman" w:cs="Times New Roman" w:eastAsiaTheme="minorEastAsia"/>
          <w:color w:val="auto"/>
          <w:w w:val="99"/>
          <w:kern w:val="2"/>
          <w:szCs w:val="28"/>
          <w:highlight w:val="none"/>
          <w:vertAlign w:val="superscript"/>
        </w:rPr>
        <w:t>2</w:t>
      </w:r>
      <w:r>
        <w:rPr>
          <w:rFonts w:hint="eastAsia" w:ascii="Times New Roman" w:hAnsi="Times New Roman" w:cs="Times New Roman" w:eastAsiaTheme="minorEastAsia"/>
          <w:color w:val="auto"/>
          <w:w w:val="99"/>
          <w:kern w:val="2"/>
          <w:szCs w:val="28"/>
          <w:highlight w:val="none"/>
        </w:rPr>
        <w:t>。耕地农作物</w:t>
      </w:r>
      <w:r>
        <w:rPr>
          <w:rFonts w:ascii="Times New Roman" w:hAnsi="Times New Roman" w:cs="Times New Roman" w:eastAsiaTheme="minorEastAsia"/>
          <w:color w:val="auto"/>
          <w:w w:val="99"/>
          <w:kern w:val="2"/>
          <w:szCs w:val="28"/>
          <w:highlight w:val="none"/>
        </w:rPr>
        <w:t>主要为玉米</w:t>
      </w:r>
      <w:r>
        <w:rPr>
          <w:rFonts w:hint="eastAsia" w:ascii="Times New Roman" w:hAnsi="Times New Roman" w:cs="Times New Roman" w:eastAsiaTheme="minorEastAsia"/>
          <w:color w:val="auto"/>
          <w:w w:val="99"/>
          <w:kern w:val="2"/>
          <w:szCs w:val="28"/>
          <w:highlight w:val="none"/>
        </w:rPr>
        <w:t>，</w:t>
      </w:r>
      <w:r>
        <w:rPr>
          <w:rFonts w:ascii="Times New Roman" w:hAnsi="Times New Roman" w:cs="Times New Roman" w:eastAsiaTheme="minorEastAsia"/>
          <w:color w:val="auto"/>
          <w:w w:val="99"/>
          <w:kern w:val="2"/>
          <w:szCs w:val="28"/>
          <w:highlight w:val="none"/>
        </w:rPr>
        <w:t>为大田作物。</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hint="eastAsia" w:ascii="Times New Roman" w:hAnsi="Times New Roman" w:eastAsiaTheme="minorEastAsia"/>
          <w:color w:val="auto"/>
          <w:w w:val="99"/>
          <w:highlight w:val="none"/>
        </w:rPr>
        <w:t>根据《大庆市人民政府关于印发大庆市征地青苗补偿费标准的通知》（庆政规〔</w:t>
      </w:r>
      <w:r>
        <w:rPr>
          <w:rFonts w:ascii="Times New Roman" w:hAnsi="Times New Roman" w:eastAsiaTheme="minorEastAsia"/>
          <w:color w:val="auto"/>
          <w:w w:val="99"/>
          <w:highlight w:val="none"/>
        </w:rPr>
        <w:t>2021〕1号</w:t>
      </w:r>
      <w:r>
        <w:rPr>
          <w:rFonts w:hint="eastAsia" w:ascii="Times New Roman" w:hAnsi="Times New Roman" w:eastAsiaTheme="minorEastAsia"/>
          <w:color w:val="auto"/>
          <w:w w:val="99"/>
          <w:highlight w:val="none"/>
        </w:rPr>
        <w:t>），大田作物</w:t>
      </w:r>
      <w:r>
        <w:rPr>
          <w:rFonts w:ascii="Times New Roman" w:hAnsi="Times New Roman" w:eastAsiaTheme="minorEastAsia"/>
          <w:color w:val="auto"/>
          <w:w w:val="99"/>
          <w:highlight w:val="none"/>
        </w:rPr>
        <w:t>的青苗补偿标准为</w:t>
      </w:r>
      <w:r>
        <w:rPr>
          <w:rFonts w:hint="eastAsia" w:ascii="Times New Roman" w:hAnsi="Times New Roman" w:eastAsiaTheme="minorEastAsia"/>
          <w:color w:val="auto"/>
          <w:w w:val="99"/>
          <w:highlight w:val="none"/>
        </w:rPr>
        <w:t>2.10元/</w:t>
      </w:r>
      <w:r>
        <w:rPr>
          <w:rFonts w:ascii="Times New Roman" w:hAnsi="Times New Roman" w:eastAsiaTheme="minorEastAsia"/>
          <w:color w:val="auto"/>
          <w:w w:val="99"/>
          <w:highlight w:val="none"/>
        </w:rPr>
        <w:t>m</w:t>
      </w:r>
      <w:r>
        <w:rPr>
          <w:rFonts w:ascii="Times New Roman" w:hAnsi="Times New Roman" w:eastAsiaTheme="minorEastAsia"/>
          <w:color w:val="auto"/>
          <w:w w:val="99"/>
          <w:highlight w:val="none"/>
          <w:vertAlign w:val="superscript"/>
        </w:rPr>
        <w:t>2</w:t>
      </w:r>
      <w:r>
        <w:rPr>
          <w:rFonts w:hint="eastAsia" w:ascii="Times New Roman" w:hAnsi="Times New Roman" w:eastAsiaTheme="minorEastAsia"/>
          <w:color w:val="auto"/>
          <w:w w:val="99"/>
          <w:highlight w:val="none"/>
        </w:rPr>
        <w:t>。永久</w:t>
      </w:r>
      <w:r>
        <w:rPr>
          <w:rFonts w:ascii="Times New Roman" w:hAnsi="Times New Roman" w:eastAsiaTheme="minorEastAsia"/>
          <w:color w:val="auto"/>
          <w:w w:val="99"/>
          <w:highlight w:val="none"/>
        </w:rPr>
        <w:t>占地</w:t>
      </w:r>
      <w:r>
        <w:rPr>
          <w:rFonts w:hint="eastAsia" w:ascii="Times New Roman" w:hAnsi="Times New Roman" w:eastAsiaTheme="minorEastAsia"/>
          <w:color w:val="auto"/>
          <w:w w:val="99"/>
          <w:highlight w:val="none"/>
        </w:rPr>
        <w:t>损失</w:t>
      </w:r>
      <w:r>
        <w:rPr>
          <w:rFonts w:ascii="Times New Roman" w:hAnsi="Times New Roman" w:eastAsiaTheme="minorEastAsia"/>
          <w:color w:val="auto"/>
          <w:w w:val="99"/>
          <w:highlight w:val="none"/>
        </w:rPr>
        <w:t>按照</w:t>
      </w:r>
      <w:r>
        <w:rPr>
          <w:rFonts w:hint="eastAsia" w:ascii="Times New Roman" w:hAnsi="Times New Roman" w:eastAsiaTheme="minorEastAsia"/>
          <w:color w:val="auto"/>
          <w:w w:val="99"/>
          <w:highlight w:val="none"/>
        </w:rPr>
        <w:t>10年计</w:t>
      </w:r>
      <w:r>
        <w:rPr>
          <w:rFonts w:ascii="Times New Roman" w:hAnsi="Times New Roman" w:eastAsiaTheme="minorEastAsia"/>
          <w:color w:val="auto"/>
          <w:w w:val="99"/>
          <w:highlight w:val="none"/>
        </w:rPr>
        <w:t>算，</w:t>
      </w:r>
      <w:r>
        <w:rPr>
          <w:rFonts w:ascii="Times New Roman" w:hAnsi="Times New Roman" w:cs="Times New Roman" w:eastAsiaTheme="minorEastAsia"/>
          <w:color w:val="auto"/>
          <w:w w:val="99"/>
          <w:kern w:val="2"/>
          <w:szCs w:val="20"/>
          <w:highlight w:val="none"/>
        </w:rPr>
        <w:t>施工期结束后对临时占地进行复垦，</w:t>
      </w:r>
      <w:r>
        <w:rPr>
          <w:rFonts w:ascii="Times New Roman" w:hAnsi="Times New Roman" w:cs="Times New Roman" w:eastAsiaTheme="minorEastAsia"/>
          <w:color w:val="auto"/>
          <w:w w:val="99"/>
          <w:highlight w:val="none"/>
        </w:rPr>
        <w:t>复垦地由于土壤自然结构的破坏造成的土壤板结、透气性差、肥力下降，可能对农作物的生产产生影响，这种影响预计2～3a可逐渐减弱，并且随着时间的推移最终使农作物恢复到原来的产量</w:t>
      </w:r>
      <w:r>
        <w:rPr>
          <w:rFonts w:hint="eastAsia" w:ascii="Times New Roman" w:hAnsi="Times New Roman" w:cs="Times New Roman" w:eastAsiaTheme="minorEastAsia"/>
          <w:color w:val="auto"/>
          <w:w w:val="99"/>
          <w:highlight w:val="none"/>
        </w:rPr>
        <w:t>，</w:t>
      </w:r>
      <w:r>
        <w:rPr>
          <w:rFonts w:ascii="Times New Roman" w:hAnsi="Times New Roman" w:cs="Times New Roman" w:eastAsiaTheme="minorEastAsia"/>
          <w:color w:val="auto"/>
          <w:w w:val="99"/>
          <w:kern w:val="2"/>
          <w:szCs w:val="20"/>
          <w:highlight w:val="none"/>
        </w:rPr>
        <w:t>农田在2～3年可恢复生产力，本项目临时</w:t>
      </w:r>
      <w:r>
        <w:rPr>
          <w:rFonts w:hint="eastAsia" w:ascii="Times New Roman" w:hAnsi="Times New Roman" w:cs="Times New Roman" w:eastAsiaTheme="minorEastAsia"/>
          <w:color w:val="auto"/>
          <w:w w:val="99"/>
          <w:kern w:val="2"/>
          <w:szCs w:val="20"/>
          <w:highlight w:val="none"/>
        </w:rPr>
        <w:t>占地损失</w:t>
      </w:r>
      <w:r>
        <w:rPr>
          <w:rFonts w:ascii="Times New Roman" w:hAnsi="Times New Roman" w:cs="Times New Roman" w:eastAsiaTheme="minorEastAsia"/>
          <w:color w:val="auto"/>
          <w:w w:val="99"/>
          <w:kern w:val="2"/>
          <w:szCs w:val="20"/>
          <w:highlight w:val="none"/>
        </w:rPr>
        <w:t>按照按3年</w:t>
      </w:r>
      <w:r>
        <w:rPr>
          <w:rFonts w:hint="eastAsia" w:ascii="Times New Roman" w:hAnsi="Times New Roman" w:cs="Times New Roman" w:eastAsiaTheme="minorEastAsia"/>
          <w:color w:val="auto"/>
          <w:w w:val="99"/>
          <w:kern w:val="2"/>
          <w:szCs w:val="20"/>
          <w:highlight w:val="none"/>
        </w:rPr>
        <w:t>计算，本项目</w:t>
      </w:r>
      <w:r>
        <w:rPr>
          <w:rFonts w:ascii="Times New Roman" w:hAnsi="Times New Roman" w:cs="Times New Roman" w:eastAsiaTheme="minorEastAsia"/>
          <w:color w:val="auto"/>
          <w:w w:val="99"/>
          <w:kern w:val="2"/>
          <w:szCs w:val="20"/>
          <w:highlight w:val="none"/>
        </w:rPr>
        <w:t>永久</w:t>
      </w:r>
      <w:r>
        <w:rPr>
          <w:rFonts w:hint="eastAsia" w:ascii="Times New Roman" w:hAnsi="Times New Roman" w:cs="Times New Roman" w:eastAsiaTheme="minorEastAsia"/>
          <w:color w:val="auto"/>
          <w:w w:val="99"/>
          <w:kern w:val="2"/>
          <w:szCs w:val="20"/>
          <w:highlight w:val="none"/>
        </w:rPr>
        <w:t>及</w:t>
      </w:r>
      <w:r>
        <w:rPr>
          <w:rFonts w:ascii="Times New Roman" w:hAnsi="Times New Roman" w:cs="Times New Roman" w:eastAsiaTheme="minorEastAsia"/>
          <w:color w:val="auto"/>
          <w:w w:val="99"/>
          <w:kern w:val="2"/>
          <w:szCs w:val="20"/>
          <w:highlight w:val="none"/>
        </w:rPr>
        <w:t>临时占地补偿</w:t>
      </w:r>
      <w:r>
        <w:rPr>
          <w:rFonts w:hint="eastAsia" w:ascii="Times New Roman" w:hAnsi="Times New Roman" w:cs="Times New Roman" w:eastAsiaTheme="minorEastAsia"/>
          <w:color w:val="auto"/>
          <w:w w:val="99"/>
          <w:kern w:val="2"/>
          <w:szCs w:val="20"/>
          <w:highlight w:val="none"/>
        </w:rPr>
        <w:t>情况</w:t>
      </w:r>
      <w:r>
        <w:rPr>
          <w:rFonts w:ascii="Times New Roman" w:hAnsi="Times New Roman" w:cs="Times New Roman" w:eastAsiaTheme="minorEastAsia"/>
          <w:color w:val="auto"/>
          <w:w w:val="99"/>
          <w:kern w:val="2"/>
          <w:szCs w:val="20"/>
          <w:highlight w:val="none"/>
        </w:rPr>
        <w:t>见</w:t>
      </w:r>
      <w:r>
        <w:rPr>
          <w:rFonts w:ascii="Times New Roman" w:hAnsi="Times New Roman" w:eastAsiaTheme="minorEastAsia"/>
          <w:color w:val="auto"/>
          <w:w w:val="99"/>
          <w:szCs w:val="22"/>
          <w:highlight w:val="none"/>
        </w:rPr>
        <w:t>表7.1-1</w:t>
      </w:r>
      <w:r>
        <w:rPr>
          <w:rFonts w:hint="eastAsia" w:ascii="Times New Roman" w:hAnsi="Times New Roman" w:eastAsiaTheme="minorEastAsia"/>
          <w:color w:val="auto"/>
          <w:w w:val="99"/>
          <w:szCs w:val="22"/>
          <w:highlight w:val="none"/>
        </w:rPr>
        <w:t>。</w:t>
      </w:r>
    </w:p>
    <w:p>
      <w:pPr>
        <w:pStyle w:val="1697"/>
        <w:spacing w:before="0" w:beforeLines="0" w:line="500" w:lineRule="exact"/>
        <w:ind w:firstLine="476" w:firstLineChars="200"/>
        <w:jc w:val="both"/>
        <w:rPr>
          <w:rFonts w:ascii="Times New Roman" w:hAnsi="Times New Roman" w:eastAsiaTheme="minorEastAsia"/>
          <w:b/>
          <w:bCs/>
          <w:color w:val="auto"/>
          <w:w w:val="99"/>
          <w:szCs w:val="22"/>
          <w:highlight w:val="none"/>
        </w:rPr>
      </w:pPr>
      <w:r>
        <w:rPr>
          <w:rFonts w:ascii="Times New Roman" w:hAnsi="Times New Roman" w:eastAsiaTheme="minorEastAsia"/>
          <w:b/>
          <w:bCs/>
          <w:color w:val="auto"/>
          <w:w w:val="99"/>
          <w:szCs w:val="22"/>
          <w:highlight w:val="none"/>
        </w:rPr>
        <w:t>表7.1-1           本项目临时占地损失的农作物统计</w:t>
      </w:r>
    </w:p>
    <w:tbl>
      <w:tblPr>
        <w:tblStyle w:val="8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1063"/>
        <w:gridCol w:w="1305"/>
        <w:gridCol w:w="1305"/>
        <w:gridCol w:w="1715"/>
        <w:gridCol w:w="1585"/>
        <w:gridCol w:w="11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7"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占地</w:t>
            </w:r>
          </w:p>
        </w:tc>
        <w:tc>
          <w:tcPr>
            <w:tcW w:w="57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占地</w:t>
            </w:r>
            <w:r>
              <w:rPr>
                <w:rFonts w:ascii="Times New Roman" w:hAnsi="Times New Roman" w:cs="Times New Roman" w:eastAsiaTheme="minorEastAsia"/>
                <w:color w:val="auto"/>
                <w:w w:val="99"/>
                <w:sz w:val="21"/>
                <w:szCs w:val="21"/>
                <w:highlight w:val="none"/>
                <w:lang w:val="zh-CN"/>
              </w:rPr>
              <w:t>类型</w:t>
            </w:r>
          </w:p>
        </w:tc>
        <w:tc>
          <w:tcPr>
            <w:tcW w:w="702" w:type="pct"/>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占地</w:t>
            </w:r>
            <w:r>
              <w:rPr>
                <w:rFonts w:ascii="Times New Roman" w:hAnsi="Times New Roman" w:cs="Times New Roman" w:eastAsiaTheme="minorEastAsia"/>
                <w:color w:val="auto"/>
                <w:w w:val="99"/>
                <w:sz w:val="21"/>
                <w:szCs w:val="21"/>
                <w:highlight w:val="none"/>
                <w:lang w:val="zh-CN"/>
              </w:rPr>
              <w:t>面积</w:t>
            </w:r>
            <w:r>
              <w:rPr>
                <w:rFonts w:hint="eastAsia" w:ascii="Times New Roman" w:hAnsi="Times New Roman" w:cs="Times New Roman" w:eastAsiaTheme="minorEastAsia"/>
                <w:color w:val="auto"/>
                <w:w w:val="99"/>
                <w:sz w:val="21"/>
                <w:szCs w:val="21"/>
                <w:highlight w:val="none"/>
                <w:lang w:val="zh-CN"/>
              </w:rPr>
              <w:t>（hm</w:t>
            </w:r>
            <w:r>
              <w:rPr>
                <w:rFonts w:ascii="Times New Roman" w:hAnsi="Times New Roman" w:cs="Times New Roman" w:eastAsiaTheme="minorEastAsia"/>
                <w:color w:val="auto"/>
                <w:w w:val="99"/>
                <w:sz w:val="21"/>
                <w:szCs w:val="21"/>
                <w:highlight w:val="none"/>
                <w:vertAlign w:val="superscript"/>
                <w:lang w:val="zh-CN"/>
              </w:rPr>
              <w:t>2</w:t>
            </w:r>
            <w:r>
              <w:rPr>
                <w:rFonts w:hint="eastAsia" w:ascii="Times New Roman" w:hAnsi="Times New Roman" w:cs="Times New Roman" w:eastAsiaTheme="minorEastAsia"/>
                <w:color w:val="auto"/>
                <w:w w:val="99"/>
                <w:sz w:val="21"/>
                <w:szCs w:val="21"/>
                <w:highlight w:val="none"/>
                <w:lang w:val="zh-CN"/>
              </w:rPr>
              <w:t>）</w:t>
            </w:r>
          </w:p>
        </w:tc>
        <w:tc>
          <w:tcPr>
            <w:tcW w:w="70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补偿</w:t>
            </w:r>
            <w:r>
              <w:rPr>
                <w:rFonts w:ascii="Times New Roman" w:hAnsi="Times New Roman" w:cs="Times New Roman" w:eastAsiaTheme="minorEastAsia"/>
                <w:color w:val="auto"/>
                <w:w w:val="99"/>
                <w:sz w:val="21"/>
                <w:szCs w:val="21"/>
                <w:highlight w:val="none"/>
                <w:lang w:val="zh-CN"/>
              </w:rPr>
              <w:t>标准</w:t>
            </w:r>
            <w:r>
              <w:rPr>
                <w:rFonts w:hint="eastAsia" w:ascii="Times New Roman" w:hAnsi="Times New Roman" w:cs="Times New Roman" w:eastAsiaTheme="minorEastAsia"/>
                <w:color w:val="auto"/>
                <w:w w:val="99"/>
                <w:sz w:val="21"/>
                <w:szCs w:val="21"/>
                <w:highlight w:val="none"/>
                <w:lang w:val="zh-CN"/>
              </w:rPr>
              <w:t>（</w:t>
            </w:r>
            <w:r>
              <w:rPr>
                <w:rFonts w:hint="eastAsia" w:ascii="Times New Roman" w:hAnsi="Times New Roman" w:cs="Times New Roman" w:eastAsiaTheme="minorEastAsia"/>
                <w:color w:val="auto"/>
                <w:w w:val="99"/>
                <w:sz w:val="21"/>
                <w:szCs w:val="21"/>
                <w:highlight w:val="none"/>
              </w:rPr>
              <w:t>元/</w:t>
            </w:r>
            <w:r>
              <w:rPr>
                <w:rFonts w:ascii="Times New Roman" w:hAnsi="Times New Roman" w:cs="Times New Roman" w:eastAsiaTheme="minorEastAsia"/>
                <w:color w:val="auto"/>
                <w:w w:val="99"/>
                <w:sz w:val="21"/>
                <w:szCs w:val="21"/>
                <w:highlight w:val="none"/>
              </w:rPr>
              <w:t>m</w:t>
            </w:r>
            <w:r>
              <w:rPr>
                <w:rFonts w:ascii="Times New Roman" w:hAnsi="Times New Roman" w:cs="Times New Roman" w:eastAsiaTheme="minorEastAsia"/>
                <w:color w:val="auto"/>
                <w:w w:val="99"/>
                <w:sz w:val="21"/>
                <w:szCs w:val="21"/>
                <w:highlight w:val="none"/>
                <w:vertAlign w:val="superscript"/>
              </w:rPr>
              <w:t>2</w:t>
            </w:r>
            <w:r>
              <w:rPr>
                <w:rFonts w:hint="eastAsia" w:ascii="Times New Roman" w:hAnsi="Times New Roman" w:cs="Times New Roman" w:eastAsiaTheme="minorEastAsia"/>
                <w:color w:val="auto"/>
                <w:w w:val="99"/>
                <w:sz w:val="21"/>
                <w:szCs w:val="21"/>
                <w:highlight w:val="none"/>
                <w:lang w:val="zh-CN"/>
              </w:rPr>
              <w:t>）</w:t>
            </w:r>
          </w:p>
        </w:tc>
        <w:tc>
          <w:tcPr>
            <w:tcW w:w="923"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补偿年限（年）</w:t>
            </w:r>
          </w:p>
        </w:tc>
        <w:tc>
          <w:tcPr>
            <w:tcW w:w="853"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补偿费用（元）</w:t>
            </w:r>
          </w:p>
        </w:tc>
        <w:tc>
          <w:tcPr>
            <w:tcW w:w="618"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合计（元）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7"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永久</w:t>
            </w:r>
            <w:r>
              <w:rPr>
                <w:rFonts w:ascii="Times New Roman" w:hAnsi="Times New Roman" w:cs="Times New Roman" w:eastAsiaTheme="minorEastAsia"/>
                <w:color w:val="auto"/>
                <w:w w:val="99"/>
                <w:sz w:val="21"/>
                <w:szCs w:val="21"/>
                <w:highlight w:val="none"/>
                <w:lang w:val="zh-CN"/>
              </w:rPr>
              <w:t>占地</w:t>
            </w:r>
          </w:p>
        </w:tc>
        <w:tc>
          <w:tcPr>
            <w:tcW w:w="57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耕地</w:t>
            </w:r>
          </w:p>
        </w:tc>
        <w:tc>
          <w:tcPr>
            <w:tcW w:w="702" w:type="pct"/>
          </w:tcPr>
          <w:p>
            <w:pPr>
              <w:widowControl w:val="0"/>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6.16</w:t>
            </w:r>
          </w:p>
        </w:tc>
        <w:tc>
          <w:tcPr>
            <w:tcW w:w="70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2.10</w:t>
            </w:r>
          </w:p>
        </w:tc>
        <w:tc>
          <w:tcPr>
            <w:tcW w:w="923"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ascii="Times New Roman" w:hAnsi="Times New Roman" w:cs="Times New Roman" w:eastAsiaTheme="minorEastAsia"/>
                <w:color w:val="auto"/>
                <w:w w:val="99"/>
                <w:sz w:val="21"/>
                <w:szCs w:val="21"/>
                <w:highlight w:val="none"/>
                <w:lang w:val="zh-CN"/>
              </w:rPr>
              <w:t>10</w:t>
            </w:r>
          </w:p>
        </w:tc>
        <w:tc>
          <w:tcPr>
            <w:tcW w:w="853"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1293600</w:t>
            </w:r>
          </w:p>
        </w:tc>
        <w:tc>
          <w:tcPr>
            <w:tcW w:w="618" w:type="pct"/>
            <w:vMerge w:val="restar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2735040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7"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临时</w:t>
            </w:r>
            <w:r>
              <w:rPr>
                <w:rFonts w:ascii="Times New Roman" w:hAnsi="Times New Roman" w:cs="Times New Roman" w:eastAsiaTheme="minorEastAsia"/>
                <w:color w:val="auto"/>
                <w:w w:val="99"/>
                <w:sz w:val="21"/>
                <w:szCs w:val="21"/>
                <w:highlight w:val="none"/>
                <w:lang w:val="zh-CN"/>
              </w:rPr>
              <w:t>占地</w:t>
            </w:r>
          </w:p>
        </w:tc>
        <w:tc>
          <w:tcPr>
            <w:tcW w:w="57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耕地</w:t>
            </w:r>
          </w:p>
        </w:tc>
        <w:tc>
          <w:tcPr>
            <w:tcW w:w="702" w:type="pct"/>
          </w:tcPr>
          <w:p>
            <w:pPr>
              <w:widowControl w:val="0"/>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22.88</w:t>
            </w:r>
          </w:p>
        </w:tc>
        <w:tc>
          <w:tcPr>
            <w:tcW w:w="70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2.10</w:t>
            </w:r>
          </w:p>
        </w:tc>
        <w:tc>
          <w:tcPr>
            <w:tcW w:w="923"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3</w:t>
            </w:r>
          </w:p>
        </w:tc>
        <w:tc>
          <w:tcPr>
            <w:tcW w:w="853"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1441440</w:t>
            </w:r>
          </w:p>
        </w:tc>
        <w:tc>
          <w:tcPr>
            <w:tcW w:w="618"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r>
    </w:tbl>
    <w:p>
      <w:pPr>
        <w:pStyle w:val="32"/>
        <w:widowControl w:val="0"/>
        <w:spacing w:line="500" w:lineRule="exact"/>
        <w:ind w:firstLine="474" w:firstLineChars="200"/>
        <w:jc w:val="both"/>
        <w:rPr>
          <w:rFonts w:ascii="Times New Roman" w:hAnsi="Times New Roman" w:eastAsiaTheme="minorEastAsia"/>
          <w:color w:val="auto"/>
          <w:w w:val="99"/>
          <w:szCs w:val="24"/>
          <w:highlight w:val="none"/>
        </w:rPr>
      </w:pPr>
      <w:r>
        <w:rPr>
          <w:rFonts w:hint="eastAsia" w:ascii="Times New Roman" w:hAnsi="Times New Roman" w:eastAsiaTheme="minorEastAsia"/>
          <w:color w:val="auto"/>
          <w:w w:val="99"/>
          <w:szCs w:val="24"/>
          <w:highlight w:val="none"/>
        </w:rPr>
        <w:t>由</w:t>
      </w:r>
      <w:r>
        <w:rPr>
          <w:rFonts w:ascii="Times New Roman" w:hAnsi="Times New Roman" w:eastAsiaTheme="minorEastAsia"/>
          <w:color w:val="auto"/>
          <w:w w:val="99"/>
          <w:szCs w:val="24"/>
          <w:highlight w:val="none"/>
        </w:rPr>
        <w:t>以上可知</w:t>
      </w:r>
      <w:r>
        <w:rPr>
          <w:rFonts w:hint="eastAsia" w:ascii="Times New Roman" w:hAnsi="Times New Roman" w:eastAsiaTheme="minorEastAsia"/>
          <w:color w:val="auto"/>
          <w:w w:val="99"/>
          <w:szCs w:val="24"/>
          <w:highlight w:val="none"/>
        </w:rPr>
        <w:t>，</w:t>
      </w:r>
      <w:r>
        <w:rPr>
          <w:rFonts w:ascii="Times New Roman" w:hAnsi="Times New Roman" w:eastAsiaTheme="minorEastAsia"/>
          <w:color w:val="auto"/>
          <w:w w:val="99"/>
          <w:szCs w:val="24"/>
          <w:highlight w:val="none"/>
        </w:rPr>
        <w:t>本项目</w:t>
      </w:r>
      <w:r>
        <w:rPr>
          <w:rFonts w:hint="eastAsia" w:ascii="Times New Roman" w:hAnsi="Times New Roman" w:eastAsiaTheme="minorEastAsia"/>
          <w:color w:val="auto"/>
          <w:w w:val="99"/>
          <w:szCs w:val="24"/>
          <w:highlight w:val="none"/>
        </w:rPr>
        <w:t>永久占地环境</w:t>
      </w:r>
      <w:r>
        <w:rPr>
          <w:rFonts w:ascii="Times New Roman" w:hAnsi="Times New Roman" w:eastAsiaTheme="minorEastAsia"/>
          <w:color w:val="auto"/>
          <w:w w:val="99"/>
          <w:szCs w:val="24"/>
          <w:highlight w:val="none"/>
        </w:rPr>
        <w:t>损失费为</w:t>
      </w:r>
      <w:r>
        <w:rPr>
          <w:rFonts w:hint="eastAsia" w:ascii="Times New Roman" w:hAnsi="Times New Roman" w:eastAsiaTheme="minorEastAsia"/>
          <w:color w:val="auto"/>
          <w:w w:val="99"/>
          <w:szCs w:val="24"/>
          <w:highlight w:val="none"/>
          <w:lang w:val="zh-CN"/>
        </w:rPr>
        <w:t>1293600</w:t>
      </w:r>
      <w:r>
        <w:rPr>
          <w:rFonts w:hint="eastAsia" w:ascii="Times New Roman" w:hAnsi="Times New Roman" w:eastAsiaTheme="minorEastAsia"/>
          <w:color w:val="auto"/>
          <w:w w:val="99"/>
          <w:szCs w:val="24"/>
          <w:highlight w:val="none"/>
        </w:rPr>
        <w:t>元</w:t>
      </w:r>
      <w:r>
        <w:rPr>
          <w:rFonts w:ascii="Times New Roman" w:hAnsi="Times New Roman" w:eastAsiaTheme="minorEastAsia"/>
          <w:color w:val="auto"/>
          <w:w w:val="99"/>
          <w:szCs w:val="24"/>
          <w:highlight w:val="none"/>
        </w:rPr>
        <w:t>，临时占地环境损失费为</w:t>
      </w:r>
      <w:r>
        <w:rPr>
          <w:rFonts w:hint="eastAsia" w:ascii="Times New Roman" w:hAnsi="Times New Roman" w:eastAsiaTheme="minorEastAsia"/>
          <w:color w:val="auto"/>
          <w:w w:val="99"/>
          <w:szCs w:val="24"/>
          <w:highlight w:val="none"/>
          <w:lang w:val="zh-CN"/>
        </w:rPr>
        <w:t>1441440</w:t>
      </w:r>
      <w:r>
        <w:rPr>
          <w:rFonts w:hint="eastAsia" w:ascii="Times New Roman" w:hAnsi="Times New Roman" w:eastAsiaTheme="minorEastAsia"/>
          <w:color w:val="auto"/>
          <w:w w:val="99"/>
          <w:szCs w:val="24"/>
          <w:highlight w:val="none"/>
        </w:rPr>
        <w:t>元，</w:t>
      </w:r>
      <w:r>
        <w:rPr>
          <w:rFonts w:ascii="Times New Roman" w:hAnsi="Times New Roman" w:eastAsiaTheme="minorEastAsia"/>
          <w:color w:val="auto"/>
          <w:w w:val="99"/>
          <w:szCs w:val="24"/>
          <w:highlight w:val="none"/>
        </w:rPr>
        <w:t>投产十年间</w:t>
      </w:r>
      <w:r>
        <w:rPr>
          <w:rFonts w:hint="eastAsia" w:ascii="Times New Roman" w:hAnsi="Times New Roman" w:eastAsiaTheme="minorEastAsia"/>
          <w:color w:val="auto"/>
          <w:w w:val="99"/>
          <w:szCs w:val="24"/>
          <w:highlight w:val="none"/>
        </w:rPr>
        <w:t>供给环境</w:t>
      </w:r>
      <w:r>
        <w:rPr>
          <w:rFonts w:ascii="Times New Roman" w:hAnsi="Times New Roman" w:eastAsiaTheme="minorEastAsia"/>
          <w:color w:val="auto"/>
          <w:w w:val="99"/>
          <w:szCs w:val="24"/>
          <w:highlight w:val="none"/>
        </w:rPr>
        <w:t>损失</w:t>
      </w:r>
      <w:r>
        <w:rPr>
          <w:rFonts w:hint="eastAsia" w:ascii="Times New Roman" w:hAnsi="Times New Roman" w:eastAsiaTheme="minorEastAsia"/>
          <w:color w:val="auto"/>
          <w:w w:val="99"/>
          <w:szCs w:val="24"/>
          <w:highlight w:val="none"/>
        </w:rPr>
        <w:t>273</w:t>
      </w:r>
      <w:r>
        <w:rPr>
          <w:rFonts w:hint="eastAsia" w:ascii="Times New Roman" w:hAnsi="Times New Roman" w:eastAsiaTheme="minorEastAsia"/>
          <w:color w:val="auto"/>
          <w:w w:val="99"/>
          <w:szCs w:val="24"/>
          <w:highlight w:val="none"/>
          <w:lang w:val="en-US" w:eastAsia="zh-CN"/>
        </w:rPr>
        <w:t>.</w:t>
      </w:r>
      <w:r>
        <w:rPr>
          <w:rFonts w:hint="eastAsia" w:ascii="Times New Roman" w:hAnsi="Times New Roman" w:eastAsiaTheme="minorEastAsia"/>
          <w:color w:val="auto"/>
          <w:w w:val="99"/>
          <w:szCs w:val="24"/>
          <w:highlight w:val="none"/>
        </w:rPr>
        <w:t>504</w:t>
      </w:r>
      <w:r>
        <w:rPr>
          <w:rFonts w:ascii="Times New Roman" w:hAnsi="Times New Roman" w:eastAsiaTheme="minorEastAsia"/>
          <w:color w:val="auto"/>
          <w:w w:val="99"/>
          <w:szCs w:val="24"/>
          <w:highlight w:val="none"/>
        </w:rPr>
        <w:t>万元。</w:t>
      </w:r>
    </w:p>
    <w:p>
      <w:pPr>
        <w:pStyle w:val="32"/>
        <w:widowControl w:val="0"/>
        <w:spacing w:line="500" w:lineRule="exact"/>
        <w:ind w:firstLine="474" w:firstLineChars="200"/>
        <w:jc w:val="both"/>
        <w:rPr>
          <w:rFonts w:ascii="Times New Roman" w:hAnsi="Times New Roman" w:eastAsiaTheme="minorEastAsia"/>
          <w:color w:val="auto"/>
          <w:w w:val="99"/>
          <w:szCs w:val="24"/>
          <w:highlight w:val="none"/>
        </w:rPr>
      </w:pPr>
    </w:p>
    <w:p>
      <w:pPr>
        <w:pStyle w:val="32"/>
        <w:widowControl w:val="0"/>
        <w:spacing w:line="500" w:lineRule="exact"/>
        <w:ind w:firstLine="474" w:firstLineChars="200"/>
        <w:jc w:val="both"/>
        <w:rPr>
          <w:rFonts w:ascii="Times New Roman" w:hAnsi="Times New Roman" w:eastAsiaTheme="minorEastAsia"/>
          <w:color w:val="auto"/>
          <w:w w:val="99"/>
          <w:szCs w:val="24"/>
          <w:highlight w:val="none"/>
        </w:rPr>
      </w:pPr>
    </w:p>
    <w:p>
      <w:pPr>
        <w:pStyle w:val="5"/>
        <w:keepNext w:val="0"/>
        <w:keepLines w:val="0"/>
        <w:widowControl w:val="0"/>
        <w:jc w:val="both"/>
        <w:rPr>
          <w:rFonts w:ascii="Times New Roman" w:hAnsi="Times New Roman"/>
          <w:b/>
          <w:snapToGrid w:val="0"/>
          <w:color w:val="auto"/>
          <w:w w:val="99"/>
          <w:highlight w:val="none"/>
        </w:rPr>
      </w:pPr>
      <w:bookmarkStart w:id="1371" w:name="_bookmark46"/>
      <w:bookmarkEnd w:id="1371"/>
      <w:bookmarkStart w:id="1372" w:name="_Toc80105281"/>
      <w:r>
        <w:rPr>
          <w:rFonts w:ascii="Times New Roman" w:hAnsi="Times New Roman"/>
          <w:b/>
          <w:snapToGrid w:val="0"/>
          <w:color w:val="auto"/>
          <w:w w:val="99"/>
          <w:highlight w:val="none"/>
        </w:rPr>
        <w:t>7.2 环保投资估算及环境效益分析</w:t>
      </w:r>
      <w:bookmarkEnd w:id="1372"/>
    </w:p>
    <w:p>
      <w:pPr>
        <w:pStyle w:val="7"/>
        <w:keepNext w:val="0"/>
        <w:keepLines w:val="0"/>
        <w:widowControl w:val="0"/>
        <w:jc w:val="both"/>
        <w:rPr>
          <w:b/>
          <w:color w:val="auto"/>
          <w:w w:val="99"/>
          <w:kern w:val="2"/>
          <w:sz w:val="24"/>
          <w:szCs w:val="24"/>
          <w:highlight w:val="none"/>
        </w:rPr>
      </w:pPr>
      <w:bookmarkStart w:id="1373" w:name="_Toc61597341"/>
      <w:bookmarkStart w:id="1374" w:name="_Toc80105282"/>
      <w:bookmarkStart w:id="1375" w:name="_Toc74812451"/>
      <w:bookmarkStart w:id="1376" w:name="_Toc67523718"/>
      <w:bookmarkStart w:id="1377" w:name="_Toc77667426"/>
      <w:bookmarkStart w:id="1378" w:name="_Toc71372067"/>
      <w:bookmarkStart w:id="1379" w:name="_Toc74812212"/>
      <w:bookmarkStart w:id="1380" w:name="_Toc69690937"/>
      <w:r>
        <w:rPr>
          <w:b/>
          <w:color w:val="auto"/>
          <w:w w:val="99"/>
          <w:kern w:val="2"/>
          <w:sz w:val="24"/>
          <w:szCs w:val="24"/>
          <w:highlight w:val="none"/>
        </w:rPr>
        <w:t>7.2.1环保投资估算</w:t>
      </w:r>
      <w:bookmarkEnd w:id="1373"/>
      <w:bookmarkEnd w:id="1374"/>
      <w:bookmarkEnd w:id="1375"/>
      <w:bookmarkEnd w:id="1376"/>
      <w:bookmarkEnd w:id="1377"/>
      <w:bookmarkEnd w:id="1378"/>
      <w:bookmarkEnd w:id="1379"/>
      <w:bookmarkEnd w:id="1380"/>
    </w:p>
    <w:p>
      <w:pPr>
        <w:pStyle w:val="32"/>
        <w:widowControl w:val="0"/>
        <w:spacing w:line="500" w:lineRule="exac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本工程环保投资</w:t>
      </w:r>
      <w:r>
        <w:rPr>
          <w:rFonts w:hint="eastAsia" w:ascii="Times New Roman" w:hAnsi="Times New Roman" w:eastAsiaTheme="minorEastAsia"/>
          <w:color w:val="auto"/>
          <w:w w:val="99"/>
          <w:szCs w:val="24"/>
          <w:highlight w:val="none"/>
        </w:rPr>
        <w:t>一览表</w:t>
      </w:r>
      <w:r>
        <w:rPr>
          <w:rFonts w:ascii="Times New Roman" w:hAnsi="Times New Roman" w:eastAsiaTheme="minorEastAsia"/>
          <w:color w:val="auto"/>
          <w:w w:val="99"/>
          <w:szCs w:val="24"/>
          <w:highlight w:val="none"/>
        </w:rPr>
        <w:t>详见表7.2-1。</w:t>
      </w:r>
    </w:p>
    <w:p>
      <w:pPr>
        <w:pStyle w:val="32"/>
        <w:widowControl w:val="0"/>
        <w:spacing w:line="500" w:lineRule="exact"/>
        <w:ind w:firstLine="476" w:firstLineChars="200"/>
        <w:jc w:val="both"/>
        <w:rPr>
          <w:rFonts w:ascii="Times New Roman" w:hAnsi="Times New Roman" w:eastAsiaTheme="minorEastAsia"/>
          <w:b/>
          <w:bCs/>
          <w:color w:val="auto"/>
          <w:w w:val="99"/>
          <w:szCs w:val="24"/>
          <w:highlight w:val="none"/>
        </w:rPr>
      </w:pPr>
      <w:r>
        <w:rPr>
          <w:rFonts w:ascii="Times New Roman" w:hAnsi="Times New Roman" w:eastAsiaTheme="minorEastAsia"/>
          <w:b/>
          <w:bCs/>
          <w:color w:val="auto"/>
          <w:w w:val="99"/>
          <w:szCs w:val="24"/>
          <w:highlight w:val="none"/>
        </w:rPr>
        <w:t>表7.2-1                       环保投资</w:t>
      </w:r>
      <w:r>
        <w:rPr>
          <w:rFonts w:hint="eastAsia" w:ascii="Times New Roman" w:hAnsi="Times New Roman" w:eastAsiaTheme="minorEastAsia"/>
          <w:b/>
          <w:bCs/>
          <w:color w:val="auto"/>
          <w:w w:val="99"/>
          <w:szCs w:val="24"/>
          <w:highlight w:val="none"/>
        </w:rPr>
        <w:t>一览表</w:t>
      </w:r>
    </w:p>
    <w:tbl>
      <w:tblPr>
        <w:tblStyle w:val="8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835"/>
        <w:gridCol w:w="4752"/>
        <w:gridCol w:w="996"/>
        <w:gridCol w:w="20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bookmarkStart w:id="1381" w:name="_bookmark47"/>
            <w:bookmarkEnd w:id="1381"/>
            <w:bookmarkStart w:id="1382" w:name="_Toc74812213"/>
            <w:bookmarkStart w:id="1383" w:name="_Toc77667427"/>
            <w:bookmarkStart w:id="1384" w:name="_Toc74812452"/>
            <w:bookmarkStart w:id="1385" w:name="_Toc61597342"/>
            <w:bookmarkStart w:id="1386" w:name="_Toc67523719"/>
            <w:bookmarkStart w:id="1387" w:name="_Toc80105283"/>
            <w:bookmarkStart w:id="1388" w:name="_Toc69690938"/>
            <w:bookmarkStart w:id="1389" w:name="_Toc71372068"/>
            <w:bookmarkStart w:id="1390" w:name="_Toc189535455"/>
            <w:bookmarkStart w:id="1391" w:name="_Toc196215848"/>
            <w:r>
              <w:rPr>
                <w:rFonts w:ascii="Times New Roman" w:hAnsi="Times New Roman" w:cs="Times New Roman" w:eastAsiaTheme="minorEastAsia"/>
                <w:color w:val="auto"/>
                <w:w w:val="99"/>
                <w:kern w:val="2"/>
                <w:sz w:val="21"/>
                <w:szCs w:val="21"/>
                <w:highlight w:val="none"/>
              </w:rPr>
              <w:t>序号</w:t>
            </w:r>
          </w:p>
        </w:tc>
        <w:tc>
          <w:tcPr>
            <w:tcW w:w="450"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项 目</w:t>
            </w:r>
          </w:p>
        </w:tc>
        <w:tc>
          <w:tcPr>
            <w:tcW w:w="2559"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建设内容</w:t>
            </w:r>
          </w:p>
        </w:tc>
        <w:tc>
          <w:tcPr>
            <w:tcW w:w="534"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金额</w:t>
            </w:r>
          </w:p>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（万元）</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w:t>
            </w:r>
          </w:p>
        </w:tc>
        <w:tc>
          <w:tcPr>
            <w:tcW w:w="450"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废气治理</w:t>
            </w: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洒水设备、车辆运输遮盖苫布、物料苫盖。</w:t>
            </w:r>
          </w:p>
        </w:tc>
        <w:tc>
          <w:tcPr>
            <w:tcW w:w="534" w:type="pct"/>
            <w:vAlign w:val="center"/>
          </w:tcPr>
          <w:p>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4.4</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0.1万元/井场，</w:t>
            </w:r>
            <w:r>
              <w:rPr>
                <w:rFonts w:hint="eastAsia" w:ascii="Times New Roman" w:hAnsi="Times New Roman" w:cs="Times New Roman" w:eastAsiaTheme="minorEastAsia"/>
                <w:color w:val="auto"/>
                <w:w w:val="99"/>
                <w:kern w:val="2"/>
                <w:sz w:val="21"/>
                <w:szCs w:val="21"/>
                <w:highlight w:val="none"/>
              </w:rPr>
              <w:t>共</w:t>
            </w:r>
            <w:r>
              <w:rPr>
                <w:rFonts w:hint="eastAsia" w:ascii="Times New Roman" w:hAnsi="Times New Roman" w:cs="Times New Roman" w:eastAsiaTheme="minorEastAsia"/>
                <w:color w:val="auto"/>
                <w:w w:val="99"/>
                <w:kern w:val="2"/>
                <w:sz w:val="21"/>
                <w:szCs w:val="21"/>
                <w:highlight w:val="none"/>
                <w:lang w:val="en-US" w:eastAsia="zh-CN"/>
              </w:rPr>
              <w:t>44</w:t>
            </w:r>
            <w:r>
              <w:rPr>
                <w:rFonts w:hint="eastAsia" w:ascii="Times New Roman" w:hAnsi="Times New Roman" w:cs="Times New Roman" w:eastAsiaTheme="minorEastAsia"/>
                <w:color w:val="auto"/>
                <w:w w:val="99"/>
                <w:kern w:val="2"/>
                <w:sz w:val="21"/>
                <w:szCs w:val="21"/>
                <w:highlight w:val="none"/>
              </w:rPr>
              <w:t>座井场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w:t>
            </w:r>
          </w:p>
        </w:tc>
        <w:tc>
          <w:tcPr>
            <w:tcW w:w="450"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废水治理</w:t>
            </w: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snapToGrid w:val="0"/>
                <w:color w:val="auto"/>
                <w:w w:val="99"/>
                <w:kern w:val="28"/>
                <w:sz w:val="21"/>
                <w:szCs w:val="21"/>
                <w:highlight w:val="none"/>
              </w:rPr>
              <w:t>施工营地设置防渗旱厕</w:t>
            </w:r>
          </w:p>
        </w:tc>
        <w:tc>
          <w:tcPr>
            <w:tcW w:w="534" w:type="pct"/>
            <w:vAlign w:val="center"/>
          </w:tcPr>
          <w:p>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2.2</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0.05万元/井场，</w:t>
            </w:r>
            <w:r>
              <w:rPr>
                <w:rFonts w:hint="eastAsia" w:ascii="Times New Roman" w:hAnsi="Times New Roman" w:cs="Times New Roman" w:eastAsiaTheme="minorEastAsia"/>
                <w:color w:val="auto"/>
                <w:w w:val="99"/>
                <w:kern w:val="2"/>
                <w:sz w:val="21"/>
                <w:szCs w:val="21"/>
                <w:highlight w:val="none"/>
              </w:rPr>
              <w:t>共</w:t>
            </w:r>
            <w:r>
              <w:rPr>
                <w:rFonts w:hint="eastAsia" w:ascii="Times New Roman" w:hAnsi="Times New Roman" w:cs="Times New Roman" w:eastAsiaTheme="minorEastAsia"/>
                <w:color w:val="auto"/>
                <w:w w:val="99"/>
                <w:kern w:val="2"/>
                <w:sz w:val="21"/>
                <w:szCs w:val="21"/>
                <w:highlight w:val="none"/>
                <w:lang w:val="en-US" w:eastAsia="zh-CN"/>
              </w:rPr>
              <w:t>44</w:t>
            </w:r>
            <w:r>
              <w:rPr>
                <w:rFonts w:hint="eastAsia" w:ascii="Times New Roman" w:hAnsi="Times New Roman" w:cs="Times New Roman" w:eastAsiaTheme="minorEastAsia"/>
                <w:color w:val="auto"/>
                <w:w w:val="99"/>
                <w:kern w:val="2"/>
                <w:sz w:val="21"/>
                <w:szCs w:val="21"/>
                <w:highlight w:val="none"/>
              </w:rPr>
              <w:t>座井场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w:t>
            </w:r>
          </w:p>
        </w:tc>
        <w:tc>
          <w:tcPr>
            <w:tcW w:w="450"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噪声治理</w:t>
            </w: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泥浆泵、振动筛等基础减振、围挡隔声</w:t>
            </w:r>
          </w:p>
        </w:tc>
        <w:tc>
          <w:tcPr>
            <w:tcW w:w="534" w:type="pct"/>
            <w:vAlign w:val="center"/>
          </w:tcPr>
          <w:p>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6.6</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0.15万元/井场，</w:t>
            </w:r>
            <w:r>
              <w:rPr>
                <w:rFonts w:hint="eastAsia" w:ascii="Times New Roman" w:hAnsi="Times New Roman" w:cs="Times New Roman" w:eastAsiaTheme="minorEastAsia"/>
                <w:color w:val="auto"/>
                <w:w w:val="99"/>
                <w:kern w:val="2"/>
                <w:sz w:val="21"/>
                <w:szCs w:val="21"/>
                <w:highlight w:val="none"/>
              </w:rPr>
              <w:t>共</w:t>
            </w:r>
            <w:r>
              <w:rPr>
                <w:rFonts w:hint="eastAsia" w:ascii="Times New Roman" w:hAnsi="Times New Roman" w:cs="Times New Roman" w:eastAsiaTheme="minorEastAsia"/>
                <w:color w:val="auto"/>
                <w:w w:val="99"/>
                <w:kern w:val="2"/>
                <w:sz w:val="21"/>
                <w:szCs w:val="21"/>
                <w:highlight w:val="none"/>
                <w:lang w:val="en-US" w:eastAsia="zh-CN"/>
              </w:rPr>
              <w:t>44</w:t>
            </w:r>
            <w:r>
              <w:rPr>
                <w:rFonts w:hint="eastAsia" w:ascii="Times New Roman" w:hAnsi="Times New Roman" w:cs="Times New Roman" w:eastAsiaTheme="minorEastAsia"/>
                <w:color w:val="auto"/>
                <w:w w:val="99"/>
                <w:kern w:val="2"/>
                <w:sz w:val="21"/>
                <w:szCs w:val="21"/>
                <w:highlight w:val="none"/>
              </w:rPr>
              <w:t>座井场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restar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w:t>
            </w:r>
          </w:p>
        </w:tc>
        <w:tc>
          <w:tcPr>
            <w:tcW w:w="450" w:type="pct"/>
            <w:vMerge w:val="restar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固体废物治理</w:t>
            </w: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废钻井液、钻井岩屑、钻井废水拉运至钻井泥浆拉运至</w:t>
            </w:r>
            <w:r>
              <w:rPr>
                <w:rFonts w:hint="eastAsia" w:ascii="Times New Roman" w:hAnsi="Times New Roman" w:cs="Times New Roman" w:eastAsiaTheme="minorEastAsia"/>
                <w:color w:val="auto"/>
                <w:w w:val="99"/>
                <w:kern w:val="2"/>
                <w:sz w:val="21"/>
                <w:szCs w:val="21"/>
                <w:highlight w:val="none"/>
                <w:lang w:val="zh-CN"/>
              </w:rPr>
              <w:t>大庆油田昆仑集团有限公司环保分公司</w:t>
            </w:r>
            <w:r>
              <w:rPr>
                <w:rFonts w:ascii="Times New Roman" w:hAnsi="Times New Roman" w:cs="Times New Roman" w:eastAsiaTheme="minorEastAsia"/>
                <w:bCs/>
                <w:color w:val="auto"/>
                <w:w w:val="99"/>
                <w:kern w:val="21"/>
                <w:sz w:val="21"/>
                <w:szCs w:val="21"/>
                <w:highlight w:val="none"/>
              </w:rPr>
              <w:t>处理</w:t>
            </w:r>
            <w:r>
              <w:rPr>
                <w:rFonts w:ascii="Times New Roman" w:hAnsi="Times New Roman" w:cs="Times New Roman" w:eastAsiaTheme="minorEastAsia"/>
                <w:color w:val="auto"/>
                <w:w w:val="99"/>
                <w:kern w:val="2"/>
                <w:sz w:val="21"/>
                <w:szCs w:val="21"/>
                <w:highlight w:val="none"/>
              </w:rPr>
              <w:t>；</w:t>
            </w:r>
          </w:p>
        </w:tc>
        <w:tc>
          <w:tcPr>
            <w:tcW w:w="534" w:type="pct"/>
            <w:vAlign w:val="center"/>
          </w:tcPr>
          <w:p>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440</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21"/>
                <w:szCs w:val="21"/>
                <w:highlight w:val="none"/>
              </w:rPr>
              <w:t>10万元/口新钻井，</w:t>
            </w:r>
            <w:r>
              <w:rPr>
                <w:rFonts w:ascii="Times New Roman" w:hAnsi="Times New Roman" w:cs="Times New Roman" w:eastAsiaTheme="minorEastAsia"/>
                <w:bCs/>
                <w:snapToGrid w:val="0"/>
                <w:color w:val="auto"/>
                <w:w w:val="99"/>
                <w:kern w:val="28"/>
                <w:sz w:val="21"/>
                <w:szCs w:val="21"/>
                <w:highlight w:val="none"/>
              </w:rPr>
              <w:t>共新钻</w:t>
            </w:r>
            <w:r>
              <w:rPr>
                <w:rFonts w:hint="eastAsia" w:ascii="Times New Roman" w:hAnsi="Times New Roman" w:cs="Times New Roman" w:eastAsiaTheme="minorEastAsia"/>
                <w:bCs/>
                <w:snapToGrid w:val="0"/>
                <w:color w:val="auto"/>
                <w:w w:val="99"/>
                <w:kern w:val="28"/>
                <w:sz w:val="21"/>
                <w:szCs w:val="21"/>
                <w:highlight w:val="none"/>
                <w:lang w:val="en-US" w:eastAsia="zh-CN"/>
              </w:rPr>
              <w:t>44</w:t>
            </w:r>
            <w:r>
              <w:rPr>
                <w:rFonts w:ascii="Times New Roman" w:hAnsi="Times New Roman" w:cs="Times New Roman" w:eastAsiaTheme="minorEastAsia"/>
                <w:bCs/>
                <w:snapToGrid w:val="0"/>
                <w:color w:val="auto"/>
                <w:w w:val="99"/>
                <w:kern w:val="28"/>
                <w:sz w:val="21"/>
                <w:szCs w:val="21"/>
                <w:highlight w:val="none"/>
              </w:rPr>
              <w:t>口井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450"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废射孔液由罐车收集后拉运至黑龙江龙之润环保工程有限公司处理</w:t>
            </w:r>
          </w:p>
        </w:tc>
        <w:tc>
          <w:tcPr>
            <w:tcW w:w="534" w:type="pct"/>
            <w:vAlign w:val="center"/>
          </w:tcPr>
          <w:p>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44</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21"/>
                <w:szCs w:val="21"/>
                <w:highlight w:val="none"/>
              </w:rPr>
              <w:t>1万元/口新钻井，</w:t>
            </w:r>
            <w:r>
              <w:rPr>
                <w:rFonts w:ascii="Times New Roman" w:hAnsi="Times New Roman" w:cs="Times New Roman" w:eastAsiaTheme="minorEastAsia"/>
                <w:bCs/>
                <w:snapToGrid w:val="0"/>
                <w:color w:val="auto"/>
                <w:w w:val="99"/>
                <w:kern w:val="28"/>
                <w:sz w:val="21"/>
                <w:szCs w:val="21"/>
                <w:highlight w:val="none"/>
              </w:rPr>
              <w:t>共新钻</w:t>
            </w:r>
            <w:r>
              <w:rPr>
                <w:rFonts w:hint="eastAsia" w:ascii="Times New Roman" w:hAnsi="Times New Roman" w:cs="Times New Roman" w:eastAsiaTheme="minorEastAsia"/>
                <w:bCs/>
                <w:snapToGrid w:val="0"/>
                <w:color w:val="auto"/>
                <w:w w:val="99"/>
                <w:kern w:val="28"/>
                <w:sz w:val="21"/>
                <w:szCs w:val="21"/>
                <w:highlight w:val="none"/>
                <w:lang w:val="en-US" w:eastAsia="zh-CN"/>
              </w:rPr>
              <w:t>44</w:t>
            </w:r>
            <w:r>
              <w:rPr>
                <w:rFonts w:ascii="Times New Roman" w:hAnsi="Times New Roman" w:cs="Times New Roman" w:eastAsiaTheme="minorEastAsia"/>
                <w:bCs/>
                <w:snapToGrid w:val="0"/>
                <w:color w:val="auto"/>
                <w:w w:val="99"/>
                <w:kern w:val="28"/>
                <w:sz w:val="21"/>
                <w:szCs w:val="21"/>
                <w:highlight w:val="none"/>
              </w:rPr>
              <w:t>口井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450"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KOH废包装袋经收集后</w:t>
            </w:r>
            <w:r>
              <w:rPr>
                <w:rFonts w:hint="eastAsia" w:ascii="Times New Roman" w:hAnsi="Times New Roman" w:cs="Times New Roman" w:eastAsiaTheme="minorEastAsia"/>
                <w:color w:val="auto"/>
                <w:w w:val="99"/>
                <w:kern w:val="2"/>
                <w:sz w:val="21"/>
                <w:szCs w:val="21"/>
                <w:highlight w:val="none"/>
              </w:rPr>
              <w:t>暂存于</w:t>
            </w:r>
            <w:r>
              <w:rPr>
                <w:rFonts w:ascii="Times New Roman" w:hAnsi="Times New Roman" w:cs="Times New Roman" w:eastAsiaTheme="minorEastAsia"/>
                <w:color w:val="auto"/>
                <w:w w:val="99"/>
                <w:kern w:val="2"/>
                <w:sz w:val="21"/>
                <w:szCs w:val="21"/>
                <w:highlight w:val="none"/>
              </w:rPr>
              <w:t>KOH材料房设置的加盖钢制桶内，施工结束后由施工单位委托有资质单位处理</w:t>
            </w:r>
            <w:r>
              <w:rPr>
                <w:rFonts w:ascii="Times New Roman" w:hAnsi="Times New Roman" w:cs="Times New Roman" w:eastAsiaTheme="minorEastAsia"/>
                <w:color w:val="auto"/>
                <w:w w:val="99"/>
                <w:sz w:val="21"/>
                <w:szCs w:val="21"/>
                <w:highlight w:val="none"/>
              </w:rPr>
              <w:t>。</w:t>
            </w:r>
          </w:p>
        </w:tc>
        <w:tc>
          <w:tcPr>
            <w:tcW w:w="534"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0.2</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共0.</w:t>
            </w:r>
            <w:r>
              <w:rPr>
                <w:rFonts w:hint="eastAsia" w:ascii="Times New Roman" w:hAnsi="Times New Roman" w:cs="Times New Roman" w:eastAsiaTheme="minorEastAsia"/>
                <w:color w:val="auto"/>
                <w:w w:val="99"/>
                <w:kern w:val="2"/>
                <w:sz w:val="21"/>
                <w:szCs w:val="21"/>
                <w:highlight w:val="none"/>
              </w:rPr>
              <w:t>0</w:t>
            </w:r>
            <w:r>
              <w:rPr>
                <w:rFonts w:hint="eastAsia" w:ascii="Times New Roman" w:hAnsi="Times New Roman" w:cs="Times New Roman" w:eastAsiaTheme="minorEastAsia"/>
                <w:color w:val="auto"/>
                <w:w w:val="99"/>
                <w:kern w:val="2"/>
                <w:sz w:val="21"/>
                <w:szCs w:val="21"/>
                <w:highlight w:val="none"/>
                <w:lang w:val="en-US" w:eastAsia="zh-CN"/>
              </w:rPr>
              <w:t>0352</w:t>
            </w:r>
            <w:r>
              <w:rPr>
                <w:rFonts w:ascii="Times New Roman" w:hAnsi="Times New Roman" w:cs="Times New Roman" w:eastAsiaTheme="minorEastAsia"/>
                <w:color w:val="auto"/>
                <w:w w:val="99"/>
                <w:kern w:val="2"/>
                <w:sz w:val="21"/>
                <w:szCs w:val="21"/>
                <w:highlight w:val="none"/>
              </w:rPr>
              <w:t>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450"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膨润土、纯碱、重晶石粉废包装袋、废防渗布</w:t>
            </w:r>
            <w:r>
              <w:rPr>
                <w:rFonts w:hint="eastAsia" w:ascii="Times New Roman" w:hAnsi="Times New Roman" w:cs="Times New Roman" w:eastAsiaTheme="minorEastAsia"/>
                <w:color w:val="auto"/>
                <w:w w:val="99"/>
                <w:kern w:val="2"/>
                <w:sz w:val="21"/>
                <w:szCs w:val="21"/>
                <w:highlight w:val="none"/>
              </w:rPr>
              <w:t>由施工单位拉运至第八采油厂工业固废填埋场处理。</w:t>
            </w:r>
          </w:p>
        </w:tc>
        <w:tc>
          <w:tcPr>
            <w:tcW w:w="534"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1.9052</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0.1万元/吨，共计</w:t>
            </w:r>
            <w:r>
              <w:rPr>
                <w:rFonts w:hint="eastAsia" w:ascii="Times New Roman" w:hAnsi="Times New Roman" w:cs="Times New Roman" w:eastAsiaTheme="minorEastAsia"/>
                <w:color w:val="auto"/>
                <w:w w:val="99"/>
                <w:kern w:val="2"/>
                <w:sz w:val="21"/>
                <w:szCs w:val="21"/>
                <w:highlight w:val="none"/>
                <w:lang w:val="en-US" w:eastAsia="zh-CN"/>
              </w:rPr>
              <w:t>19.052</w:t>
            </w:r>
            <w:r>
              <w:rPr>
                <w:rFonts w:ascii="Times New Roman" w:hAnsi="Times New Roman" w:cs="Times New Roman" w:eastAsiaTheme="minorEastAsia"/>
                <w:color w:val="auto"/>
                <w:w w:val="99"/>
                <w:kern w:val="2"/>
                <w:sz w:val="21"/>
                <w:szCs w:val="21"/>
                <w:highlight w:val="none"/>
              </w:rPr>
              <w:t>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450"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生活垃圾</w:t>
            </w:r>
            <w:r>
              <w:rPr>
                <w:rFonts w:hint="eastAsia" w:ascii="Times New Roman" w:hAnsi="Times New Roman" w:cs="Times New Roman" w:eastAsiaTheme="minorEastAsia"/>
                <w:snapToGrid w:val="0"/>
                <w:color w:val="auto"/>
                <w:w w:val="99"/>
                <w:sz w:val="21"/>
                <w:szCs w:val="21"/>
                <w:highlight w:val="none"/>
              </w:rPr>
              <w:t>统一收集后运至肇东市生活垃圾填埋场处理。</w:t>
            </w:r>
          </w:p>
        </w:tc>
        <w:tc>
          <w:tcPr>
            <w:tcW w:w="534" w:type="pct"/>
            <w:vAlign w:val="center"/>
          </w:tcPr>
          <w:p>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0.308</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21"/>
                <w:szCs w:val="21"/>
                <w:highlight w:val="none"/>
              </w:rPr>
              <w:t>0.1万元/吨，共计</w:t>
            </w:r>
            <w:r>
              <w:rPr>
                <w:rFonts w:hint="eastAsia" w:ascii="Times New Roman" w:hAnsi="Times New Roman" w:cs="Times New Roman" w:eastAsiaTheme="minorEastAsia"/>
                <w:color w:val="auto"/>
                <w:w w:val="99"/>
                <w:sz w:val="21"/>
                <w:szCs w:val="21"/>
                <w:highlight w:val="none"/>
                <w:lang w:val="en-US" w:eastAsia="zh-CN"/>
              </w:rPr>
              <w:t>3.08</w:t>
            </w:r>
            <w:r>
              <w:rPr>
                <w:rFonts w:ascii="Times New Roman" w:hAnsi="Times New Roman" w:cs="Times New Roman" w:eastAsiaTheme="minorEastAsia"/>
                <w:color w:val="auto"/>
                <w:w w:val="99"/>
                <w:sz w:val="21"/>
                <w:szCs w:val="21"/>
                <w:highlight w:val="none"/>
              </w:rPr>
              <w:t>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restar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w:t>
            </w:r>
          </w:p>
        </w:tc>
        <w:tc>
          <w:tcPr>
            <w:tcW w:w="450" w:type="pct"/>
            <w:vMerge w:val="restar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bCs/>
                <w:snapToGrid w:val="0"/>
                <w:color w:val="auto"/>
                <w:w w:val="99"/>
                <w:kern w:val="28"/>
                <w:sz w:val="21"/>
                <w:szCs w:val="21"/>
                <w:highlight w:val="none"/>
              </w:rPr>
              <w:t>地下水及</w:t>
            </w:r>
            <w:r>
              <w:rPr>
                <w:rFonts w:ascii="Times New Roman" w:hAnsi="Times New Roman" w:cs="Times New Roman" w:eastAsiaTheme="minorEastAsia"/>
                <w:bCs/>
                <w:snapToGrid w:val="0"/>
                <w:color w:val="auto"/>
                <w:w w:val="99"/>
                <w:kern w:val="28"/>
                <w:sz w:val="21"/>
                <w:szCs w:val="21"/>
                <w:highlight w:val="none"/>
              </w:rPr>
              <w:t>土壤</w:t>
            </w:r>
            <w:r>
              <w:rPr>
                <w:rFonts w:hint="eastAsia" w:ascii="Times New Roman" w:hAnsi="Times New Roman" w:cs="Times New Roman" w:eastAsiaTheme="minorEastAsia"/>
                <w:bCs/>
                <w:snapToGrid w:val="0"/>
                <w:color w:val="auto"/>
                <w:w w:val="99"/>
                <w:kern w:val="28"/>
                <w:sz w:val="21"/>
                <w:szCs w:val="21"/>
                <w:highlight w:val="none"/>
              </w:rPr>
              <w:t>防范</w:t>
            </w:r>
            <w:r>
              <w:rPr>
                <w:rFonts w:ascii="Times New Roman" w:hAnsi="Times New Roman" w:cs="Times New Roman" w:eastAsiaTheme="minorEastAsia"/>
                <w:bCs/>
                <w:snapToGrid w:val="0"/>
                <w:color w:val="auto"/>
                <w:w w:val="99"/>
                <w:kern w:val="28"/>
                <w:sz w:val="21"/>
                <w:szCs w:val="21"/>
                <w:highlight w:val="none"/>
              </w:rPr>
              <w:t>措施</w:t>
            </w: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柴油罐区、钻井液罐区、发电机房、钢制泥浆槽、KOH材料房、钻井泵、钻台等重点防渗区采用地面碾压平整并铺设2mm厚防渗土工布进行防渗；钻井液材料房、其他材料房</w:t>
            </w:r>
            <w:r>
              <w:rPr>
                <w:rFonts w:hint="eastAsia" w:ascii="Times New Roman" w:hAnsi="Times New Roman" w:cs="Times New Roman" w:eastAsiaTheme="minor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临时旱厕</w:t>
            </w:r>
            <w:r>
              <w:rPr>
                <w:rFonts w:hint="eastAsia" w:ascii="Times New Roman" w:hAnsi="Times New Roman" w:cs="Times New Roman" w:eastAsiaTheme="minorEastAsia"/>
                <w:color w:val="auto"/>
                <w:w w:val="99"/>
                <w:kern w:val="2"/>
                <w:sz w:val="21"/>
                <w:szCs w:val="21"/>
                <w:highlight w:val="none"/>
              </w:rPr>
              <w:t>等</w:t>
            </w:r>
            <w:r>
              <w:rPr>
                <w:rFonts w:ascii="Times New Roman" w:hAnsi="Times New Roman" w:cs="Times New Roman" w:eastAsiaTheme="minorEastAsia"/>
                <w:color w:val="auto"/>
                <w:w w:val="99"/>
                <w:kern w:val="2"/>
                <w:sz w:val="21"/>
                <w:szCs w:val="21"/>
                <w:highlight w:val="none"/>
              </w:rPr>
              <w:t>一般防渗区采用1.5m厚黏土防渗层。井场简单防渗区采用地面碾压平整进行防渗。</w:t>
            </w:r>
          </w:p>
        </w:tc>
        <w:tc>
          <w:tcPr>
            <w:tcW w:w="534" w:type="pct"/>
            <w:vAlign w:val="center"/>
          </w:tcPr>
          <w:p>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44</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21"/>
                <w:szCs w:val="21"/>
                <w:highlight w:val="none"/>
              </w:rPr>
              <w:t>1</w:t>
            </w:r>
            <w:r>
              <w:rPr>
                <w:rFonts w:ascii="Times New Roman" w:hAnsi="Times New Roman" w:cs="Times New Roman" w:eastAsiaTheme="minorEastAsia"/>
                <w:bCs/>
                <w:snapToGrid w:val="0"/>
                <w:color w:val="auto"/>
                <w:w w:val="99"/>
                <w:kern w:val="28"/>
                <w:sz w:val="21"/>
                <w:szCs w:val="21"/>
                <w:highlight w:val="none"/>
              </w:rPr>
              <w:t>万元/新钻井场，共新钻</w:t>
            </w:r>
            <w:r>
              <w:rPr>
                <w:rFonts w:hint="eastAsia" w:ascii="Times New Roman" w:hAnsi="Times New Roman" w:cs="Times New Roman" w:eastAsiaTheme="minorEastAsia"/>
                <w:bCs/>
                <w:snapToGrid w:val="0"/>
                <w:color w:val="auto"/>
                <w:w w:val="99"/>
                <w:kern w:val="28"/>
                <w:sz w:val="21"/>
                <w:szCs w:val="21"/>
                <w:highlight w:val="none"/>
                <w:lang w:val="en-US" w:eastAsia="zh-CN"/>
              </w:rPr>
              <w:t>44</w:t>
            </w:r>
            <w:r>
              <w:rPr>
                <w:rFonts w:ascii="Times New Roman" w:hAnsi="Times New Roman" w:cs="Times New Roman" w:eastAsiaTheme="minorEastAsia"/>
                <w:bCs/>
                <w:snapToGrid w:val="0"/>
                <w:color w:val="auto"/>
                <w:w w:val="99"/>
                <w:kern w:val="28"/>
                <w:sz w:val="21"/>
                <w:szCs w:val="21"/>
                <w:highlight w:val="none"/>
              </w:rPr>
              <w:t>座井场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450" w:type="pct"/>
            <w:vMerge w:val="continue"/>
            <w:vAlign w:val="center"/>
          </w:tcPr>
          <w:p>
            <w:pPr>
              <w:widowControl w:val="0"/>
              <w:adjustRightInd w:val="0"/>
              <w:snapToGrid w:val="0"/>
              <w:spacing w:line="360" w:lineRule="exact"/>
              <w:jc w:val="center"/>
              <w:rPr>
                <w:rFonts w:ascii="Times New Roman" w:hAnsi="Times New Roman" w:cs="Times New Roman" w:eastAsiaTheme="minorEastAsia"/>
                <w:bCs/>
                <w:snapToGrid w:val="0"/>
                <w:color w:val="auto"/>
                <w:w w:val="99"/>
                <w:kern w:val="28"/>
                <w:sz w:val="21"/>
                <w:szCs w:val="21"/>
                <w:highlight w:val="none"/>
              </w:rPr>
            </w:pP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依托周边村屯及耕地灌溉井设6</w:t>
            </w:r>
            <w:r>
              <w:rPr>
                <w:rFonts w:hint="eastAsia" w:ascii="Times New Roman" w:hAnsi="Times New Roman" w:cs="Times New Roman" w:eastAsiaTheme="minorEastAsia"/>
                <w:color w:val="auto"/>
                <w:w w:val="99"/>
                <w:kern w:val="2"/>
                <w:sz w:val="21"/>
                <w:szCs w:val="21"/>
                <w:highlight w:val="none"/>
              </w:rPr>
              <w:t>口地下水跟踪监测井，</w:t>
            </w:r>
            <w:r>
              <w:rPr>
                <w:rFonts w:ascii="Times New Roman" w:hAnsi="Times New Roman" w:cs="Times New Roman" w:eastAsiaTheme="minorEastAsia"/>
                <w:bCs/>
                <w:snapToGrid w:val="0"/>
                <w:color w:val="auto"/>
                <w:w w:val="99"/>
                <w:kern w:val="28"/>
                <w:sz w:val="21"/>
                <w:szCs w:val="21"/>
                <w:highlight w:val="none"/>
              </w:rPr>
              <w:t>定期跟踪监测地下水</w:t>
            </w:r>
          </w:p>
        </w:tc>
        <w:tc>
          <w:tcPr>
            <w:tcW w:w="534" w:type="pct"/>
            <w:vAlign w:val="center"/>
          </w:tcPr>
          <w:p>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0.3</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bCs/>
                <w:snapToGrid w:val="0"/>
                <w:color w:val="auto"/>
                <w:w w:val="99"/>
                <w:kern w:val="28"/>
                <w:sz w:val="21"/>
                <w:szCs w:val="21"/>
                <w:highlight w:val="none"/>
              </w:rPr>
              <w:t>0.</w:t>
            </w:r>
            <w:r>
              <w:rPr>
                <w:rFonts w:ascii="Times New Roman" w:hAnsi="Times New Roman" w:cs="Times New Roman" w:eastAsiaTheme="minorEastAsia"/>
                <w:bCs/>
                <w:snapToGrid w:val="0"/>
                <w:color w:val="auto"/>
                <w:w w:val="99"/>
                <w:kern w:val="28"/>
                <w:sz w:val="21"/>
                <w:szCs w:val="21"/>
                <w:highlight w:val="none"/>
              </w:rPr>
              <w:t>1</w:t>
            </w:r>
            <w:r>
              <w:rPr>
                <w:rFonts w:hint="eastAsia" w:ascii="Times New Roman" w:hAnsi="Times New Roman" w:cs="Times New Roman" w:eastAsiaTheme="minorEastAsia"/>
                <w:bCs/>
                <w:snapToGrid w:val="0"/>
                <w:color w:val="auto"/>
                <w:w w:val="99"/>
                <w:kern w:val="28"/>
                <w:sz w:val="21"/>
                <w:szCs w:val="21"/>
                <w:highlight w:val="none"/>
              </w:rPr>
              <w:t>万元/点位，</w:t>
            </w:r>
            <w:r>
              <w:rPr>
                <w:rFonts w:ascii="Times New Roman" w:hAnsi="Times New Roman" w:cs="Times New Roman" w:eastAsiaTheme="minorEastAsia"/>
                <w:bCs/>
                <w:snapToGrid w:val="0"/>
                <w:color w:val="auto"/>
                <w:w w:val="99"/>
                <w:kern w:val="28"/>
                <w:sz w:val="21"/>
                <w:szCs w:val="21"/>
                <w:highlight w:val="none"/>
              </w:rPr>
              <w:t>共</w:t>
            </w:r>
            <w:r>
              <w:rPr>
                <w:rFonts w:hint="eastAsia" w:ascii="Times New Roman" w:hAnsi="Times New Roman" w:cs="Times New Roman" w:eastAsiaTheme="minorEastAsia"/>
                <w:bCs/>
                <w:snapToGrid w:val="0"/>
                <w:color w:val="auto"/>
                <w:w w:val="99"/>
                <w:kern w:val="28"/>
                <w:sz w:val="21"/>
                <w:szCs w:val="21"/>
                <w:highlight w:val="none"/>
                <w:lang w:val="en-US" w:eastAsia="zh-CN"/>
              </w:rPr>
              <w:t>3</w:t>
            </w:r>
            <w:r>
              <w:rPr>
                <w:rFonts w:hint="eastAsia" w:ascii="Times New Roman" w:hAnsi="Times New Roman" w:cs="Times New Roman" w:eastAsiaTheme="minorEastAsia"/>
                <w:bCs/>
                <w:snapToGrid w:val="0"/>
                <w:color w:val="auto"/>
                <w:w w:val="99"/>
                <w:kern w:val="28"/>
                <w:sz w:val="21"/>
                <w:szCs w:val="21"/>
                <w:highlight w:val="none"/>
              </w:rPr>
              <w:t>个监测</w:t>
            </w:r>
            <w:r>
              <w:rPr>
                <w:rFonts w:ascii="Times New Roman" w:hAnsi="Times New Roman" w:cs="Times New Roman" w:eastAsiaTheme="minorEastAsia"/>
                <w:bCs/>
                <w:snapToGrid w:val="0"/>
                <w:color w:val="auto"/>
                <w:w w:val="99"/>
                <w:kern w:val="28"/>
                <w:sz w:val="21"/>
                <w:szCs w:val="21"/>
                <w:highlight w:val="none"/>
              </w:rPr>
              <w:t>点位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450" w:type="pct"/>
            <w:vMerge w:val="continue"/>
            <w:vAlign w:val="center"/>
          </w:tcPr>
          <w:p>
            <w:pPr>
              <w:widowControl w:val="0"/>
              <w:adjustRightInd w:val="0"/>
              <w:snapToGrid w:val="0"/>
              <w:spacing w:line="360" w:lineRule="exact"/>
              <w:jc w:val="center"/>
              <w:rPr>
                <w:rFonts w:ascii="Times New Roman" w:hAnsi="Times New Roman" w:cs="Times New Roman" w:eastAsiaTheme="minorEastAsia"/>
                <w:bCs/>
                <w:snapToGrid w:val="0"/>
                <w:color w:val="auto"/>
                <w:w w:val="99"/>
                <w:kern w:val="28"/>
                <w:sz w:val="21"/>
                <w:szCs w:val="21"/>
                <w:highlight w:val="none"/>
              </w:rPr>
            </w:pP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bCs/>
                <w:snapToGrid w:val="0"/>
                <w:color w:val="auto"/>
                <w:w w:val="99"/>
                <w:kern w:val="28"/>
                <w:sz w:val="21"/>
                <w:szCs w:val="21"/>
                <w:highlight w:val="none"/>
              </w:rPr>
              <w:t>设</w:t>
            </w:r>
            <w:r>
              <w:rPr>
                <w:rFonts w:ascii="Times New Roman" w:hAnsi="Times New Roman" w:cs="Times New Roman" w:eastAsiaTheme="minorEastAsia"/>
                <w:bCs/>
                <w:snapToGrid w:val="0"/>
                <w:color w:val="auto"/>
                <w:w w:val="99"/>
                <w:kern w:val="28"/>
                <w:sz w:val="21"/>
                <w:szCs w:val="21"/>
                <w:highlight w:val="none"/>
              </w:rPr>
              <w:t>4</w:t>
            </w:r>
            <w:r>
              <w:rPr>
                <w:rFonts w:hint="eastAsia" w:ascii="Times New Roman" w:hAnsi="Times New Roman" w:cs="Times New Roman" w:eastAsiaTheme="minorEastAsia"/>
                <w:bCs/>
                <w:snapToGrid w:val="0"/>
                <w:color w:val="auto"/>
                <w:w w:val="99"/>
                <w:kern w:val="28"/>
                <w:sz w:val="21"/>
                <w:szCs w:val="21"/>
                <w:highlight w:val="none"/>
              </w:rPr>
              <w:t>个</w:t>
            </w:r>
            <w:r>
              <w:rPr>
                <w:rFonts w:ascii="Times New Roman" w:hAnsi="Times New Roman" w:cs="Times New Roman" w:eastAsiaTheme="minorEastAsia"/>
                <w:bCs/>
                <w:snapToGrid w:val="0"/>
                <w:color w:val="auto"/>
                <w:w w:val="99"/>
                <w:kern w:val="28"/>
                <w:sz w:val="21"/>
                <w:szCs w:val="21"/>
                <w:highlight w:val="none"/>
              </w:rPr>
              <w:t>土壤跟踪监测点</w:t>
            </w:r>
            <w:r>
              <w:rPr>
                <w:rFonts w:hint="eastAsia" w:ascii="Times New Roman" w:hAnsi="Times New Roman" w:cs="Times New Roman" w:eastAsiaTheme="minorEastAsia"/>
                <w:bCs/>
                <w:snapToGrid w:val="0"/>
                <w:color w:val="auto"/>
                <w:w w:val="99"/>
                <w:kern w:val="28"/>
                <w:sz w:val="21"/>
                <w:szCs w:val="21"/>
                <w:highlight w:val="none"/>
              </w:rPr>
              <w:t>，</w:t>
            </w:r>
            <w:r>
              <w:rPr>
                <w:rFonts w:ascii="Times New Roman" w:hAnsi="Times New Roman" w:cs="Times New Roman" w:eastAsiaTheme="minorEastAsia"/>
                <w:bCs/>
                <w:snapToGrid w:val="0"/>
                <w:color w:val="auto"/>
                <w:w w:val="99"/>
                <w:kern w:val="28"/>
                <w:sz w:val="21"/>
                <w:szCs w:val="21"/>
                <w:highlight w:val="none"/>
              </w:rPr>
              <w:t>定期跟踪监测</w:t>
            </w:r>
            <w:r>
              <w:rPr>
                <w:rFonts w:hint="eastAsia" w:ascii="Times New Roman" w:hAnsi="Times New Roman" w:cs="Times New Roman" w:eastAsiaTheme="minorEastAsia"/>
                <w:bCs/>
                <w:snapToGrid w:val="0"/>
                <w:color w:val="auto"/>
                <w:w w:val="99"/>
                <w:kern w:val="28"/>
                <w:sz w:val="21"/>
                <w:szCs w:val="21"/>
                <w:highlight w:val="none"/>
              </w:rPr>
              <w:t>土壤</w:t>
            </w:r>
          </w:p>
        </w:tc>
        <w:tc>
          <w:tcPr>
            <w:tcW w:w="534" w:type="pct"/>
            <w:vAlign w:val="center"/>
          </w:tcPr>
          <w:p>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0.6</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snapToGrid w:val="0"/>
                <w:color w:val="auto"/>
                <w:w w:val="99"/>
                <w:kern w:val="28"/>
                <w:sz w:val="21"/>
                <w:szCs w:val="21"/>
                <w:highlight w:val="none"/>
              </w:rPr>
              <w:t>0.2</w:t>
            </w:r>
            <w:r>
              <w:rPr>
                <w:rFonts w:hint="eastAsia" w:ascii="Times New Roman" w:hAnsi="Times New Roman" w:cs="Times New Roman" w:eastAsiaTheme="minorEastAsia"/>
                <w:bCs/>
                <w:snapToGrid w:val="0"/>
                <w:color w:val="auto"/>
                <w:w w:val="99"/>
                <w:kern w:val="28"/>
                <w:sz w:val="21"/>
                <w:szCs w:val="21"/>
                <w:highlight w:val="none"/>
              </w:rPr>
              <w:t>万元/点位，</w:t>
            </w:r>
            <w:r>
              <w:rPr>
                <w:rFonts w:ascii="Times New Roman" w:hAnsi="Times New Roman" w:cs="Times New Roman" w:eastAsiaTheme="minorEastAsia"/>
                <w:bCs/>
                <w:snapToGrid w:val="0"/>
                <w:color w:val="auto"/>
                <w:w w:val="99"/>
                <w:kern w:val="28"/>
                <w:sz w:val="21"/>
                <w:szCs w:val="21"/>
                <w:highlight w:val="none"/>
              </w:rPr>
              <w:t>共</w:t>
            </w:r>
            <w:r>
              <w:rPr>
                <w:rFonts w:hint="eastAsia" w:ascii="Times New Roman" w:hAnsi="Times New Roman" w:cs="Times New Roman" w:eastAsiaTheme="minorEastAsia"/>
                <w:bCs/>
                <w:snapToGrid w:val="0"/>
                <w:color w:val="auto"/>
                <w:w w:val="99"/>
                <w:kern w:val="28"/>
                <w:sz w:val="21"/>
                <w:szCs w:val="21"/>
                <w:highlight w:val="none"/>
                <w:lang w:val="en-US" w:eastAsia="zh-CN"/>
              </w:rPr>
              <w:t>3</w:t>
            </w:r>
            <w:r>
              <w:rPr>
                <w:rFonts w:hint="eastAsia" w:ascii="Times New Roman" w:hAnsi="Times New Roman" w:cs="Times New Roman" w:eastAsiaTheme="minorEastAsia"/>
                <w:bCs/>
                <w:snapToGrid w:val="0"/>
                <w:color w:val="auto"/>
                <w:w w:val="99"/>
                <w:kern w:val="28"/>
                <w:sz w:val="21"/>
                <w:szCs w:val="21"/>
                <w:highlight w:val="none"/>
              </w:rPr>
              <w:t>个监测</w:t>
            </w:r>
            <w:r>
              <w:rPr>
                <w:rFonts w:ascii="Times New Roman" w:hAnsi="Times New Roman" w:cs="Times New Roman" w:eastAsiaTheme="minorEastAsia"/>
                <w:bCs/>
                <w:snapToGrid w:val="0"/>
                <w:color w:val="auto"/>
                <w:w w:val="99"/>
                <w:kern w:val="28"/>
                <w:sz w:val="21"/>
                <w:szCs w:val="21"/>
                <w:highlight w:val="none"/>
              </w:rPr>
              <w:t>点位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6</w:t>
            </w:r>
          </w:p>
        </w:tc>
        <w:tc>
          <w:tcPr>
            <w:tcW w:w="450"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环境风险防控</w:t>
            </w: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井场柴油罐设置围堰，围堰高度约为0.4m；每个</w:t>
            </w:r>
            <w:r>
              <w:rPr>
                <w:rFonts w:ascii="Times New Roman" w:hAnsi="Times New Roman" w:cs="Times New Roman" w:eastAsiaTheme="minorEastAsia"/>
                <w:bCs/>
                <w:color w:val="auto"/>
                <w:w w:val="99"/>
                <w:kern w:val="2"/>
                <w:sz w:val="21"/>
                <w:szCs w:val="21"/>
                <w:highlight w:val="none"/>
              </w:rPr>
              <w:t>施工井场周围设置截水沟（长140m×宽0.5m×深0.5m）</w:t>
            </w:r>
          </w:p>
        </w:tc>
        <w:tc>
          <w:tcPr>
            <w:tcW w:w="534"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35.2</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0.8万元/井场，</w:t>
            </w:r>
            <w:r>
              <w:rPr>
                <w:rFonts w:hint="eastAsia" w:ascii="Times New Roman" w:hAnsi="Times New Roman" w:cs="Times New Roman" w:eastAsiaTheme="minorEastAsia"/>
                <w:color w:val="auto"/>
                <w:w w:val="99"/>
                <w:kern w:val="2"/>
                <w:sz w:val="21"/>
                <w:szCs w:val="21"/>
                <w:highlight w:val="none"/>
              </w:rPr>
              <w:t>共</w:t>
            </w:r>
            <w:r>
              <w:rPr>
                <w:rFonts w:hint="eastAsia" w:ascii="Times New Roman" w:hAnsi="Times New Roman" w:cs="Times New Roman" w:eastAsiaTheme="minorEastAsia"/>
                <w:color w:val="auto"/>
                <w:w w:val="99"/>
                <w:kern w:val="2"/>
                <w:sz w:val="21"/>
                <w:szCs w:val="21"/>
                <w:highlight w:val="none"/>
                <w:lang w:val="en-US" w:eastAsia="zh-CN"/>
              </w:rPr>
              <w:t>44</w:t>
            </w:r>
            <w:r>
              <w:rPr>
                <w:rFonts w:hint="eastAsia" w:ascii="Times New Roman" w:hAnsi="Times New Roman" w:cs="Times New Roman" w:eastAsiaTheme="minorEastAsia"/>
                <w:color w:val="auto"/>
                <w:w w:val="99"/>
                <w:kern w:val="2"/>
                <w:sz w:val="21"/>
                <w:szCs w:val="21"/>
                <w:highlight w:val="none"/>
              </w:rPr>
              <w:t>座井场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332" w:type="pct"/>
            <w:vMerge w:val="restar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7</w:t>
            </w:r>
          </w:p>
        </w:tc>
        <w:tc>
          <w:tcPr>
            <w:tcW w:w="450" w:type="pct"/>
            <w:vMerge w:val="restar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生态</w:t>
            </w: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恢复临时占用的耕地</w:t>
            </w:r>
            <w:r>
              <w:rPr>
                <w:rFonts w:hint="eastAsia" w:ascii="Times New Roman" w:hAnsi="Times New Roman" w:cs="Times New Roman" w:eastAsiaTheme="minorEastAsia"/>
                <w:color w:val="auto"/>
                <w:w w:val="99"/>
                <w:kern w:val="2"/>
                <w:sz w:val="21"/>
                <w:szCs w:val="21"/>
                <w:highlight w:val="none"/>
                <w:lang w:val="en-US" w:eastAsia="zh-CN"/>
              </w:rPr>
              <w:t>22.88</w:t>
            </w:r>
            <w:r>
              <w:rPr>
                <w:rFonts w:ascii="Times New Roman" w:hAnsi="Times New Roman" w:cs="Times New Roman" w:eastAsiaTheme="minorEastAsia"/>
                <w:snapToGrid w:val="0"/>
                <w:color w:val="auto"/>
                <w:w w:val="99"/>
                <w:kern w:val="2"/>
                <w:sz w:val="21"/>
                <w:szCs w:val="21"/>
                <w:highlight w:val="none"/>
              </w:rPr>
              <w:t>hm</w:t>
            </w:r>
            <w:r>
              <w:rPr>
                <w:rFonts w:ascii="Times New Roman" w:hAnsi="Times New Roman" w:cs="Times New Roman" w:eastAsiaTheme="minorEastAsia"/>
                <w:color w:val="auto"/>
                <w:w w:val="99"/>
                <w:kern w:val="2"/>
                <w:sz w:val="21"/>
                <w:szCs w:val="21"/>
                <w:highlight w:val="none"/>
                <w:vertAlign w:val="superscript"/>
              </w:rPr>
              <w:t>2</w:t>
            </w:r>
          </w:p>
        </w:tc>
        <w:tc>
          <w:tcPr>
            <w:tcW w:w="534"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64</w:t>
            </w:r>
            <w:r>
              <w:rPr>
                <w:rFonts w:hint="eastAsia" w:ascii="Times New Roman" w:hAnsi="Times New Roman" w:cs="Times New Roman" w:eastAsiaTheme="minorEastAsia"/>
                <w:color w:val="auto"/>
                <w:w w:val="99"/>
                <w:kern w:val="2"/>
                <w:sz w:val="21"/>
                <w:szCs w:val="21"/>
                <w:highlight w:val="none"/>
                <w:lang w:val="en-US" w:eastAsia="zh-CN"/>
              </w:rPr>
              <w:t>.</w:t>
            </w:r>
            <w:r>
              <w:rPr>
                <w:rFonts w:hint="eastAsia" w:ascii="Times New Roman" w:hAnsi="Times New Roman" w:cs="Times New Roman" w:eastAsiaTheme="minorEastAsia"/>
                <w:color w:val="auto"/>
                <w:w w:val="99"/>
                <w:kern w:val="2"/>
                <w:sz w:val="21"/>
                <w:szCs w:val="21"/>
                <w:highlight w:val="none"/>
              </w:rPr>
              <w:t>1784</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损失玉米量为</w:t>
            </w:r>
            <w:r>
              <w:rPr>
                <w:rFonts w:hint="eastAsia" w:ascii="Times New Roman" w:hAnsi="Times New Roman" w:cs="Times New Roman" w:eastAsiaTheme="minorEastAsia"/>
                <w:color w:val="auto"/>
                <w:w w:val="99"/>
                <w:kern w:val="2"/>
                <w:sz w:val="21"/>
                <w:szCs w:val="21"/>
                <w:highlight w:val="none"/>
                <w:lang w:val="en-US" w:eastAsia="zh-CN"/>
              </w:rPr>
              <w:t>291.72</w:t>
            </w:r>
            <w:r>
              <w:rPr>
                <w:rFonts w:hint="eastAsia" w:ascii="Times New Roman" w:hAnsi="Times New Roman" w:cs="Times New Roman" w:eastAsiaTheme="minorEastAsia"/>
                <w:color w:val="auto"/>
                <w:w w:val="99"/>
                <w:kern w:val="2"/>
                <w:sz w:val="21"/>
                <w:szCs w:val="21"/>
                <w:highlight w:val="none"/>
              </w:rPr>
              <w:t>5</w:t>
            </w:r>
            <w:r>
              <w:rPr>
                <w:rFonts w:ascii="Times New Roman" w:hAnsi="Times New Roman" w:cs="Times New Roman" w:eastAsiaTheme="minorEastAsia"/>
                <w:color w:val="auto"/>
                <w:w w:val="99"/>
                <w:kern w:val="2"/>
                <w:sz w:val="21"/>
                <w:szCs w:val="21"/>
                <w:highlight w:val="none"/>
              </w:rPr>
              <w:t>t，2200</w:t>
            </w:r>
            <w:r>
              <w:rPr>
                <w:rFonts w:hint="eastAsia" w:ascii="Times New Roman" w:hAnsi="Times New Roman" w:cs="Times New Roman" w:eastAsiaTheme="minorEastAsia"/>
                <w:color w:val="auto"/>
                <w:w w:val="99"/>
                <w:kern w:val="2"/>
                <w:sz w:val="21"/>
                <w:szCs w:val="21"/>
                <w:highlight w:val="none"/>
              </w:rPr>
              <w:t>元</w:t>
            </w:r>
            <w:r>
              <w:rPr>
                <w:rFonts w:ascii="Times New Roman" w:hAnsi="Times New Roman" w:cs="Times New Roman" w:eastAsiaTheme="minorEastAsia"/>
                <w:color w:val="auto"/>
                <w:w w:val="99"/>
                <w:kern w:val="2"/>
                <w:sz w:val="21"/>
                <w:szCs w:val="21"/>
                <w:highlight w:val="none"/>
              </w:rPr>
              <w:t>/吨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450"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永久占地补偿</w:t>
            </w:r>
            <w:r>
              <w:rPr>
                <w:rFonts w:hint="eastAsia" w:ascii="Times New Roman" w:hAnsi="Times New Roman" w:cs="Times New Roman" w:eastAsiaTheme="minorEastAsia"/>
                <w:bCs/>
                <w:color w:val="auto"/>
                <w:w w:val="99"/>
                <w:kern w:val="2"/>
                <w:sz w:val="21"/>
                <w:szCs w:val="21"/>
                <w:highlight w:val="none"/>
                <w:lang w:val="en-US" w:eastAsia="zh-CN"/>
              </w:rPr>
              <w:t>6.16</w:t>
            </w:r>
            <w:r>
              <w:rPr>
                <w:rFonts w:ascii="Times New Roman" w:hAnsi="Times New Roman" w:cs="Times New Roman" w:eastAsiaTheme="minorEastAsia"/>
                <w:bCs/>
                <w:color w:val="auto"/>
                <w:w w:val="99"/>
                <w:kern w:val="2"/>
                <w:sz w:val="21"/>
                <w:szCs w:val="21"/>
                <w:highlight w:val="none"/>
              </w:rPr>
              <w:t>hm</w:t>
            </w:r>
            <w:r>
              <w:rPr>
                <w:rFonts w:ascii="Times New Roman" w:hAnsi="Times New Roman" w:cs="Times New Roman" w:eastAsiaTheme="minorEastAsia"/>
                <w:bCs/>
                <w:color w:val="auto"/>
                <w:w w:val="99"/>
                <w:kern w:val="2"/>
                <w:sz w:val="21"/>
                <w:szCs w:val="21"/>
                <w:highlight w:val="none"/>
                <w:vertAlign w:val="superscript"/>
              </w:rPr>
              <w:t>2</w:t>
            </w:r>
          </w:p>
        </w:tc>
        <w:tc>
          <w:tcPr>
            <w:tcW w:w="534" w:type="pct"/>
            <w:vAlign w:val="center"/>
          </w:tcPr>
          <w:p>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101.64</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损失玉米量为</w:t>
            </w:r>
            <w:r>
              <w:rPr>
                <w:rFonts w:hint="eastAsia" w:ascii="Times New Roman" w:hAnsi="Times New Roman" w:cs="Times New Roman" w:eastAsiaTheme="minorEastAsia"/>
                <w:color w:val="auto"/>
                <w:w w:val="99"/>
                <w:kern w:val="2"/>
                <w:sz w:val="21"/>
                <w:szCs w:val="21"/>
                <w:highlight w:val="none"/>
                <w:lang w:val="en-US" w:eastAsia="zh-CN"/>
              </w:rPr>
              <w:t>462</w:t>
            </w:r>
            <w:r>
              <w:rPr>
                <w:rFonts w:ascii="Times New Roman" w:hAnsi="Times New Roman" w:cs="Times New Roman" w:eastAsiaTheme="minorEastAsia"/>
                <w:color w:val="auto"/>
                <w:w w:val="99"/>
                <w:kern w:val="2"/>
                <w:sz w:val="21"/>
                <w:szCs w:val="21"/>
                <w:highlight w:val="none"/>
              </w:rPr>
              <w:t>t，2200</w:t>
            </w:r>
            <w:r>
              <w:rPr>
                <w:rFonts w:hint="eastAsia" w:ascii="Times New Roman" w:hAnsi="Times New Roman" w:cs="Times New Roman" w:eastAsiaTheme="minorEastAsia"/>
                <w:color w:val="auto"/>
                <w:w w:val="99"/>
                <w:kern w:val="2"/>
                <w:sz w:val="21"/>
                <w:szCs w:val="21"/>
                <w:highlight w:val="none"/>
              </w:rPr>
              <w:t>元</w:t>
            </w:r>
            <w:r>
              <w:rPr>
                <w:rFonts w:ascii="Times New Roman" w:hAnsi="Times New Roman" w:cs="Times New Roman" w:eastAsiaTheme="minorEastAsia"/>
                <w:color w:val="auto"/>
                <w:w w:val="99"/>
                <w:kern w:val="2"/>
                <w:sz w:val="21"/>
                <w:szCs w:val="21"/>
                <w:highlight w:val="none"/>
              </w:rPr>
              <w:t>/吨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1" w:type="pct"/>
            <w:gridSpan w:val="3"/>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总计</w:t>
            </w:r>
          </w:p>
        </w:tc>
        <w:tc>
          <w:tcPr>
            <w:tcW w:w="534"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745.5316</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1" w:type="pct"/>
            <w:gridSpan w:val="3"/>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总投资</w:t>
            </w:r>
          </w:p>
        </w:tc>
        <w:tc>
          <w:tcPr>
            <w:tcW w:w="534"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eastAsia="zh-CN"/>
              </w:rPr>
              <w:t>25746.31</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1" w:type="pct"/>
            <w:gridSpan w:val="3"/>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环保投资占比</w:t>
            </w:r>
          </w:p>
        </w:tc>
        <w:tc>
          <w:tcPr>
            <w:tcW w:w="534"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2.9</w:t>
            </w:r>
            <w:r>
              <w:rPr>
                <w:rFonts w:ascii="Times New Roman" w:hAnsi="Times New Roman" w:cs="Times New Roman" w:eastAsiaTheme="minorEastAsia"/>
                <w:color w:val="auto"/>
                <w:w w:val="99"/>
                <w:kern w:val="2"/>
                <w:sz w:val="21"/>
                <w:szCs w:val="21"/>
                <w:highlight w:val="none"/>
              </w:rPr>
              <w:t>%</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r>
    </w:tbl>
    <w:p>
      <w:pPr>
        <w:pStyle w:val="7"/>
        <w:keepNext w:val="0"/>
        <w:keepLines w:val="0"/>
        <w:widowControl w:val="0"/>
        <w:jc w:val="both"/>
        <w:rPr>
          <w:b/>
          <w:color w:val="auto"/>
          <w:w w:val="99"/>
          <w:kern w:val="2"/>
          <w:sz w:val="24"/>
          <w:szCs w:val="24"/>
          <w:highlight w:val="none"/>
        </w:rPr>
      </w:pPr>
      <w:r>
        <w:rPr>
          <w:b/>
          <w:color w:val="auto"/>
          <w:w w:val="99"/>
          <w:kern w:val="2"/>
          <w:sz w:val="24"/>
          <w:szCs w:val="24"/>
          <w:highlight w:val="none"/>
        </w:rPr>
        <w:t>7.2.2环境效益简要分析</w:t>
      </w:r>
      <w:bookmarkEnd w:id="1382"/>
      <w:bookmarkEnd w:id="1383"/>
      <w:bookmarkEnd w:id="1384"/>
      <w:bookmarkEnd w:id="1385"/>
      <w:bookmarkEnd w:id="1386"/>
      <w:bookmarkEnd w:id="1387"/>
      <w:bookmarkEnd w:id="1388"/>
      <w:bookmarkEnd w:id="1389"/>
    </w:p>
    <w:p>
      <w:pPr>
        <w:pStyle w:val="32"/>
        <w:widowControl w:val="0"/>
        <w:spacing w:line="500" w:lineRule="exac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kern w:val="21"/>
          <w:highlight w:val="none"/>
        </w:rPr>
        <w:t>项目建设运营中排放的污染物采取了一系列治理措施，大大降低了排入环境中污染物的数量，将取得一定的环境效益。</w:t>
      </w:r>
    </w:p>
    <w:bookmarkEnd w:id="1390"/>
    <w:bookmarkEnd w:id="1391"/>
    <w:p>
      <w:pPr>
        <w:pStyle w:val="5"/>
        <w:keepNext w:val="0"/>
        <w:keepLines w:val="0"/>
        <w:widowControl w:val="0"/>
        <w:jc w:val="both"/>
        <w:rPr>
          <w:rFonts w:ascii="Times New Roman" w:hAnsi="Times New Roman"/>
          <w:b/>
          <w:snapToGrid w:val="0"/>
          <w:color w:val="auto"/>
          <w:w w:val="99"/>
          <w:highlight w:val="none"/>
        </w:rPr>
      </w:pPr>
      <w:bookmarkStart w:id="1392" w:name="_Toc80105284"/>
      <w:r>
        <w:rPr>
          <w:rFonts w:ascii="Times New Roman" w:hAnsi="Times New Roman"/>
          <w:b/>
          <w:snapToGrid w:val="0"/>
          <w:color w:val="auto"/>
          <w:w w:val="99"/>
          <w:highlight w:val="none"/>
        </w:rPr>
        <w:t>7.3 环境经济损益分析结论</w:t>
      </w:r>
      <w:bookmarkEnd w:id="1392"/>
    </w:p>
    <w:p>
      <w:pPr>
        <w:pStyle w:val="32"/>
        <w:widowControl w:val="0"/>
        <w:spacing w:line="500" w:lineRule="exact"/>
        <w:ind w:firstLine="559"/>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该项目的建设，为确保大庆油田的可持续发展、建设百年油田提供了强有力的保证，对保障我国石油供应、发展我国石油化工、繁荣经济、促进改革和社会发展，都将发挥重要的作用。同时，该项目的建设还可以提高项目所在地的税收、增加就业机会、带动当地第三产业的发展，提高当地的生活水平，实现当地经济环境的协调发展。</w:t>
      </w:r>
      <w:bookmarkStart w:id="1393" w:name="_bookmark48"/>
      <w:bookmarkEnd w:id="1393"/>
    </w:p>
    <w:p>
      <w:pPr>
        <w:pStyle w:val="109"/>
        <w:widowControl w:val="0"/>
        <w:spacing w:line="240" w:lineRule="auto"/>
        <w:ind w:firstLine="473"/>
        <w:rPr>
          <w:rFonts w:ascii="Times New Roman" w:hAnsi="Times New Roman" w:eastAsiaTheme="minorEastAsia"/>
          <w:color w:val="auto"/>
          <w:w w:val="99"/>
          <w:highlight w:val="none"/>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26" w:charSpace="0"/>
        </w:sectPr>
      </w:pPr>
    </w:p>
    <w:p>
      <w:pPr>
        <w:pStyle w:val="4"/>
        <w:widowControl w:val="0"/>
        <w:spacing w:line="500" w:lineRule="exact"/>
        <w:jc w:val="both"/>
        <w:rPr>
          <w:rFonts w:ascii="Times New Roman" w:hAnsi="Times New Roman"/>
          <w:b/>
          <w:snapToGrid w:val="0"/>
          <w:color w:val="auto"/>
          <w:w w:val="99"/>
          <w:sz w:val="30"/>
          <w:szCs w:val="30"/>
          <w:highlight w:val="none"/>
        </w:rPr>
      </w:pPr>
      <w:bookmarkStart w:id="1394" w:name="_Toc480447682"/>
      <w:bookmarkStart w:id="1395" w:name="_Toc107196364"/>
      <w:bookmarkStart w:id="1396" w:name="_Toc110400384"/>
      <w:bookmarkStart w:id="1397" w:name="_Toc106157196"/>
      <w:bookmarkStart w:id="1398" w:name="_Toc106415529"/>
      <w:bookmarkStart w:id="1399" w:name="_Toc74709503"/>
      <w:bookmarkStart w:id="1400" w:name="_Toc74537701"/>
      <w:bookmarkStart w:id="1401" w:name="_Toc106159387"/>
      <w:bookmarkStart w:id="1402" w:name="_Toc72720550"/>
      <w:bookmarkStart w:id="1403" w:name="_Toc75252815"/>
      <w:bookmarkStart w:id="1404" w:name="_Toc107218493"/>
      <w:bookmarkStart w:id="1405" w:name="_Toc107037124"/>
      <w:bookmarkStart w:id="1406" w:name="_Toc73100699"/>
      <w:bookmarkStart w:id="1407" w:name="_Toc73161218"/>
      <w:bookmarkStart w:id="1408" w:name="_Toc456590416"/>
      <w:bookmarkStart w:id="1409" w:name="_Toc106172601"/>
      <w:bookmarkStart w:id="1410" w:name="_Toc118087455"/>
      <w:bookmarkStart w:id="1411" w:name="_Toc502736541"/>
      <w:bookmarkStart w:id="1412" w:name="_Toc106157355"/>
      <w:bookmarkStart w:id="1413" w:name="_Toc107052532"/>
      <w:bookmarkStart w:id="1414" w:name="_Toc213077353"/>
      <w:bookmarkStart w:id="1415" w:name="_Toc106791234"/>
      <w:bookmarkStart w:id="1416" w:name="_Toc107209647"/>
      <w:bookmarkStart w:id="1417" w:name="_Toc72747948"/>
      <w:bookmarkStart w:id="1418" w:name="_Toc72748366"/>
      <w:bookmarkStart w:id="1419" w:name="_Toc80105285"/>
      <w:bookmarkStart w:id="1420" w:name="_Toc106447270"/>
      <w:bookmarkStart w:id="1421" w:name="_Toc75075829"/>
      <w:bookmarkStart w:id="1422" w:name="_Toc45678602"/>
      <w:bookmarkStart w:id="1423" w:name="_Toc75075767"/>
      <w:bookmarkStart w:id="1424" w:name="_Toc415146721"/>
      <w:bookmarkStart w:id="1425" w:name="_Toc371751594"/>
      <w:r>
        <w:rPr>
          <w:rFonts w:ascii="Times New Roman" w:hAnsi="Times New Roman"/>
          <w:b/>
          <w:snapToGrid w:val="0"/>
          <w:color w:val="auto"/>
          <w:w w:val="99"/>
          <w:sz w:val="30"/>
          <w:szCs w:val="30"/>
          <w:highlight w:val="none"/>
        </w:rPr>
        <w:t>8环境管理与监测计划</w:t>
      </w:r>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p>
    <w:p>
      <w:pPr>
        <w:pStyle w:val="5"/>
        <w:keepNext w:val="0"/>
        <w:keepLines w:val="0"/>
        <w:widowControl w:val="0"/>
        <w:jc w:val="both"/>
        <w:rPr>
          <w:rFonts w:ascii="Times New Roman" w:hAnsi="Times New Roman"/>
          <w:b/>
          <w:snapToGrid w:val="0"/>
          <w:color w:val="auto"/>
          <w:w w:val="99"/>
          <w:highlight w:val="none"/>
        </w:rPr>
      </w:pPr>
      <w:bookmarkStart w:id="1426" w:name="_Toc80105286"/>
      <w:bookmarkStart w:id="1427" w:name="_Toc455043909"/>
      <w:bookmarkStart w:id="1428" w:name="_Toc480447683"/>
      <w:bookmarkStart w:id="1429" w:name="_Toc342462533"/>
      <w:bookmarkStart w:id="1430" w:name="_Toc456590417"/>
      <w:bookmarkStart w:id="1431" w:name="_Toc502736542"/>
      <w:r>
        <w:rPr>
          <w:rFonts w:ascii="Times New Roman" w:hAnsi="Times New Roman"/>
          <w:b/>
          <w:snapToGrid w:val="0"/>
          <w:color w:val="auto"/>
          <w:w w:val="99"/>
          <w:highlight w:val="none"/>
        </w:rPr>
        <w:t>8.1 环境管理机构的设置及人员配备</w:t>
      </w:r>
      <w:bookmarkEnd w:id="1426"/>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本工程为钻井工程由钻探公司负责，钻探公司已经建立HSE管理体系和相应的管理机构。环境管理机构基本设置如下：在公司设HSE委员会，下设HSE办公室，采油厂设HSE管理小组。钻探公司HSE办公室设2名专职环保人员，采油矿配1名环保专职人员，在各站场设兼职HSE现场监督员，并逐级落实岗位责任制。</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为确保环境管理工作的正常执行，该项目环境管理由钻探公司安全环保科设专人负责。环境管理机构要坚决贯彻执行国家有关环境保护法规，检查各项环保措施的实施情况，了解环保设施的运行情况，了解该项目及其周围地区的环境质量变化，以切实作好保护项目所在地及周边地区环境的工作。该项目环境管理机构的主要职责如下：</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（1）贯彻执行环境保护的有关方针、政策、法令、标准等；</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（2）结合工程特点，排污特点，制定各种环境管理制度，并经常检查督促；</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（3）审定、落实并监督实施本企业的污染防治方案，并负责的环保监测；</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（4）搞好环境教育和技术培训，提高工作人员素质；</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（5）负责本工程环境管理日常工作和周围地区环境保护部门及其它社会各界的协调工作；</w:t>
      </w:r>
    </w:p>
    <w:p>
      <w:pPr>
        <w:pStyle w:val="32"/>
        <w:widowControl w:val="0"/>
        <w:spacing w:line="500" w:lineRule="exact"/>
        <w:ind w:firstLine="559"/>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kern w:val="0"/>
          <w:szCs w:val="24"/>
          <w:highlight w:val="none"/>
        </w:rPr>
        <w:t>（6）参与突发性事故的应变处理工作以及污染事故的调查与处理工作。</w:t>
      </w:r>
    </w:p>
    <w:p>
      <w:pPr>
        <w:pStyle w:val="5"/>
        <w:keepNext w:val="0"/>
        <w:keepLines w:val="0"/>
        <w:widowControl w:val="0"/>
        <w:jc w:val="both"/>
        <w:rPr>
          <w:rFonts w:ascii="Times New Roman" w:hAnsi="Times New Roman"/>
          <w:b/>
          <w:snapToGrid w:val="0"/>
          <w:color w:val="auto"/>
          <w:w w:val="99"/>
          <w:highlight w:val="none"/>
        </w:rPr>
      </w:pPr>
      <w:bookmarkStart w:id="1432" w:name="_Toc80105287"/>
      <w:r>
        <w:rPr>
          <w:rFonts w:ascii="Times New Roman" w:hAnsi="Times New Roman"/>
          <w:b/>
          <w:snapToGrid w:val="0"/>
          <w:color w:val="auto"/>
          <w:w w:val="99"/>
          <w:highlight w:val="none"/>
        </w:rPr>
        <w:t>8.2 钻井期间环境管理要求</w:t>
      </w:r>
      <w:bookmarkEnd w:id="1432"/>
    </w:p>
    <w:p>
      <w:pPr>
        <w:pStyle w:val="7"/>
        <w:keepNext w:val="0"/>
        <w:keepLines w:val="0"/>
        <w:widowControl w:val="0"/>
        <w:jc w:val="both"/>
        <w:rPr>
          <w:b/>
          <w:color w:val="auto"/>
          <w:w w:val="99"/>
          <w:kern w:val="2"/>
          <w:sz w:val="24"/>
          <w:szCs w:val="24"/>
          <w:highlight w:val="none"/>
        </w:rPr>
      </w:pPr>
      <w:bookmarkStart w:id="1433" w:name="_Toc74812218"/>
      <w:bookmarkStart w:id="1434" w:name="_Toc77667432"/>
      <w:bookmarkStart w:id="1435" w:name="_Toc69690943"/>
      <w:bookmarkStart w:id="1436" w:name="_Toc71372073"/>
      <w:bookmarkStart w:id="1437" w:name="_Toc67523724"/>
      <w:bookmarkStart w:id="1438" w:name="_Toc61597347"/>
      <w:bookmarkStart w:id="1439" w:name="_Toc80105288"/>
      <w:bookmarkStart w:id="1440" w:name="_Toc74812457"/>
      <w:r>
        <w:rPr>
          <w:b/>
          <w:color w:val="auto"/>
          <w:w w:val="99"/>
          <w:kern w:val="2"/>
          <w:sz w:val="24"/>
          <w:szCs w:val="24"/>
          <w:highlight w:val="none"/>
        </w:rPr>
        <w:t>8.2.1废水、废泥浆的处理要求</w:t>
      </w:r>
      <w:bookmarkEnd w:id="1433"/>
      <w:bookmarkEnd w:id="1434"/>
      <w:bookmarkEnd w:id="1435"/>
      <w:bookmarkEnd w:id="1436"/>
      <w:bookmarkEnd w:id="1437"/>
      <w:bookmarkEnd w:id="1438"/>
      <w:bookmarkEnd w:id="1439"/>
      <w:bookmarkEnd w:id="1440"/>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（1）生活污水</w:t>
      </w:r>
      <w:r>
        <w:rPr>
          <w:rFonts w:hint="eastAsia" w:ascii="Times New Roman" w:hAnsi="Times New Roman" w:cs="Times New Roman" w:eastAsiaTheme="minorEastAsia"/>
          <w:color w:val="auto"/>
          <w:w w:val="99"/>
          <w:highlight w:val="none"/>
        </w:rPr>
        <w:t>排入施工</w:t>
      </w:r>
      <w:r>
        <w:rPr>
          <w:rFonts w:ascii="Times New Roman" w:hAnsi="Times New Roman" w:cs="Times New Roman" w:eastAsiaTheme="minorEastAsia"/>
          <w:color w:val="auto"/>
          <w:w w:val="99"/>
          <w:highlight w:val="none"/>
        </w:rPr>
        <w:t>井场内</w:t>
      </w:r>
      <w:r>
        <w:rPr>
          <w:rFonts w:hint="eastAsia" w:ascii="Times New Roman" w:hAnsi="Times New Roman" w:cs="Times New Roman" w:eastAsiaTheme="minorEastAsia"/>
          <w:color w:val="auto"/>
          <w:w w:val="99"/>
          <w:highlight w:val="none"/>
        </w:rPr>
        <w:t>临时</w:t>
      </w:r>
      <w:r>
        <w:rPr>
          <w:rFonts w:ascii="Times New Roman" w:hAnsi="Times New Roman" w:cs="Times New Roman" w:eastAsiaTheme="minorEastAsia"/>
          <w:color w:val="auto"/>
          <w:w w:val="99"/>
          <w:highlight w:val="none"/>
        </w:rPr>
        <w:t>设置的防渗旱厕，定期清掏外运堆肥处理</w:t>
      </w:r>
      <w:r>
        <w:rPr>
          <w:rFonts w:hint="eastAsia" w:ascii="Times New Roman" w:hAnsi="Times New Roman" w:cs="Times New Roman" w:eastAsiaTheme="minorEastAsia"/>
          <w:color w:val="auto"/>
          <w:w w:val="99"/>
          <w:highlight w:val="none"/>
        </w:rPr>
        <w:t>，施工结束后进行卫生处理，场地进行平整</w:t>
      </w:r>
      <w:r>
        <w:rPr>
          <w:rFonts w:ascii="Times New Roman" w:hAnsi="Times New Roman" w:cs="Times New Roman" w:eastAsiaTheme="minorEastAsia"/>
          <w:color w:val="auto"/>
          <w:w w:val="99"/>
          <w:highlight w:val="none"/>
        </w:rPr>
        <w:t>。</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 钻井井场产生的钻井泥浆随钻无害化处理，进入井场泥浆槽中，由罐车及时将废弃钻井泥浆拉运</w:t>
      </w:r>
      <w:r>
        <w:rPr>
          <w:rFonts w:hint="eastAsia" w:ascii="Times New Roman" w:hAnsi="Times New Roman" w:cs="Times New Roman" w:eastAsiaTheme="minorEastAsia"/>
          <w:color w:val="auto"/>
          <w:w w:val="99"/>
          <w:highlight w:val="none"/>
        </w:rPr>
        <w:t>黑龙江龙之润环保工程有限公司废射孔液处理装置</w:t>
      </w:r>
      <w:r>
        <w:rPr>
          <w:rFonts w:ascii="Times New Roman" w:hAnsi="Times New Roman" w:cs="Times New Roman" w:eastAsiaTheme="minorEastAsia"/>
          <w:color w:val="auto"/>
          <w:w w:val="99"/>
          <w:highlight w:val="none"/>
        </w:rPr>
        <w:t>处理。</w:t>
      </w:r>
    </w:p>
    <w:p>
      <w:pPr>
        <w:pStyle w:val="7"/>
        <w:keepNext w:val="0"/>
        <w:keepLines w:val="0"/>
        <w:widowControl w:val="0"/>
        <w:jc w:val="both"/>
        <w:rPr>
          <w:b/>
          <w:color w:val="auto"/>
          <w:w w:val="99"/>
          <w:kern w:val="2"/>
          <w:sz w:val="24"/>
          <w:szCs w:val="24"/>
          <w:highlight w:val="none"/>
        </w:rPr>
      </w:pPr>
      <w:bookmarkStart w:id="1441" w:name="_Toc61597348"/>
      <w:bookmarkStart w:id="1442" w:name="_Toc80105289"/>
      <w:bookmarkStart w:id="1443" w:name="_Toc69690944"/>
      <w:bookmarkStart w:id="1444" w:name="_Toc74812458"/>
      <w:bookmarkStart w:id="1445" w:name="_Toc74812219"/>
      <w:bookmarkStart w:id="1446" w:name="_Toc77667433"/>
      <w:bookmarkStart w:id="1447" w:name="_Toc71372074"/>
      <w:bookmarkStart w:id="1448" w:name="_Toc67523725"/>
      <w:r>
        <w:rPr>
          <w:b/>
          <w:color w:val="auto"/>
          <w:w w:val="99"/>
          <w:kern w:val="2"/>
          <w:sz w:val="24"/>
          <w:szCs w:val="24"/>
          <w:highlight w:val="none"/>
        </w:rPr>
        <w:t>8.2.2噪声控制要求</w:t>
      </w:r>
      <w:bookmarkEnd w:id="1441"/>
      <w:bookmarkEnd w:id="1442"/>
      <w:bookmarkEnd w:id="1443"/>
      <w:bookmarkEnd w:id="1444"/>
      <w:bookmarkEnd w:id="1445"/>
      <w:bookmarkEnd w:id="1446"/>
      <w:bookmarkEnd w:id="1447"/>
      <w:bookmarkEnd w:id="1448"/>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（1）为钻机配备动力的柴油机和柴油发电机安装在活动板房内。</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（2）噪声大的动力设备应布置远离居民点一侧，办公用板房或员工宿舍应布置在主导风向的上风侧，以减轻噪声的影响。</w:t>
      </w:r>
    </w:p>
    <w:p>
      <w:pPr>
        <w:pStyle w:val="7"/>
        <w:keepNext w:val="0"/>
        <w:keepLines w:val="0"/>
        <w:widowControl w:val="0"/>
        <w:jc w:val="both"/>
        <w:rPr>
          <w:b/>
          <w:color w:val="auto"/>
          <w:w w:val="99"/>
          <w:kern w:val="2"/>
          <w:sz w:val="24"/>
          <w:szCs w:val="24"/>
          <w:highlight w:val="none"/>
        </w:rPr>
      </w:pPr>
      <w:bookmarkStart w:id="1449" w:name="_Toc69690945"/>
      <w:bookmarkStart w:id="1450" w:name="_Toc74812459"/>
      <w:bookmarkStart w:id="1451" w:name="_Toc67523726"/>
      <w:bookmarkStart w:id="1452" w:name="_Toc71372075"/>
      <w:bookmarkStart w:id="1453" w:name="_Toc61597349"/>
      <w:bookmarkStart w:id="1454" w:name="_Toc74812220"/>
      <w:bookmarkStart w:id="1455" w:name="_Toc77667434"/>
      <w:bookmarkStart w:id="1456" w:name="_Toc80105290"/>
      <w:r>
        <w:rPr>
          <w:b/>
          <w:color w:val="auto"/>
          <w:w w:val="99"/>
          <w:kern w:val="2"/>
          <w:sz w:val="24"/>
          <w:szCs w:val="24"/>
          <w:highlight w:val="none"/>
        </w:rPr>
        <w:t>8.2.3钻井材料和油料的管理要求</w:t>
      </w:r>
      <w:bookmarkEnd w:id="1449"/>
      <w:bookmarkEnd w:id="1450"/>
      <w:bookmarkEnd w:id="1451"/>
      <w:bookmarkEnd w:id="1452"/>
      <w:bookmarkEnd w:id="1453"/>
      <w:bookmarkEnd w:id="1454"/>
      <w:bookmarkEnd w:id="1455"/>
      <w:bookmarkEnd w:id="1456"/>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（1）钻井材料和油料要集中管理，减少散失或漏失，对被污染的土壤应及时妥善处理。</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（2）对柴油储罐定时检查，防止泄露污染周边土壤及地下水环境。</w:t>
      </w:r>
    </w:p>
    <w:p>
      <w:pPr>
        <w:pStyle w:val="7"/>
        <w:keepNext w:val="0"/>
        <w:keepLines w:val="0"/>
        <w:widowControl w:val="0"/>
        <w:jc w:val="both"/>
        <w:rPr>
          <w:b/>
          <w:color w:val="auto"/>
          <w:w w:val="99"/>
          <w:kern w:val="2"/>
          <w:sz w:val="24"/>
          <w:szCs w:val="24"/>
          <w:highlight w:val="none"/>
        </w:rPr>
      </w:pPr>
      <w:bookmarkStart w:id="1457" w:name="_Toc67523727"/>
      <w:bookmarkStart w:id="1458" w:name="_Toc77667435"/>
      <w:bookmarkStart w:id="1459" w:name="_Toc61597350"/>
      <w:bookmarkStart w:id="1460" w:name="_Toc80105291"/>
      <w:bookmarkStart w:id="1461" w:name="_Toc71372076"/>
      <w:bookmarkStart w:id="1462" w:name="_Toc69690946"/>
      <w:bookmarkStart w:id="1463" w:name="_Toc74812221"/>
      <w:bookmarkStart w:id="1464" w:name="_Toc74812460"/>
      <w:r>
        <w:rPr>
          <w:b/>
          <w:color w:val="auto"/>
          <w:w w:val="99"/>
          <w:kern w:val="2"/>
          <w:sz w:val="24"/>
          <w:szCs w:val="24"/>
          <w:highlight w:val="none"/>
        </w:rPr>
        <w:t>8.2.4保护地下水的技术措施</w:t>
      </w:r>
      <w:bookmarkEnd w:id="1457"/>
      <w:bookmarkEnd w:id="1458"/>
      <w:bookmarkEnd w:id="1459"/>
      <w:bookmarkEnd w:id="1460"/>
      <w:bookmarkEnd w:id="1461"/>
      <w:bookmarkEnd w:id="1462"/>
      <w:bookmarkEnd w:id="1463"/>
      <w:bookmarkEnd w:id="1464"/>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（1）下套管注水泥封固浅层淡水或含水带。</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（2）井场周围应与毗邻的土壤隔开，不让井场的污水、污油、钻井液等流体流入田间，以防场外表层淡水源被污染。</w:t>
      </w:r>
    </w:p>
    <w:p>
      <w:pPr>
        <w:pStyle w:val="7"/>
        <w:keepNext w:val="0"/>
        <w:keepLines w:val="0"/>
        <w:widowControl w:val="0"/>
        <w:jc w:val="both"/>
        <w:rPr>
          <w:b/>
          <w:color w:val="auto"/>
          <w:w w:val="99"/>
          <w:kern w:val="2"/>
          <w:sz w:val="24"/>
          <w:szCs w:val="24"/>
          <w:highlight w:val="none"/>
        </w:rPr>
      </w:pPr>
      <w:bookmarkStart w:id="1465" w:name="_Toc74812461"/>
      <w:bookmarkStart w:id="1466" w:name="_Toc71372077"/>
      <w:bookmarkStart w:id="1467" w:name="_Toc80105292"/>
      <w:bookmarkStart w:id="1468" w:name="_Toc61597351"/>
      <w:bookmarkStart w:id="1469" w:name="_Toc67523728"/>
      <w:bookmarkStart w:id="1470" w:name="_Toc69690947"/>
      <w:bookmarkStart w:id="1471" w:name="_Toc77667436"/>
      <w:bookmarkStart w:id="1472" w:name="_Toc74812222"/>
      <w:r>
        <w:rPr>
          <w:b/>
          <w:color w:val="auto"/>
          <w:w w:val="99"/>
          <w:kern w:val="2"/>
          <w:sz w:val="24"/>
          <w:szCs w:val="24"/>
          <w:highlight w:val="none"/>
        </w:rPr>
        <w:t>8.2.5钻井作业完成后环境管理要求</w:t>
      </w:r>
      <w:bookmarkEnd w:id="1465"/>
      <w:bookmarkEnd w:id="1466"/>
      <w:bookmarkEnd w:id="1467"/>
      <w:bookmarkEnd w:id="1468"/>
      <w:bookmarkEnd w:id="1469"/>
      <w:bookmarkEnd w:id="1470"/>
      <w:bookmarkEnd w:id="1471"/>
      <w:bookmarkEnd w:id="1472"/>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（1）施工完成后，做到井场整洁、无杂物。</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（2）钻井结束后将废弃泥浆拉运</w:t>
      </w:r>
      <w:r>
        <w:rPr>
          <w:rFonts w:hint="eastAsia" w:ascii="Times New Roman" w:hAnsi="Times New Roman" w:cs="Times New Roman" w:eastAsiaTheme="minorEastAsia"/>
          <w:color w:val="auto"/>
          <w:w w:val="99"/>
          <w:highlight w:val="none"/>
        </w:rPr>
        <w:t>黑龙江龙之润环保工程有限公司废射孔液处理装置</w:t>
      </w:r>
      <w:r>
        <w:rPr>
          <w:rFonts w:ascii="Times New Roman" w:hAnsi="Times New Roman" w:cs="Times New Roman" w:eastAsiaTheme="minorEastAsia"/>
          <w:bCs/>
          <w:color w:val="auto"/>
          <w:w w:val="99"/>
          <w:highlight w:val="none"/>
        </w:rPr>
        <w:t>处理</w:t>
      </w:r>
      <w:r>
        <w:rPr>
          <w:rFonts w:ascii="Times New Roman" w:hAnsi="Times New Roman" w:cs="Times New Roman" w:eastAsiaTheme="minorEastAsia"/>
          <w:color w:val="auto"/>
          <w:w w:val="99"/>
          <w:highlight w:val="none"/>
        </w:rPr>
        <w:t>。</w:t>
      </w:r>
    </w:p>
    <w:p>
      <w:pPr>
        <w:pStyle w:val="7"/>
        <w:keepNext w:val="0"/>
        <w:keepLines w:val="0"/>
        <w:widowControl w:val="0"/>
        <w:jc w:val="both"/>
        <w:rPr>
          <w:b/>
          <w:color w:val="auto"/>
          <w:w w:val="99"/>
          <w:kern w:val="2"/>
          <w:sz w:val="24"/>
          <w:szCs w:val="24"/>
          <w:highlight w:val="none"/>
        </w:rPr>
      </w:pPr>
      <w:bookmarkStart w:id="1473" w:name="_Toc71372078"/>
      <w:bookmarkStart w:id="1474" w:name="_Toc67523729"/>
      <w:bookmarkStart w:id="1475" w:name="_Toc77667437"/>
      <w:bookmarkStart w:id="1476" w:name="_Toc74812462"/>
      <w:bookmarkStart w:id="1477" w:name="_Toc80105293"/>
      <w:bookmarkStart w:id="1478" w:name="_Toc74812223"/>
      <w:bookmarkStart w:id="1479" w:name="_Toc61597352"/>
      <w:bookmarkStart w:id="1480" w:name="_Toc69690948"/>
      <w:r>
        <w:rPr>
          <w:b/>
          <w:color w:val="auto"/>
          <w:w w:val="99"/>
          <w:kern w:val="2"/>
          <w:sz w:val="24"/>
          <w:szCs w:val="24"/>
          <w:highlight w:val="none"/>
        </w:rPr>
        <w:t>8.2.6营地环境保护要求</w:t>
      </w:r>
      <w:bookmarkEnd w:id="1473"/>
      <w:bookmarkEnd w:id="1474"/>
      <w:bookmarkEnd w:id="1475"/>
      <w:bookmarkEnd w:id="1476"/>
      <w:bookmarkEnd w:id="1477"/>
      <w:bookmarkEnd w:id="1478"/>
      <w:bookmarkEnd w:id="1479"/>
      <w:bookmarkEnd w:id="1480"/>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（1）设置营地时，在保证需要条件下，应利用自然的或原有的开辟地以减少对环境的影响。</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（2）保持营地内清洁、不准乱扔废物；同时对于生活垃圾应该及时清理。</w:t>
      </w:r>
    </w:p>
    <w:p>
      <w:pPr>
        <w:pStyle w:val="32"/>
        <w:widowControl w:val="0"/>
        <w:spacing w:line="500" w:lineRule="exac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kern w:val="0"/>
          <w:szCs w:val="24"/>
          <w:highlight w:val="none"/>
        </w:rPr>
        <w:t>（3）尽量使营地在占地范围内设置。</w:t>
      </w:r>
    </w:p>
    <w:p>
      <w:pPr>
        <w:pStyle w:val="5"/>
        <w:keepNext w:val="0"/>
        <w:keepLines w:val="0"/>
        <w:widowControl w:val="0"/>
        <w:jc w:val="both"/>
        <w:rPr>
          <w:rFonts w:ascii="Times New Roman" w:hAnsi="Times New Roman"/>
          <w:b/>
          <w:snapToGrid w:val="0"/>
          <w:color w:val="auto"/>
          <w:w w:val="99"/>
          <w:highlight w:val="none"/>
        </w:rPr>
      </w:pPr>
      <w:bookmarkStart w:id="1481" w:name="_Toc80105294"/>
      <w:r>
        <w:rPr>
          <w:rFonts w:ascii="Times New Roman" w:hAnsi="Times New Roman"/>
          <w:b/>
          <w:snapToGrid w:val="0"/>
          <w:color w:val="auto"/>
          <w:w w:val="99"/>
          <w:highlight w:val="none"/>
        </w:rPr>
        <w:t>8.3 规章制度</w:t>
      </w:r>
      <w:bookmarkEnd w:id="1481"/>
    </w:p>
    <w:p>
      <w:pPr>
        <w:pStyle w:val="32"/>
        <w:widowControl w:val="0"/>
        <w:spacing w:line="500" w:lineRule="exact"/>
        <w:ind w:firstLine="559"/>
        <w:jc w:val="both"/>
        <w:rPr>
          <w:rFonts w:ascii="Times New Roman" w:hAnsi="Times New Roman" w:eastAsiaTheme="minorEastAsia"/>
          <w:color w:val="auto"/>
          <w:w w:val="99"/>
          <w:highlight w:val="none"/>
        </w:rPr>
      </w:pPr>
      <w:r>
        <w:rPr>
          <w:rFonts w:ascii="Times New Roman" w:hAnsi="Times New Roman" w:eastAsiaTheme="minorEastAsia"/>
          <w:color w:val="auto"/>
          <w:w w:val="99"/>
          <w:szCs w:val="24"/>
          <w:highlight w:val="none"/>
        </w:rPr>
        <w:t>油田环保工作必须严格执行国家、黑龙江省的环保法律法规，同时还应制定相应的环境管理规章制度，环保法规及油田内部的各种环境管理规章制度应下发到相应人员，并组织有关人员学习和贯彻执行，以确保环境管理工作的顺利进行。相关法规和规章制度详见表8.3-1。</w:t>
      </w:r>
    </w:p>
    <w:p>
      <w:pPr>
        <w:pStyle w:val="32"/>
        <w:widowControl w:val="0"/>
        <w:spacing w:line="500" w:lineRule="exact"/>
        <w:ind w:firstLine="476" w:firstLineChars="200"/>
        <w:jc w:val="both"/>
        <w:rPr>
          <w:rFonts w:ascii="Times New Roman" w:hAnsi="Times New Roman" w:eastAsiaTheme="minorEastAsia"/>
          <w:b/>
          <w:bCs/>
          <w:color w:val="auto"/>
          <w:w w:val="99"/>
          <w:szCs w:val="24"/>
          <w:highlight w:val="none"/>
        </w:rPr>
      </w:pPr>
      <w:r>
        <w:rPr>
          <w:rFonts w:ascii="Times New Roman" w:hAnsi="Times New Roman" w:eastAsiaTheme="minorEastAsia"/>
          <w:b/>
          <w:bCs/>
          <w:color w:val="auto"/>
          <w:w w:val="99"/>
          <w:szCs w:val="24"/>
          <w:highlight w:val="none"/>
        </w:rPr>
        <w:t>表8.3-1               环保法规和规章制度一览表</w:t>
      </w:r>
    </w:p>
    <w:tbl>
      <w:tblPr>
        <w:tblStyle w:val="8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1998"/>
        <w:gridCol w:w="63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lang w:val="en-US"/>
              </w:rPr>
            </w:pPr>
            <w:r>
              <w:rPr>
                <w:rFonts w:ascii="Times New Roman" w:hAnsi="Times New Roman" w:cs="Times New Roman" w:eastAsiaTheme="minorEastAsia"/>
                <w:color w:val="auto"/>
                <w:spacing w:val="-1"/>
                <w:w w:val="99"/>
                <w:sz w:val="21"/>
                <w:szCs w:val="18"/>
                <w:highlight w:val="none"/>
                <w:lang w:val="en-US"/>
              </w:rPr>
              <w:t>序号</w:t>
            </w:r>
          </w:p>
        </w:tc>
        <w:tc>
          <w:tcPr>
            <w:tcW w:w="107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规章名称</w:t>
            </w:r>
          </w:p>
        </w:tc>
        <w:tc>
          <w:tcPr>
            <w:tcW w:w="3438"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主要内容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lang w:val="en-US"/>
              </w:rPr>
            </w:pPr>
            <w:r>
              <w:rPr>
                <w:rFonts w:ascii="Times New Roman" w:hAnsi="Times New Roman" w:cs="Times New Roman" w:eastAsiaTheme="minorEastAsia"/>
                <w:color w:val="auto"/>
                <w:spacing w:val="-1"/>
                <w:w w:val="99"/>
                <w:sz w:val="21"/>
                <w:szCs w:val="18"/>
                <w:highlight w:val="none"/>
                <w:lang w:val="en-US"/>
              </w:rPr>
              <w:t>1</w:t>
            </w:r>
          </w:p>
        </w:tc>
        <w:tc>
          <w:tcPr>
            <w:tcW w:w="107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国家、省市级的相关环保法律法规</w:t>
            </w:r>
          </w:p>
        </w:tc>
        <w:tc>
          <w:tcPr>
            <w:tcW w:w="3438"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国家、省市颁发的环境保护法律、法规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lang w:val="en-US"/>
              </w:rPr>
            </w:pPr>
            <w:r>
              <w:rPr>
                <w:rFonts w:ascii="Times New Roman" w:hAnsi="Times New Roman" w:cs="Times New Roman" w:eastAsiaTheme="minorEastAsia"/>
                <w:color w:val="auto"/>
                <w:spacing w:val="-1"/>
                <w:w w:val="99"/>
                <w:sz w:val="21"/>
                <w:szCs w:val="18"/>
                <w:highlight w:val="none"/>
                <w:lang w:val="en-US"/>
              </w:rPr>
              <w:t>2</w:t>
            </w:r>
          </w:p>
        </w:tc>
        <w:tc>
          <w:tcPr>
            <w:tcW w:w="107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油公司指定的相关环保法律法规</w:t>
            </w:r>
          </w:p>
        </w:tc>
        <w:tc>
          <w:tcPr>
            <w:tcW w:w="3438"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油田公司的环境管理规定及环境管理规章制度（或环境保护条例及事故预案）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lang w:val="en-US"/>
              </w:rPr>
            </w:pPr>
            <w:r>
              <w:rPr>
                <w:rFonts w:ascii="Times New Roman" w:hAnsi="Times New Roman" w:cs="Times New Roman" w:eastAsiaTheme="minorEastAsia"/>
                <w:color w:val="auto"/>
                <w:spacing w:val="-1"/>
                <w:w w:val="99"/>
                <w:sz w:val="21"/>
                <w:szCs w:val="18"/>
                <w:highlight w:val="none"/>
                <w:lang w:val="en-US"/>
              </w:rPr>
              <w:t>3</w:t>
            </w:r>
          </w:p>
        </w:tc>
        <w:tc>
          <w:tcPr>
            <w:tcW w:w="107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环保技术规程及标准</w:t>
            </w:r>
          </w:p>
        </w:tc>
        <w:tc>
          <w:tcPr>
            <w:tcW w:w="3438"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各级有关环境管理的技术规程、标准，主要包括：国家及省市颁布的相关污染物排放控制标准；油田公司及厂矿等各级单位制定的生产工艺、设备的环境技术管理规程，环境保护设备的操作规程等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lang w:val="en-US"/>
              </w:rPr>
            </w:pPr>
            <w:r>
              <w:rPr>
                <w:rFonts w:ascii="Times New Roman" w:hAnsi="Times New Roman" w:cs="Times New Roman" w:eastAsiaTheme="minorEastAsia"/>
                <w:color w:val="auto"/>
                <w:spacing w:val="-1"/>
                <w:w w:val="99"/>
                <w:sz w:val="21"/>
                <w:szCs w:val="18"/>
                <w:highlight w:val="none"/>
                <w:lang w:val="en-US"/>
              </w:rPr>
              <w:t>4</w:t>
            </w:r>
          </w:p>
        </w:tc>
        <w:tc>
          <w:tcPr>
            <w:tcW w:w="107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环境保护责任制</w:t>
            </w:r>
          </w:p>
        </w:tc>
        <w:tc>
          <w:tcPr>
            <w:tcW w:w="3438"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公司各类人员环境保护工作范围，应负的责任以及相应的权力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lang w:val="en-US"/>
              </w:rPr>
            </w:pPr>
            <w:r>
              <w:rPr>
                <w:rFonts w:ascii="Times New Roman" w:hAnsi="Times New Roman" w:cs="Times New Roman" w:eastAsiaTheme="minorEastAsia"/>
                <w:color w:val="auto"/>
                <w:spacing w:val="-1"/>
                <w:w w:val="99"/>
                <w:sz w:val="21"/>
                <w:szCs w:val="18"/>
                <w:highlight w:val="none"/>
                <w:lang w:val="en-US"/>
              </w:rPr>
              <w:t>5</w:t>
            </w:r>
          </w:p>
        </w:tc>
        <w:tc>
          <w:tcPr>
            <w:tcW w:w="107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三废管理制度</w:t>
            </w:r>
          </w:p>
        </w:tc>
        <w:tc>
          <w:tcPr>
            <w:tcW w:w="3438"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包括油田开发建设期废水、废气、废渣及噪声等方面的管理制度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lang w:val="en-US"/>
              </w:rPr>
            </w:pPr>
            <w:r>
              <w:rPr>
                <w:rFonts w:ascii="Times New Roman" w:hAnsi="Times New Roman" w:cs="Times New Roman" w:eastAsiaTheme="minorEastAsia"/>
                <w:color w:val="auto"/>
                <w:spacing w:val="-1"/>
                <w:w w:val="99"/>
                <w:sz w:val="21"/>
                <w:szCs w:val="18"/>
                <w:highlight w:val="none"/>
                <w:lang w:val="en-US"/>
              </w:rPr>
              <w:t>6</w:t>
            </w:r>
          </w:p>
        </w:tc>
        <w:tc>
          <w:tcPr>
            <w:tcW w:w="107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生态保护管理制度</w:t>
            </w:r>
          </w:p>
        </w:tc>
        <w:tc>
          <w:tcPr>
            <w:tcW w:w="3438"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主要包括油田建设期井场的建设过程对区域内生态环境产生的影响后所做出的恢复计划及生态补偿措施等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lang w:val="en-US"/>
              </w:rPr>
            </w:pPr>
            <w:r>
              <w:rPr>
                <w:rFonts w:ascii="Times New Roman" w:hAnsi="Times New Roman" w:cs="Times New Roman" w:eastAsiaTheme="minorEastAsia"/>
                <w:color w:val="auto"/>
                <w:spacing w:val="-1"/>
                <w:w w:val="99"/>
                <w:sz w:val="21"/>
                <w:szCs w:val="18"/>
                <w:highlight w:val="none"/>
                <w:lang w:val="en-US"/>
              </w:rPr>
              <w:t>7</w:t>
            </w:r>
          </w:p>
        </w:tc>
        <w:tc>
          <w:tcPr>
            <w:tcW w:w="107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事故管理预案</w:t>
            </w:r>
          </w:p>
        </w:tc>
        <w:tc>
          <w:tcPr>
            <w:tcW w:w="3438"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明确油田开发建设过程中的诸如井喷等所可能存在的突发事故的预防管理措施</w:t>
            </w:r>
          </w:p>
        </w:tc>
      </w:tr>
    </w:tbl>
    <w:p>
      <w:pPr>
        <w:pStyle w:val="7"/>
        <w:widowControl w:val="0"/>
        <w:spacing w:before="60" w:after="60" w:line="500" w:lineRule="atLeast"/>
        <w:jc w:val="both"/>
        <w:rPr>
          <w:b/>
          <w:color w:val="auto"/>
          <w:w w:val="99"/>
          <w:kern w:val="2"/>
          <w:sz w:val="24"/>
          <w:szCs w:val="24"/>
          <w:highlight w:val="none"/>
        </w:rPr>
      </w:pPr>
      <w:bookmarkStart w:id="1482" w:name="_Toc77667439"/>
      <w:bookmarkStart w:id="1483" w:name="_Toc61597354"/>
      <w:bookmarkStart w:id="1484" w:name="_Toc74812464"/>
      <w:bookmarkStart w:id="1485" w:name="_Toc69690950"/>
      <w:bookmarkStart w:id="1486" w:name="_Toc67523731"/>
      <w:bookmarkStart w:id="1487" w:name="_Toc71372080"/>
      <w:bookmarkStart w:id="1488" w:name="_Toc80105295"/>
      <w:bookmarkStart w:id="1489" w:name="_Toc74812225"/>
      <w:r>
        <w:rPr>
          <w:b/>
          <w:color w:val="auto"/>
          <w:w w:val="99"/>
          <w:kern w:val="2"/>
          <w:sz w:val="24"/>
          <w:szCs w:val="24"/>
          <w:highlight w:val="none"/>
        </w:rPr>
        <w:t>8.3.1 管理措施</w:t>
      </w:r>
      <w:bookmarkEnd w:id="1482"/>
      <w:bookmarkEnd w:id="1483"/>
      <w:bookmarkEnd w:id="1484"/>
      <w:bookmarkEnd w:id="1485"/>
      <w:bookmarkEnd w:id="1486"/>
      <w:bookmarkEnd w:id="1487"/>
      <w:bookmarkEnd w:id="1488"/>
      <w:bookmarkEnd w:id="1489"/>
    </w:p>
    <w:p>
      <w:pPr>
        <w:pStyle w:val="134"/>
        <w:widowControl w:val="0"/>
        <w:tabs>
          <w:tab w:val="left" w:pos="2680"/>
        </w:tabs>
        <w:autoSpaceDE w:val="0"/>
        <w:autoSpaceDN w:val="0"/>
        <w:spacing w:line="500" w:lineRule="atLeast"/>
        <w:ind w:left="0" w:firstLine="422" w:firstLineChars="200"/>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spacing w:val="-13"/>
          <w:w w:val="99"/>
          <w:szCs w:val="21"/>
          <w:highlight w:val="none"/>
          <w:lang w:val="en-US"/>
        </w:rPr>
        <w:t>（1）</w:t>
      </w:r>
      <w:r>
        <w:rPr>
          <w:rFonts w:ascii="Times New Roman" w:hAnsi="Times New Roman" w:cs="Times New Roman" w:eastAsiaTheme="minorEastAsia"/>
          <w:color w:val="auto"/>
          <w:spacing w:val="-13"/>
          <w:w w:val="99"/>
          <w:szCs w:val="21"/>
          <w:highlight w:val="none"/>
        </w:rPr>
        <w:t>最高领导层将</w:t>
      </w:r>
      <w:r>
        <w:rPr>
          <w:rFonts w:ascii="Times New Roman" w:hAnsi="Times New Roman" w:cs="Times New Roman" w:eastAsiaTheme="minorEastAsia"/>
          <w:color w:val="auto"/>
          <w:w w:val="99"/>
          <w:szCs w:val="21"/>
          <w:highlight w:val="none"/>
        </w:rPr>
        <w:t>HSE</w:t>
      </w:r>
      <w:r>
        <w:rPr>
          <w:rFonts w:ascii="Times New Roman" w:hAnsi="Times New Roman" w:cs="Times New Roman" w:eastAsiaTheme="minorEastAsia"/>
          <w:color w:val="auto"/>
          <w:spacing w:val="-3"/>
          <w:w w:val="99"/>
          <w:szCs w:val="21"/>
          <w:highlight w:val="none"/>
        </w:rPr>
        <w:t>管理放在与企业生产和经营管理同等重要的位置上；</w:t>
      </w:r>
    </w:p>
    <w:p>
      <w:pPr>
        <w:pStyle w:val="134"/>
        <w:widowControl w:val="0"/>
        <w:tabs>
          <w:tab w:val="left" w:pos="2683"/>
        </w:tabs>
        <w:autoSpaceDE w:val="0"/>
        <w:autoSpaceDN w:val="0"/>
        <w:spacing w:line="500" w:lineRule="atLeast"/>
        <w:ind w:left="0" w:firstLine="430" w:firstLineChars="200"/>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spacing w:val="-11"/>
          <w:w w:val="99"/>
          <w:szCs w:val="21"/>
          <w:highlight w:val="none"/>
          <w:lang w:val="en-US"/>
        </w:rPr>
        <w:t>（2）</w:t>
      </w:r>
      <w:r>
        <w:rPr>
          <w:rFonts w:ascii="Times New Roman" w:hAnsi="Times New Roman" w:cs="Times New Roman" w:eastAsiaTheme="minorEastAsia"/>
          <w:color w:val="auto"/>
          <w:spacing w:val="-11"/>
          <w:w w:val="99"/>
          <w:szCs w:val="21"/>
          <w:highlight w:val="none"/>
        </w:rPr>
        <w:t>公司员工时刻将</w:t>
      </w:r>
      <w:r>
        <w:rPr>
          <w:rFonts w:ascii="Times New Roman" w:hAnsi="Times New Roman" w:cs="Times New Roman" w:eastAsiaTheme="minorEastAsia"/>
          <w:color w:val="auto"/>
          <w:w w:val="99"/>
          <w:szCs w:val="21"/>
          <w:highlight w:val="none"/>
        </w:rPr>
        <w:t>HSE</w:t>
      </w:r>
      <w:r>
        <w:rPr>
          <w:rFonts w:ascii="Times New Roman" w:hAnsi="Times New Roman" w:cs="Times New Roman" w:eastAsiaTheme="minorEastAsia"/>
          <w:color w:val="auto"/>
          <w:spacing w:val="-1"/>
          <w:w w:val="99"/>
          <w:szCs w:val="21"/>
          <w:highlight w:val="none"/>
        </w:rPr>
        <w:t>责任放在心中；</w:t>
      </w:r>
    </w:p>
    <w:p>
      <w:pPr>
        <w:pStyle w:val="134"/>
        <w:widowControl w:val="0"/>
        <w:tabs>
          <w:tab w:val="left" w:pos="2683"/>
        </w:tabs>
        <w:autoSpaceDE w:val="0"/>
        <w:autoSpaceDN w:val="0"/>
        <w:spacing w:line="500" w:lineRule="atLeast"/>
        <w:ind w:left="0" w:firstLine="462" w:firstLineChars="200"/>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spacing w:val="-3"/>
          <w:w w:val="99"/>
          <w:szCs w:val="21"/>
          <w:highlight w:val="none"/>
          <w:lang w:val="en-US"/>
        </w:rPr>
        <w:t>（3）</w:t>
      </w:r>
      <w:r>
        <w:rPr>
          <w:rFonts w:ascii="Times New Roman" w:hAnsi="Times New Roman" w:cs="Times New Roman" w:eastAsiaTheme="minorEastAsia"/>
          <w:color w:val="auto"/>
          <w:spacing w:val="-3"/>
          <w:w w:val="99"/>
          <w:szCs w:val="21"/>
          <w:highlight w:val="none"/>
        </w:rPr>
        <w:t>制定和落实一岗一责制；</w:t>
      </w:r>
    </w:p>
    <w:p>
      <w:pPr>
        <w:pStyle w:val="134"/>
        <w:widowControl w:val="0"/>
        <w:tabs>
          <w:tab w:val="left" w:pos="2683"/>
        </w:tabs>
        <w:autoSpaceDE w:val="0"/>
        <w:autoSpaceDN w:val="0"/>
        <w:spacing w:line="500" w:lineRule="atLeast"/>
        <w:ind w:left="0" w:firstLine="430" w:firstLineChars="200"/>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spacing w:val="-11"/>
          <w:w w:val="99"/>
          <w:szCs w:val="21"/>
          <w:highlight w:val="none"/>
          <w:lang w:val="en-US"/>
        </w:rPr>
        <w:t>（4）</w:t>
      </w:r>
      <w:r>
        <w:rPr>
          <w:rFonts w:ascii="Times New Roman" w:hAnsi="Times New Roman" w:cs="Times New Roman" w:eastAsiaTheme="minorEastAsia"/>
          <w:color w:val="auto"/>
          <w:spacing w:val="-11"/>
          <w:w w:val="99"/>
          <w:szCs w:val="21"/>
          <w:highlight w:val="none"/>
        </w:rPr>
        <w:t>加强生产技术及</w:t>
      </w:r>
      <w:r>
        <w:rPr>
          <w:rFonts w:ascii="Times New Roman" w:hAnsi="Times New Roman" w:cs="Times New Roman" w:eastAsiaTheme="minorEastAsia"/>
          <w:color w:val="auto"/>
          <w:w w:val="99"/>
          <w:szCs w:val="21"/>
          <w:highlight w:val="none"/>
        </w:rPr>
        <w:t>HSE</w:t>
      </w:r>
      <w:r>
        <w:rPr>
          <w:rFonts w:ascii="Times New Roman" w:hAnsi="Times New Roman" w:cs="Times New Roman" w:eastAsiaTheme="minorEastAsia"/>
          <w:color w:val="auto"/>
          <w:spacing w:val="-1"/>
          <w:w w:val="99"/>
          <w:szCs w:val="21"/>
          <w:highlight w:val="none"/>
        </w:rPr>
        <w:t>教育和培训；</w:t>
      </w:r>
    </w:p>
    <w:p>
      <w:pPr>
        <w:pStyle w:val="134"/>
        <w:widowControl w:val="0"/>
        <w:tabs>
          <w:tab w:val="left" w:pos="2683"/>
        </w:tabs>
        <w:autoSpaceDE w:val="0"/>
        <w:autoSpaceDN w:val="0"/>
        <w:spacing w:line="500" w:lineRule="atLeast"/>
        <w:ind w:left="0" w:firstLine="466" w:firstLineChars="200"/>
        <w:rPr>
          <w:rFonts w:ascii="Times New Roman" w:hAnsi="Times New Roman" w:cs="Times New Roman" w:eastAsiaTheme="minorEastAsia"/>
          <w:color w:val="auto"/>
          <w:spacing w:val="-2"/>
          <w:w w:val="99"/>
          <w:szCs w:val="21"/>
          <w:highlight w:val="none"/>
        </w:rPr>
      </w:pPr>
      <w:r>
        <w:rPr>
          <w:rFonts w:ascii="Times New Roman" w:hAnsi="Times New Roman" w:cs="Times New Roman" w:eastAsiaTheme="minorEastAsia"/>
          <w:color w:val="auto"/>
          <w:spacing w:val="-2"/>
          <w:w w:val="99"/>
          <w:szCs w:val="21"/>
          <w:highlight w:val="none"/>
          <w:lang w:val="en-US"/>
        </w:rPr>
        <w:t>（5）</w:t>
      </w:r>
      <w:r>
        <w:rPr>
          <w:rFonts w:ascii="Times New Roman" w:hAnsi="Times New Roman" w:cs="Times New Roman" w:eastAsiaTheme="minorEastAsia"/>
          <w:color w:val="auto"/>
          <w:spacing w:val="-2"/>
          <w:w w:val="99"/>
          <w:szCs w:val="21"/>
          <w:highlight w:val="none"/>
        </w:rPr>
        <w:t>做好现场审核和整改；</w:t>
      </w:r>
    </w:p>
    <w:p>
      <w:pPr>
        <w:pStyle w:val="134"/>
        <w:widowControl w:val="0"/>
        <w:tabs>
          <w:tab w:val="left" w:pos="2683"/>
        </w:tabs>
        <w:autoSpaceDE w:val="0"/>
        <w:autoSpaceDN w:val="0"/>
        <w:spacing w:line="500" w:lineRule="atLeast"/>
        <w:ind w:left="0" w:firstLine="438" w:firstLineChars="200"/>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spacing w:val="-9"/>
          <w:w w:val="99"/>
          <w:szCs w:val="21"/>
          <w:highlight w:val="none"/>
          <w:lang w:val="en-US"/>
        </w:rPr>
        <w:t>（6）</w:t>
      </w:r>
      <w:r>
        <w:rPr>
          <w:rFonts w:ascii="Times New Roman" w:hAnsi="Times New Roman" w:cs="Times New Roman" w:eastAsiaTheme="minorEastAsia"/>
          <w:color w:val="auto"/>
          <w:spacing w:val="-9"/>
          <w:w w:val="99"/>
          <w:szCs w:val="21"/>
          <w:highlight w:val="none"/>
        </w:rPr>
        <w:t>奖优罚劣，持续改进</w:t>
      </w:r>
      <w:r>
        <w:rPr>
          <w:rFonts w:ascii="Times New Roman" w:hAnsi="Times New Roman" w:cs="Times New Roman" w:eastAsiaTheme="minorEastAsia"/>
          <w:color w:val="auto"/>
          <w:w w:val="99"/>
          <w:szCs w:val="21"/>
          <w:highlight w:val="none"/>
        </w:rPr>
        <w:t>HSE表现。</w:t>
      </w:r>
    </w:p>
    <w:p>
      <w:pPr>
        <w:pStyle w:val="7"/>
        <w:widowControl w:val="0"/>
        <w:spacing w:before="60" w:after="60" w:line="500" w:lineRule="atLeast"/>
        <w:jc w:val="both"/>
        <w:rPr>
          <w:b/>
          <w:color w:val="auto"/>
          <w:w w:val="99"/>
          <w:kern w:val="2"/>
          <w:sz w:val="24"/>
          <w:szCs w:val="24"/>
          <w:highlight w:val="none"/>
        </w:rPr>
      </w:pPr>
      <w:bookmarkStart w:id="1490" w:name="_bookmark50"/>
      <w:bookmarkEnd w:id="1490"/>
      <w:bookmarkStart w:id="1491" w:name="_Toc80105296"/>
      <w:bookmarkStart w:id="1492" w:name="_Toc61597355"/>
      <w:bookmarkStart w:id="1493" w:name="_Toc67523732"/>
      <w:bookmarkStart w:id="1494" w:name="_Toc74812226"/>
      <w:bookmarkStart w:id="1495" w:name="_Toc71372081"/>
      <w:bookmarkStart w:id="1496" w:name="_Toc77667440"/>
      <w:bookmarkStart w:id="1497" w:name="_Toc74812465"/>
      <w:bookmarkStart w:id="1498" w:name="_Toc69690951"/>
      <w:r>
        <w:rPr>
          <w:b/>
          <w:color w:val="auto"/>
          <w:w w:val="99"/>
          <w:kern w:val="2"/>
          <w:sz w:val="24"/>
          <w:szCs w:val="24"/>
          <w:highlight w:val="none"/>
        </w:rPr>
        <w:t>8.3.2 环境管理人员的基本职责</w:t>
      </w:r>
      <w:bookmarkEnd w:id="1491"/>
      <w:bookmarkEnd w:id="1492"/>
      <w:bookmarkEnd w:id="1493"/>
      <w:bookmarkEnd w:id="1494"/>
      <w:bookmarkEnd w:id="1495"/>
      <w:bookmarkEnd w:id="1496"/>
      <w:bookmarkEnd w:id="1497"/>
      <w:bookmarkEnd w:id="1498"/>
    </w:p>
    <w:p>
      <w:pPr>
        <w:pStyle w:val="32"/>
        <w:widowControl w:val="0"/>
        <w:autoSpaceDE w:val="0"/>
        <w:autoSpaceDN w:val="0"/>
        <w:spacing w:line="500" w:lineRule="atLeast"/>
        <w:ind w:firstLine="559"/>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（1）协助有关环保部门进行环境保护设施的竣工验收工作；定期进行环保安全检查和召开有关会议；</w:t>
      </w:r>
    </w:p>
    <w:p>
      <w:pPr>
        <w:pStyle w:val="32"/>
        <w:widowControl w:val="0"/>
        <w:autoSpaceDE w:val="0"/>
        <w:autoSpaceDN w:val="0"/>
        <w:spacing w:line="500" w:lineRule="atLeast"/>
        <w:ind w:firstLine="559"/>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（2）对领导和职工特别是兼职环保人员进行环保安全方面的培训；</w:t>
      </w:r>
    </w:p>
    <w:p>
      <w:pPr>
        <w:pStyle w:val="32"/>
        <w:widowControl w:val="0"/>
        <w:autoSpaceDE w:val="0"/>
        <w:autoSpaceDN w:val="0"/>
        <w:spacing w:line="500" w:lineRule="atLeast"/>
        <w:ind w:firstLine="559"/>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（3）制定各种可能发生事故的应急计划，定期进行演练；配备各种必要的维护、抢修器材和设备，保证在发生事故时能及时到位；</w:t>
      </w:r>
    </w:p>
    <w:p>
      <w:pPr>
        <w:pStyle w:val="32"/>
        <w:widowControl w:val="0"/>
        <w:autoSpaceDE w:val="0"/>
        <w:autoSpaceDN w:val="0"/>
        <w:spacing w:line="500" w:lineRule="atLeast"/>
        <w:ind w:firstLine="559"/>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（4）主管环保的人员应参加生产调度和管理工作会议，针对生产运行中存在的环境问题，向公司领导和生产部门提出建议和技术处理措施。</w:t>
      </w:r>
    </w:p>
    <w:p>
      <w:pPr>
        <w:pStyle w:val="5"/>
        <w:widowControl w:val="0"/>
        <w:spacing w:before="120" w:after="120" w:line="500" w:lineRule="atLeast"/>
        <w:rPr>
          <w:rFonts w:ascii="Times New Roman" w:hAnsi="Times New Roman"/>
          <w:b/>
          <w:snapToGrid w:val="0"/>
          <w:color w:val="auto"/>
          <w:w w:val="99"/>
          <w:highlight w:val="none"/>
        </w:rPr>
      </w:pPr>
      <w:bookmarkStart w:id="1499" w:name="_Toc80105297"/>
      <w:r>
        <w:rPr>
          <w:rFonts w:ascii="Times New Roman" w:hAnsi="Times New Roman"/>
          <w:b/>
          <w:snapToGrid w:val="0"/>
          <w:color w:val="auto"/>
          <w:w w:val="99"/>
          <w:highlight w:val="none"/>
        </w:rPr>
        <w:t>8.4本工程污染源排放清单</w:t>
      </w:r>
      <w:bookmarkEnd w:id="1499"/>
    </w:p>
    <w:p>
      <w:pPr>
        <w:pStyle w:val="32"/>
        <w:widowControl w:val="0"/>
        <w:autoSpaceDE w:val="0"/>
        <w:autoSpaceDN w:val="0"/>
        <w:spacing w:line="500" w:lineRule="atLeas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本工程施工期污染物排放清单见下表。</w:t>
      </w:r>
    </w:p>
    <w:p>
      <w:pPr>
        <w:pStyle w:val="32"/>
        <w:widowControl w:val="0"/>
        <w:autoSpaceDE w:val="0"/>
        <w:autoSpaceDN w:val="0"/>
        <w:spacing w:line="500" w:lineRule="atLeast"/>
        <w:ind w:firstLine="476" w:firstLineChars="200"/>
        <w:rPr>
          <w:rFonts w:ascii="Times New Roman" w:hAnsi="Times New Roman" w:eastAsiaTheme="minorEastAsia"/>
          <w:b/>
          <w:bCs/>
          <w:color w:val="auto"/>
          <w:w w:val="99"/>
          <w:szCs w:val="24"/>
          <w:highlight w:val="none"/>
        </w:rPr>
      </w:pPr>
      <w:r>
        <w:rPr>
          <w:rFonts w:ascii="Times New Roman" w:hAnsi="Times New Roman" w:eastAsiaTheme="minorEastAsia"/>
          <w:b/>
          <w:bCs/>
          <w:color w:val="auto"/>
          <w:w w:val="99"/>
          <w:szCs w:val="24"/>
          <w:highlight w:val="none"/>
        </w:rPr>
        <w:t>表8.4-1                  施工期污染物排放清单</w:t>
      </w:r>
    </w:p>
    <w:tbl>
      <w:tblPr>
        <w:tblStyle w:val="82"/>
        <w:tblW w:w="907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1850"/>
        <w:gridCol w:w="1701"/>
        <w:gridCol w:w="1134"/>
        <w:gridCol w:w="891"/>
        <w:gridCol w:w="27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类别</w:t>
            </w: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污染源</w:t>
            </w: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污染物</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产生量</w:t>
            </w:r>
          </w:p>
        </w:tc>
        <w:tc>
          <w:tcPr>
            <w:tcW w:w="89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排放量</w:t>
            </w:r>
          </w:p>
        </w:tc>
        <w:tc>
          <w:tcPr>
            <w:tcW w:w="279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排放方式及去向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废气</w:t>
            </w: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施工井场</w:t>
            </w: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扬尘（颗粒物）</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0.1756</w:t>
            </w:r>
            <w:r>
              <w:rPr>
                <w:rFonts w:hint="eastAsia" w:ascii="Times New Roman" w:hAnsi="Times New Roman" w:cs="Times New Roman" w:eastAsiaTheme="minorEastAsia"/>
                <w:color w:val="auto"/>
                <w:w w:val="99"/>
                <w:kern w:val="2"/>
                <w:sz w:val="21"/>
                <w:szCs w:val="21"/>
                <w:highlight w:val="none"/>
              </w:rPr>
              <w:t>t</w:t>
            </w:r>
          </w:p>
        </w:tc>
        <w:tc>
          <w:tcPr>
            <w:tcW w:w="89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0.1756</w:t>
            </w:r>
            <w:r>
              <w:rPr>
                <w:rFonts w:hint="eastAsia" w:ascii="Times New Roman" w:hAnsi="Times New Roman" w:cs="Times New Roman" w:eastAsiaTheme="minorEastAsia"/>
                <w:color w:val="auto"/>
                <w:w w:val="99"/>
                <w:kern w:val="2"/>
                <w:sz w:val="21"/>
                <w:szCs w:val="21"/>
                <w:highlight w:val="none"/>
              </w:rPr>
              <w:t>t</w:t>
            </w:r>
          </w:p>
        </w:tc>
        <w:tc>
          <w:tcPr>
            <w:tcW w:w="279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洒水抑尘、原料苫盖、无组织排放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柴油机</w:t>
            </w: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SO</w:t>
            </w:r>
            <w:r>
              <w:rPr>
                <w:rFonts w:ascii="Times New Roman" w:hAnsi="Times New Roman" w:cs="Times New Roman" w:eastAsiaTheme="minorEastAsia"/>
                <w:color w:val="auto"/>
                <w:w w:val="99"/>
                <w:kern w:val="2"/>
                <w:sz w:val="21"/>
                <w:szCs w:val="21"/>
                <w:highlight w:val="none"/>
                <w:vertAlign w:val="subscript"/>
              </w:rPr>
              <w:t>2</w:t>
            </w:r>
          </w:p>
        </w:tc>
        <w:tc>
          <w:tcPr>
            <w:tcW w:w="1134" w:type="dxa"/>
            <w:vAlign w:val="center"/>
          </w:tcPr>
          <w:p>
            <w:pPr>
              <w:widowControl w:val="0"/>
              <w:spacing w:line="340" w:lineRule="exact"/>
              <w:jc w:val="center"/>
              <w:rPr>
                <w:rFonts w:hint="eastAsia" w:ascii="Times New Roman" w:hAnsi="Times New Roman" w:cs="Times New Roman" w:eastAsiaTheme="minorEastAsia"/>
                <w:color w:val="auto"/>
                <w:w w:val="99"/>
                <w:kern w:val="2"/>
                <w:sz w:val="21"/>
                <w:szCs w:val="21"/>
                <w:highlight w:val="none"/>
                <w:lang w:val="en-US" w:eastAsia="zh-CN"/>
              </w:rPr>
            </w:pPr>
            <w:r>
              <w:rPr>
                <w:rFonts w:ascii="Times New Roman" w:hAnsi="Times New Roman" w:cs="Times New Roman" w:eastAsiaTheme="minorEastAsia"/>
                <w:color w:val="auto"/>
                <w:w w:val="99"/>
                <w:kern w:val="2"/>
                <w:sz w:val="21"/>
                <w:szCs w:val="21"/>
                <w:highlight w:val="none"/>
              </w:rPr>
              <w:t>7.35</w:t>
            </w:r>
            <w:r>
              <w:rPr>
                <w:rFonts w:hint="eastAsia" w:ascii="Times New Roman" w:hAnsi="Times New Roman" w:cs="Times New Roman" w:eastAsiaTheme="minorEastAsia"/>
                <w:color w:val="auto"/>
                <w:w w:val="99"/>
                <w:kern w:val="2"/>
                <w:sz w:val="21"/>
                <w:szCs w:val="21"/>
                <w:highlight w:val="none"/>
                <w:lang w:val="en-US" w:eastAsia="zh-CN"/>
              </w:rPr>
              <w:t>t</w:t>
            </w:r>
          </w:p>
        </w:tc>
        <w:tc>
          <w:tcPr>
            <w:tcW w:w="891"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7.35</w:t>
            </w:r>
            <w:r>
              <w:rPr>
                <w:rFonts w:hint="eastAsia" w:ascii="Times New Roman" w:hAnsi="Times New Roman" w:cs="Times New Roman" w:eastAsiaTheme="minorEastAsia"/>
                <w:color w:val="auto"/>
                <w:w w:val="99"/>
                <w:kern w:val="2"/>
                <w:sz w:val="21"/>
                <w:szCs w:val="21"/>
                <w:highlight w:val="none"/>
                <w:lang w:val="en-US" w:eastAsia="zh-CN"/>
              </w:rPr>
              <w:t>t</w:t>
            </w:r>
          </w:p>
        </w:tc>
        <w:tc>
          <w:tcPr>
            <w:tcW w:w="2793"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NO</w:t>
            </w:r>
            <w:r>
              <w:rPr>
                <w:rFonts w:ascii="Times New Roman" w:hAnsi="Times New Roman" w:cs="Times New Roman" w:eastAsiaTheme="minorEastAsia"/>
                <w:color w:val="auto"/>
                <w:w w:val="99"/>
                <w:kern w:val="2"/>
                <w:sz w:val="21"/>
                <w:szCs w:val="21"/>
                <w:highlight w:val="none"/>
                <w:vertAlign w:val="subscript"/>
              </w:rPr>
              <w:t>x</w:t>
            </w:r>
          </w:p>
        </w:tc>
        <w:tc>
          <w:tcPr>
            <w:tcW w:w="1134" w:type="dxa"/>
            <w:vAlign w:val="center"/>
          </w:tcPr>
          <w:p>
            <w:pPr>
              <w:widowControl w:val="0"/>
              <w:spacing w:line="340" w:lineRule="exact"/>
              <w:jc w:val="center"/>
              <w:rPr>
                <w:rFonts w:hint="default" w:ascii="Times New Roman" w:hAnsi="Times New Roman" w:cs="Times New Roman" w:eastAsiaTheme="minorEastAsia"/>
                <w:color w:val="auto"/>
                <w:w w:val="99"/>
                <w:kern w:val="2"/>
                <w:sz w:val="21"/>
                <w:szCs w:val="21"/>
                <w:highlight w:val="none"/>
                <w:lang w:val="en-US"/>
              </w:rPr>
            </w:pPr>
            <w:r>
              <w:rPr>
                <w:rFonts w:ascii="Times New Roman" w:hAnsi="Times New Roman" w:cs="Times New Roman" w:eastAsiaTheme="minorEastAsia"/>
                <w:color w:val="auto"/>
                <w:w w:val="99"/>
                <w:kern w:val="2"/>
                <w:sz w:val="21"/>
                <w:szCs w:val="21"/>
                <w:highlight w:val="none"/>
              </w:rPr>
              <w:t>4.7</w:t>
            </w:r>
            <w:r>
              <w:rPr>
                <w:rFonts w:hint="eastAsia" w:ascii="Times New Roman" w:hAnsi="Times New Roman" w:cs="Times New Roman" w:eastAsiaTheme="minorEastAsia"/>
                <w:color w:val="auto"/>
                <w:w w:val="99"/>
                <w:kern w:val="2"/>
                <w:sz w:val="21"/>
                <w:szCs w:val="21"/>
                <w:highlight w:val="none"/>
                <w:lang w:val="en-US" w:eastAsia="zh-CN"/>
              </w:rPr>
              <w:t>1t</w:t>
            </w:r>
          </w:p>
        </w:tc>
        <w:tc>
          <w:tcPr>
            <w:tcW w:w="891"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4.7</w:t>
            </w:r>
            <w:r>
              <w:rPr>
                <w:rFonts w:hint="eastAsia" w:ascii="Times New Roman" w:hAnsi="Times New Roman" w:cs="Times New Roman" w:eastAsiaTheme="minorEastAsia"/>
                <w:color w:val="auto"/>
                <w:w w:val="99"/>
                <w:kern w:val="2"/>
                <w:sz w:val="21"/>
                <w:szCs w:val="21"/>
                <w:highlight w:val="none"/>
                <w:lang w:val="en-US" w:eastAsia="zh-CN"/>
              </w:rPr>
              <w:t>1t</w:t>
            </w:r>
          </w:p>
        </w:tc>
        <w:tc>
          <w:tcPr>
            <w:tcW w:w="2793"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烟尘</w:t>
            </w:r>
          </w:p>
        </w:tc>
        <w:tc>
          <w:tcPr>
            <w:tcW w:w="1134" w:type="dxa"/>
            <w:vAlign w:val="center"/>
          </w:tcPr>
          <w:p>
            <w:pPr>
              <w:widowControl w:val="0"/>
              <w:spacing w:line="340" w:lineRule="exact"/>
              <w:jc w:val="center"/>
              <w:rPr>
                <w:rFonts w:hint="eastAsia" w:ascii="Times New Roman" w:hAnsi="Times New Roman" w:cs="Times New Roman" w:eastAsiaTheme="minorEastAsia"/>
                <w:color w:val="auto"/>
                <w:w w:val="99"/>
                <w:kern w:val="2"/>
                <w:sz w:val="21"/>
                <w:szCs w:val="21"/>
                <w:highlight w:val="none"/>
                <w:lang w:val="en-US" w:eastAsia="zh-CN"/>
              </w:rPr>
            </w:pPr>
            <w:r>
              <w:rPr>
                <w:rFonts w:ascii="Times New Roman" w:hAnsi="Times New Roman" w:cs="Times New Roman" w:eastAsiaTheme="minorEastAsia"/>
                <w:color w:val="auto"/>
                <w:w w:val="99"/>
                <w:kern w:val="2"/>
                <w:sz w:val="21"/>
                <w:szCs w:val="21"/>
                <w:highlight w:val="none"/>
              </w:rPr>
              <w:t>1.31</w:t>
            </w:r>
            <w:r>
              <w:rPr>
                <w:rFonts w:hint="eastAsia" w:ascii="Times New Roman" w:hAnsi="Times New Roman" w:cs="Times New Roman" w:eastAsiaTheme="minorEastAsia"/>
                <w:color w:val="auto"/>
                <w:w w:val="99"/>
                <w:kern w:val="2"/>
                <w:sz w:val="21"/>
                <w:szCs w:val="21"/>
                <w:highlight w:val="none"/>
                <w:lang w:val="en-US" w:eastAsia="zh-CN"/>
              </w:rPr>
              <w:t>t</w:t>
            </w:r>
          </w:p>
        </w:tc>
        <w:tc>
          <w:tcPr>
            <w:tcW w:w="891"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1.31</w:t>
            </w:r>
            <w:r>
              <w:rPr>
                <w:rFonts w:hint="eastAsia" w:ascii="Times New Roman" w:hAnsi="Times New Roman" w:cs="Times New Roman" w:eastAsiaTheme="minorEastAsia"/>
                <w:color w:val="auto"/>
                <w:w w:val="99"/>
                <w:kern w:val="2"/>
                <w:sz w:val="21"/>
                <w:szCs w:val="21"/>
                <w:highlight w:val="none"/>
                <w:lang w:val="en-US" w:eastAsia="zh-CN"/>
              </w:rPr>
              <w:t>t</w:t>
            </w:r>
          </w:p>
        </w:tc>
        <w:tc>
          <w:tcPr>
            <w:tcW w:w="2793"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CO</w:t>
            </w:r>
          </w:p>
        </w:tc>
        <w:tc>
          <w:tcPr>
            <w:tcW w:w="1134" w:type="dxa"/>
            <w:vAlign w:val="center"/>
          </w:tcPr>
          <w:p>
            <w:pPr>
              <w:widowControl w:val="0"/>
              <w:spacing w:line="340" w:lineRule="exact"/>
              <w:jc w:val="center"/>
              <w:rPr>
                <w:rFonts w:hint="eastAsia"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rPr>
              <w:t>2.79</w:t>
            </w:r>
            <w:r>
              <w:rPr>
                <w:rFonts w:hint="eastAsia" w:ascii="Times New Roman" w:hAnsi="Times New Roman" w:cs="Times New Roman" w:eastAsiaTheme="minorEastAsia"/>
                <w:color w:val="auto"/>
                <w:w w:val="99"/>
                <w:kern w:val="2"/>
                <w:sz w:val="21"/>
                <w:szCs w:val="21"/>
                <w:highlight w:val="none"/>
                <w:lang w:val="en-US" w:eastAsia="zh-CN"/>
              </w:rPr>
              <w:t>t</w:t>
            </w:r>
          </w:p>
        </w:tc>
        <w:tc>
          <w:tcPr>
            <w:tcW w:w="891"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2.79</w:t>
            </w:r>
            <w:r>
              <w:rPr>
                <w:rFonts w:hint="eastAsia" w:ascii="Times New Roman" w:hAnsi="Times New Roman" w:cs="Times New Roman" w:eastAsiaTheme="minorEastAsia"/>
                <w:color w:val="auto"/>
                <w:w w:val="99"/>
                <w:kern w:val="2"/>
                <w:sz w:val="21"/>
                <w:szCs w:val="21"/>
                <w:highlight w:val="none"/>
                <w:lang w:val="en-US" w:eastAsia="zh-CN"/>
              </w:rPr>
              <w:t>t</w:t>
            </w:r>
          </w:p>
        </w:tc>
        <w:tc>
          <w:tcPr>
            <w:tcW w:w="2793"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HC</w:t>
            </w:r>
          </w:p>
        </w:tc>
        <w:tc>
          <w:tcPr>
            <w:tcW w:w="1134" w:type="dxa"/>
            <w:vAlign w:val="center"/>
          </w:tcPr>
          <w:p>
            <w:pPr>
              <w:widowControl w:val="0"/>
              <w:spacing w:line="340" w:lineRule="exact"/>
              <w:jc w:val="center"/>
              <w:rPr>
                <w:rFonts w:hint="default" w:ascii="Times New Roman" w:hAnsi="Times New Roman" w:cs="Times New Roman" w:eastAsiaTheme="minorEastAsia"/>
                <w:color w:val="auto"/>
                <w:w w:val="99"/>
                <w:kern w:val="2"/>
                <w:sz w:val="21"/>
                <w:szCs w:val="21"/>
                <w:highlight w:val="none"/>
                <w:lang w:val="en-US"/>
              </w:rPr>
            </w:pPr>
            <w:r>
              <w:rPr>
                <w:rFonts w:ascii="Times New Roman" w:hAnsi="Times New Roman" w:cs="Times New Roman" w:eastAsiaTheme="minorEastAsia"/>
                <w:color w:val="auto"/>
                <w:w w:val="99"/>
                <w:kern w:val="2"/>
                <w:sz w:val="21"/>
                <w:szCs w:val="21"/>
                <w:highlight w:val="none"/>
              </w:rPr>
              <w:t>2.7</w:t>
            </w:r>
            <w:r>
              <w:rPr>
                <w:rFonts w:hint="eastAsia" w:ascii="Times New Roman" w:hAnsi="Times New Roman" w:cs="Times New Roman" w:eastAsiaTheme="minorEastAsia"/>
                <w:color w:val="auto"/>
                <w:w w:val="99"/>
                <w:kern w:val="2"/>
                <w:sz w:val="21"/>
                <w:szCs w:val="21"/>
                <w:highlight w:val="none"/>
                <w:lang w:val="en-US" w:eastAsia="zh-CN"/>
              </w:rPr>
              <w:t>4t</w:t>
            </w:r>
          </w:p>
        </w:tc>
        <w:tc>
          <w:tcPr>
            <w:tcW w:w="891"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2.7</w:t>
            </w:r>
            <w:r>
              <w:rPr>
                <w:rFonts w:hint="eastAsia" w:ascii="Times New Roman" w:hAnsi="Times New Roman" w:cs="Times New Roman" w:eastAsiaTheme="minorEastAsia"/>
                <w:color w:val="auto"/>
                <w:w w:val="99"/>
                <w:kern w:val="2"/>
                <w:sz w:val="21"/>
                <w:szCs w:val="21"/>
                <w:highlight w:val="none"/>
                <w:lang w:val="en-US" w:eastAsia="zh-CN"/>
              </w:rPr>
              <w:t>4t</w:t>
            </w:r>
          </w:p>
        </w:tc>
        <w:tc>
          <w:tcPr>
            <w:tcW w:w="2793"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车辆</w:t>
            </w:r>
          </w:p>
        </w:tc>
        <w:tc>
          <w:tcPr>
            <w:tcW w:w="1701" w:type="dxa"/>
            <w:vAlign w:val="center"/>
          </w:tcPr>
          <w:p>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SO</w:t>
            </w:r>
            <w:r>
              <w:rPr>
                <w:rFonts w:ascii="Times New Roman" w:hAnsi="Times New Roman" w:cs="Times New Roman" w:eastAsiaTheme="minorEastAsia"/>
                <w:color w:val="auto"/>
                <w:w w:val="99"/>
                <w:kern w:val="2"/>
                <w:sz w:val="21"/>
                <w:szCs w:val="21"/>
                <w:highlight w:val="none"/>
                <w:vertAlign w:val="subscript"/>
              </w:rPr>
              <w:t>2</w:t>
            </w:r>
            <w:r>
              <w:rPr>
                <w:rFonts w:ascii="Times New Roman" w:hAnsi="Times New Roman" w:cs="Times New Roman" w:eastAsiaTheme="minorEastAsia"/>
                <w:color w:val="auto"/>
                <w:w w:val="99"/>
                <w:kern w:val="2"/>
                <w:sz w:val="21"/>
                <w:szCs w:val="21"/>
                <w:highlight w:val="none"/>
              </w:rPr>
              <w:t>、NO</w:t>
            </w:r>
            <w:r>
              <w:rPr>
                <w:rFonts w:ascii="Times New Roman" w:hAnsi="Times New Roman" w:cs="Times New Roman" w:eastAsiaTheme="minorEastAsia"/>
                <w:color w:val="auto"/>
                <w:w w:val="99"/>
                <w:kern w:val="2"/>
                <w:sz w:val="21"/>
                <w:szCs w:val="21"/>
                <w:highlight w:val="none"/>
                <w:vertAlign w:val="subscript"/>
              </w:rPr>
              <w:t>X</w:t>
            </w:r>
            <w:r>
              <w:rPr>
                <w:rFonts w:ascii="Times New Roman" w:hAnsi="Times New Roman" w:cs="Times New Roman" w:eastAsiaTheme="minorEastAsia"/>
                <w:color w:val="auto"/>
                <w:w w:val="99"/>
                <w:kern w:val="2"/>
                <w:sz w:val="21"/>
                <w:szCs w:val="21"/>
                <w:highlight w:val="none"/>
              </w:rPr>
              <w:t>、TSP、CO</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少量</w:t>
            </w:r>
          </w:p>
        </w:tc>
        <w:tc>
          <w:tcPr>
            <w:tcW w:w="89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少量</w:t>
            </w:r>
          </w:p>
        </w:tc>
        <w:tc>
          <w:tcPr>
            <w:tcW w:w="279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废水</w:t>
            </w: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钻井废水</w:t>
            </w: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sz w:val="18"/>
                <w:szCs w:val="18"/>
                <w:highlight w:val="none"/>
                <w:lang w:eastAsia="zh-CN"/>
              </w:rPr>
              <w:t>耗氧量</w:t>
            </w:r>
            <w:r>
              <w:rPr>
                <w:rFonts w:ascii="Times New Roman" w:hAnsi="Times New Roman" w:cs="Times New Roman" w:eastAsiaTheme="minorEastAsia"/>
                <w:color w:val="auto"/>
                <w:w w:val="99"/>
                <w:sz w:val="18"/>
                <w:szCs w:val="18"/>
                <w:highlight w:val="none"/>
              </w:rPr>
              <w:t>、SS</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snapToGrid w:val="0"/>
                <w:color w:val="auto"/>
                <w:w w:val="99"/>
                <w:sz w:val="21"/>
                <w:szCs w:val="21"/>
                <w:highlight w:val="none"/>
                <w:lang w:val="en-US" w:eastAsia="zh-CN"/>
              </w:rPr>
              <w:t>5680.22</w:t>
            </w:r>
            <w:r>
              <w:rPr>
                <w:rFonts w:ascii="Times New Roman" w:hAnsi="Times New Roman" w:cs="Times New Roman" w:eastAsiaTheme="minorEastAsia"/>
                <w:color w:val="auto"/>
                <w:w w:val="99"/>
                <w:kern w:val="2"/>
                <w:sz w:val="21"/>
                <w:szCs w:val="21"/>
                <w:highlight w:val="none"/>
              </w:rPr>
              <w:t>m</w:t>
            </w:r>
            <w:r>
              <w:rPr>
                <w:rFonts w:ascii="Times New Roman" w:hAnsi="Times New Roman" w:cs="Times New Roman" w:eastAsiaTheme="minorEastAsia"/>
                <w:color w:val="auto"/>
                <w:w w:val="99"/>
                <w:kern w:val="2"/>
                <w:sz w:val="21"/>
                <w:szCs w:val="21"/>
                <w:highlight w:val="none"/>
                <w:vertAlign w:val="superscript"/>
              </w:rPr>
              <w:t>3</w:t>
            </w:r>
          </w:p>
        </w:tc>
        <w:tc>
          <w:tcPr>
            <w:tcW w:w="89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w:t>
            </w:r>
          </w:p>
        </w:tc>
        <w:tc>
          <w:tcPr>
            <w:tcW w:w="279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snapToGrid w:val="0"/>
                <w:color w:val="auto"/>
                <w:w w:val="99"/>
                <w:sz w:val="21"/>
                <w:szCs w:val="21"/>
                <w:highlight w:val="none"/>
              </w:rPr>
              <w:t>进入井场泥浆槽中，及时拉运至</w:t>
            </w:r>
            <w:r>
              <w:rPr>
                <w:rFonts w:hint="eastAsia" w:ascii="Times New Roman" w:hAnsi="Times New Roman" w:cs="Times New Roman" w:eastAsiaTheme="minorEastAsia"/>
                <w:snapToGrid w:val="0"/>
                <w:color w:val="auto"/>
                <w:w w:val="99"/>
                <w:sz w:val="21"/>
                <w:szCs w:val="21"/>
                <w:highlight w:val="none"/>
              </w:rPr>
              <w:t>大庆油田昆仑集团有限公司环保分公司</w:t>
            </w:r>
            <w:r>
              <w:rPr>
                <w:rFonts w:ascii="Times New Roman" w:hAnsi="Times New Roman" w:cs="Times New Roman" w:eastAsiaTheme="minorEastAsia"/>
                <w:snapToGrid w:val="0"/>
                <w:color w:val="auto"/>
                <w:w w:val="99"/>
                <w:sz w:val="21"/>
                <w:szCs w:val="21"/>
                <w:highlight w:val="none"/>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生活污水</w:t>
            </w: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eastAsia="zh-CN"/>
              </w:rPr>
              <w:t>耗氧量</w:t>
            </w:r>
            <w:r>
              <w:rPr>
                <w:rFonts w:ascii="Times New Roman" w:hAnsi="Times New Roman" w:cs="Times New Roman" w:eastAsiaTheme="minorEastAsia"/>
                <w:color w:val="auto"/>
                <w:w w:val="99"/>
                <w:kern w:val="2"/>
                <w:sz w:val="21"/>
                <w:szCs w:val="21"/>
                <w:highlight w:val="none"/>
              </w:rPr>
              <w:t>、NH</w:t>
            </w:r>
            <w:r>
              <w:rPr>
                <w:rFonts w:ascii="Times New Roman" w:hAnsi="Times New Roman" w:cs="Times New Roman" w:eastAsiaTheme="minorEastAsia"/>
                <w:color w:val="auto"/>
                <w:w w:val="99"/>
                <w:kern w:val="2"/>
                <w:sz w:val="21"/>
                <w:szCs w:val="21"/>
                <w:highlight w:val="none"/>
                <w:vertAlign w:val="subscript"/>
              </w:rPr>
              <w:t>3</w:t>
            </w:r>
            <w:r>
              <w:rPr>
                <w:rFonts w:ascii="Times New Roman" w:hAnsi="Times New Roman" w:cs="Times New Roman" w:eastAsiaTheme="minorEastAsia"/>
                <w:color w:val="auto"/>
                <w:w w:val="99"/>
                <w:kern w:val="2"/>
                <w:sz w:val="21"/>
                <w:szCs w:val="21"/>
                <w:highlight w:val="none"/>
              </w:rPr>
              <w:t>-N</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788.48</w:t>
            </w:r>
            <w:r>
              <w:rPr>
                <w:rFonts w:ascii="Times New Roman" w:hAnsi="Times New Roman" w:cs="Times New Roman" w:eastAsiaTheme="minorEastAsia"/>
                <w:color w:val="auto"/>
                <w:w w:val="99"/>
                <w:kern w:val="2"/>
                <w:sz w:val="21"/>
                <w:szCs w:val="21"/>
                <w:highlight w:val="none"/>
              </w:rPr>
              <w:t>m</w:t>
            </w:r>
            <w:r>
              <w:rPr>
                <w:rFonts w:ascii="Times New Roman" w:hAnsi="Times New Roman" w:cs="Times New Roman" w:eastAsiaTheme="minorEastAsia"/>
                <w:color w:val="auto"/>
                <w:w w:val="99"/>
                <w:kern w:val="2"/>
                <w:sz w:val="21"/>
                <w:szCs w:val="21"/>
                <w:highlight w:val="none"/>
                <w:vertAlign w:val="superscript"/>
              </w:rPr>
              <w:t>3</w:t>
            </w:r>
          </w:p>
        </w:tc>
        <w:tc>
          <w:tcPr>
            <w:tcW w:w="89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w:t>
            </w:r>
          </w:p>
        </w:tc>
        <w:tc>
          <w:tcPr>
            <w:tcW w:w="279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snapToGrid w:val="0"/>
                <w:color w:val="auto"/>
                <w:w w:val="99"/>
                <w:sz w:val="21"/>
                <w:szCs w:val="21"/>
                <w:highlight w:val="none"/>
              </w:rPr>
              <w:t>排入施工井场内临时设置的防渗旱厕，定期清掏外运堆肥处理，施工结束后进行卫生处理，场地进行平整。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固废</w:t>
            </w: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钻机</w:t>
            </w: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钻井岩屑</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4746.66</w:t>
            </w:r>
            <w:r>
              <w:rPr>
                <w:rFonts w:ascii="Times New Roman" w:hAnsi="Times New Roman" w:cs="Times New Roman" w:eastAsiaTheme="minorEastAsia"/>
                <w:color w:val="auto"/>
                <w:w w:val="99"/>
                <w:kern w:val="2"/>
                <w:sz w:val="21"/>
                <w:szCs w:val="21"/>
                <w:highlight w:val="none"/>
              </w:rPr>
              <w:t>m</w:t>
            </w:r>
            <w:r>
              <w:rPr>
                <w:rFonts w:ascii="Times New Roman" w:hAnsi="Times New Roman" w:cs="Times New Roman" w:eastAsiaTheme="minorEastAsia"/>
                <w:color w:val="auto"/>
                <w:w w:val="99"/>
                <w:kern w:val="2"/>
                <w:sz w:val="21"/>
                <w:szCs w:val="21"/>
                <w:highlight w:val="none"/>
                <w:vertAlign w:val="superscript"/>
              </w:rPr>
              <w:t>3</w:t>
            </w:r>
          </w:p>
        </w:tc>
        <w:tc>
          <w:tcPr>
            <w:tcW w:w="89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w:t>
            </w:r>
          </w:p>
        </w:tc>
        <w:tc>
          <w:tcPr>
            <w:tcW w:w="2793"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泥浆槽收集，</w:t>
            </w:r>
            <w:r>
              <w:rPr>
                <w:rFonts w:ascii="Times New Roman" w:hAnsi="Times New Roman" w:cs="Times New Roman" w:eastAsiaTheme="minorEastAsia"/>
                <w:snapToGrid w:val="0"/>
                <w:color w:val="auto"/>
                <w:w w:val="99"/>
                <w:sz w:val="21"/>
                <w:szCs w:val="21"/>
                <w:highlight w:val="none"/>
              </w:rPr>
              <w:t>由施工单位拉运</w:t>
            </w:r>
            <w:r>
              <w:rPr>
                <w:rFonts w:hint="eastAsia" w:ascii="Times New Roman" w:hAnsi="Times New Roman" w:cs="Times New Roman" w:eastAsiaTheme="minorEastAsia"/>
                <w:snapToGrid w:val="0"/>
                <w:color w:val="auto"/>
                <w:w w:val="99"/>
                <w:sz w:val="21"/>
                <w:szCs w:val="21"/>
                <w:highlight w:val="none"/>
              </w:rPr>
              <w:t>大庆油田昆仑集团有限公司环保分公司</w:t>
            </w:r>
            <w:r>
              <w:rPr>
                <w:rFonts w:ascii="Times New Roman" w:hAnsi="Times New Roman" w:cs="Times New Roman" w:eastAsiaTheme="minorEastAsia"/>
                <w:snapToGrid w:val="0"/>
                <w:color w:val="auto"/>
                <w:w w:val="99"/>
                <w:sz w:val="21"/>
                <w:szCs w:val="21"/>
                <w:highlight w:val="none"/>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钻机</w:t>
            </w: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废钻井液</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16262.4</w:t>
            </w:r>
            <w:r>
              <w:rPr>
                <w:rFonts w:ascii="Times New Roman" w:hAnsi="Times New Roman" w:cs="Times New Roman" w:eastAsiaTheme="minorEastAsia"/>
                <w:color w:val="auto"/>
                <w:w w:val="99"/>
                <w:kern w:val="2"/>
                <w:highlight w:val="none"/>
              </w:rPr>
              <w:t>t</w:t>
            </w:r>
          </w:p>
        </w:tc>
        <w:tc>
          <w:tcPr>
            <w:tcW w:w="89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w:t>
            </w:r>
          </w:p>
        </w:tc>
        <w:tc>
          <w:tcPr>
            <w:tcW w:w="2793"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射孔工序</w:t>
            </w: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废射孔液</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176</w:t>
            </w:r>
            <w:r>
              <w:rPr>
                <w:rFonts w:hint="eastAsia" w:ascii="Times New Roman" w:hAnsi="Times New Roman" w:cs="Times New Roman" w:eastAsiaTheme="minorEastAsia"/>
                <w:color w:val="auto"/>
                <w:w w:val="99"/>
                <w:kern w:val="2"/>
                <w:sz w:val="21"/>
                <w:szCs w:val="21"/>
                <w:highlight w:val="none"/>
              </w:rPr>
              <w:t>0m</w:t>
            </w:r>
            <w:r>
              <w:rPr>
                <w:rFonts w:hint="eastAsia" w:ascii="Times New Roman" w:hAnsi="Times New Roman" w:cs="Times New Roman" w:eastAsiaTheme="minorEastAsia"/>
                <w:color w:val="auto"/>
                <w:w w:val="99"/>
                <w:kern w:val="2"/>
                <w:sz w:val="21"/>
                <w:szCs w:val="21"/>
                <w:highlight w:val="none"/>
                <w:vertAlign w:val="superscript"/>
              </w:rPr>
              <w:t>3</w:t>
            </w:r>
          </w:p>
        </w:tc>
        <w:tc>
          <w:tcPr>
            <w:tcW w:w="89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w:t>
            </w:r>
          </w:p>
        </w:tc>
        <w:tc>
          <w:tcPr>
            <w:tcW w:w="2793"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钻井液配制</w:t>
            </w: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膨润土、纯碱、重晶石粉废弃包装袋</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3.652</w:t>
            </w:r>
            <w:r>
              <w:rPr>
                <w:rFonts w:ascii="Times New Roman" w:hAnsi="Times New Roman" w:cs="Times New Roman" w:eastAsiaTheme="minorEastAsia"/>
                <w:color w:val="auto"/>
                <w:w w:val="99"/>
                <w:kern w:val="2"/>
                <w:sz w:val="21"/>
                <w:szCs w:val="21"/>
                <w:highlight w:val="none"/>
              </w:rPr>
              <w:t>t</w:t>
            </w:r>
          </w:p>
        </w:tc>
        <w:tc>
          <w:tcPr>
            <w:tcW w:w="89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w:t>
            </w:r>
          </w:p>
        </w:tc>
        <w:tc>
          <w:tcPr>
            <w:tcW w:w="2793"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按一般固体废物管理，</w:t>
            </w:r>
            <w:r>
              <w:rPr>
                <w:rFonts w:hint="eastAsia" w:ascii="Times New Roman" w:hAnsi="Times New Roman" w:cs="Times New Roman" w:eastAsiaTheme="minorEastAsia"/>
                <w:color w:val="auto"/>
                <w:w w:val="99"/>
                <w:kern w:val="2"/>
                <w:sz w:val="21"/>
                <w:szCs w:val="21"/>
                <w:highlight w:val="none"/>
              </w:rPr>
              <w:t>由施工单位统一收集后拉运至第八采油厂工业固废填埋场处理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井场防渗</w:t>
            </w: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废防渗布</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15.4</w:t>
            </w:r>
            <w:r>
              <w:rPr>
                <w:rFonts w:ascii="Times New Roman" w:hAnsi="Times New Roman" w:cs="Times New Roman" w:eastAsiaTheme="minorEastAsia"/>
                <w:color w:val="auto"/>
                <w:w w:val="99"/>
                <w:kern w:val="2"/>
                <w:sz w:val="21"/>
                <w:szCs w:val="21"/>
                <w:highlight w:val="none"/>
              </w:rPr>
              <w:t>t</w:t>
            </w:r>
          </w:p>
        </w:tc>
        <w:tc>
          <w:tcPr>
            <w:tcW w:w="89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w:t>
            </w:r>
          </w:p>
        </w:tc>
        <w:tc>
          <w:tcPr>
            <w:tcW w:w="2793"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钻井液配制</w:t>
            </w: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KOH废包装袋</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w:t>
            </w:r>
            <w:r>
              <w:rPr>
                <w:rFonts w:hint="eastAsia" w:ascii="Times New Roman" w:hAnsi="Times New Roman" w:cs="Times New Roman" w:eastAsiaTheme="minorEastAsia"/>
                <w:color w:val="auto"/>
                <w:w w:val="99"/>
                <w:kern w:val="2"/>
                <w:sz w:val="21"/>
                <w:szCs w:val="21"/>
                <w:highlight w:val="none"/>
                <w:lang w:val="en-US" w:eastAsia="zh-CN"/>
              </w:rPr>
              <w:t>0</w:t>
            </w:r>
            <w:r>
              <w:rPr>
                <w:rFonts w:hint="eastAsia" w:ascii="Times New Roman" w:hAnsi="Times New Roman" w:cs="Times New Roman" w:eastAsiaTheme="minorEastAsia"/>
                <w:color w:val="auto"/>
                <w:w w:val="99"/>
                <w:kern w:val="2"/>
                <w:sz w:val="21"/>
                <w:szCs w:val="21"/>
                <w:highlight w:val="none"/>
              </w:rPr>
              <w:t>3</w:t>
            </w:r>
            <w:r>
              <w:rPr>
                <w:rFonts w:hint="eastAsia" w:ascii="Times New Roman" w:hAnsi="Times New Roman" w:cs="Times New Roman" w:eastAsiaTheme="minorEastAsia"/>
                <w:color w:val="auto"/>
                <w:w w:val="99"/>
                <w:kern w:val="2"/>
                <w:sz w:val="21"/>
                <w:szCs w:val="21"/>
                <w:highlight w:val="none"/>
                <w:lang w:val="en-US" w:eastAsia="zh-CN"/>
              </w:rPr>
              <w:t>52</w:t>
            </w:r>
            <w:r>
              <w:rPr>
                <w:rFonts w:hint="eastAsia" w:ascii="Times New Roman" w:hAnsi="Times New Roman" w:cs="Times New Roman" w:eastAsiaTheme="minorEastAsia"/>
                <w:color w:val="auto"/>
                <w:w w:val="99"/>
                <w:kern w:val="2"/>
                <w:sz w:val="21"/>
                <w:szCs w:val="21"/>
                <w:highlight w:val="none"/>
              </w:rPr>
              <w:t>t</w:t>
            </w:r>
          </w:p>
        </w:tc>
        <w:tc>
          <w:tcPr>
            <w:tcW w:w="89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w:t>
            </w:r>
          </w:p>
        </w:tc>
        <w:tc>
          <w:tcPr>
            <w:tcW w:w="279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按危险废物管理，经收集后直接由施工单位委托资质单位处理，不在井场暂存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生活设施</w:t>
            </w: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生活垃圾</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3</w:t>
            </w:r>
            <w:r>
              <w:rPr>
                <w:rFonts w:ascii="Times New Roman" w:hAnsi="Times New Roman" w:cs="Times New Roman" w:eastAsiaTheme="minorEastAsia"/>
                <w:color w:val="auto"/>
                <w:w w:val="99"/>
                <w:kern w:val="2"/>
                <w:sz w:val="21"/>
                <w:szCs w:val="21"/>
                <w:highlight w:val="none"/>
              </w:rPr>
              <w:t>.</w:t>
            </w:r>
            <w:r>
              <w:rPr>
                <w:rFonts w:hint="eastAsia" w:ascii="Times New Roman" w:hAnsi="Times New Roman" w:cs="Times New Roman" w:eastAsiaTheme="minorEastAsia"/>
                <w:color w:val="auto"/>
                <w:w w:val="99"/>
                <w:kern w:val="2"/>
                <w:sz w:val="21"/>
                <w:szCs w:val="21"/>
                <w:highlight w:val="none"/>
                <w:lang w:val="en-US" w:eastAsia="zh-CN"/>
              </w:rPr>
              <w:t>0</w:t>
            </w:r>
            <w:r>
              <w:rPr>
                <w:rFonts w:ascii="Times New Roman" w:hAnsi="Times New Roman" w:cs="Times New Roman" w:eastAsiaTheme="minorEastAsia"/>
                <w:color w:val="auto"/>
                <w:w w:val="99"/>
                <w:kern w:val="2"/>
                <w:sz w:val="21"/>
                <w:szCs w:val="21"/>
                <w:highlight w:val="none"/>
              </w:rPr>
              <w:t>8t</w:t>
            </w:r>
          </w:p>
        </w:tc>
        <w:tc>
          <w:tcPr>
            <w:tcW w:w="89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w:t>
            </w:r>
          </w:p>
        </w:tc>
        <w:tc>
          <w:tcPr>
            <w:tcW w:w="279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统一收集后运至</w:t>
            </w:r>
            <w:r>
              <w:rPr>
                <w:rFonts w:hint="eastAsia" w:ascii="Times New Roman" w:hAnsi="Times New Roman" w:cs="Times New Roman" w:eastAsiaTheme="minorEastAsia"/>
                <w:color w:val="auto"/>
                <w:w w:val="99"/>
                <w:kern w:val="2"/>
                <w:sz w:val="21"/>
                <w:szCs w:val="21"/>
                <w:highlight w:val="none"/>
                <w:lang w:eastAsia="zh-CN"/>
              </w:rPr>
              <w:t>肇东市生活垃圾填埋场</w:t>
            </w:r>
            <w:r>
              <w:rPr>
                <w:rFonts w:hint="eastAsia" w:ascii="Times New Roman" w:hAnsi="Times New Roman" w:cs="Times New Roman" w:eastAsiaTheme="minorEastAsia"/>
                <w:color w:val="auto"/>
                <w:w w:val="99"/>
                <w:kern w:val="2"/>
                <w:sz w:val="21"/>
                <w:szCs w:val="21"/>
                <w:highlight w:val="none"/>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噪声</w:t>
            </w: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运输车辆、施工机械、钻机等</w:t>
            </w:r>
          </w:p>
        </w:tc>
        <w:tc>
          <w:tcPr>
            <w:tcW w:w="3726" w:type="dxa"/>
            <w:gridSpan w:val="3"/>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70～90dB(A)</w:t>
            </w:r>
          </w:p>
        </w:tc>
        <w:tc>
          <w:tcPr>
            <w:tcW w:w="279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合理布局，机座减振</w:t>
            </w:r>
          </w:p>
        </w:tc>
      </w:tr>
    </w:tbl>
    <w:p>
      <w:pPr>
        <w:pStyle w:val="5"/>
        <w:widowControl w:val="0"/>
        <w:spacing w:before="120" w:after="120" w:line="500" w:lineRule="atLeast"/>
        <w:rPr>
          <w:rFonts w:ascii="Times New Roman" w:hAnsi="Times New Roman"/>
          <w:b/>
          <w:snapToGrid w:val="0"/>
          <w:color w:val="auto"/>
          <w:w w:val="99"/>
          <w:highlight w:val="none"/>
        </w:rPr>
      </w:pPr>
      <w:bookmarkStart w:id="1500" w:name="_Toc80105298"/>
      <w:r>
        <w:rPr>
          <w:rFonts w:ascii="Times New Roman" w:hAnsi="Times New Roman"/>
          <w:b/>
          <w:snapToGrid w:val="0"/>
          <w:color w:val="auto"/>
          <w:w w:val="99"/>
          <w:highlight w:val="none"/>
        </w:rPr>
        <w:t>8.5 施工期环境管理与监测计划</w:t>
      </w:r>
      <w:bookmarkEnd w:id="1500"/>
    </w:p>
    <w:p>
      <w:pPr>
        <w:pStyle w:val="7"/>
        <w:widowControl w:val="0"/>
        <w:spacing w:before="60" w:after="60" w:line="500" w:lineRule="atLeast"/>
        <w:jc w:val="both"/>
        <w:rPr>
          <w:b/>
          <w:color w:val="auto"/>
          <w:w w:val="99"/>
          <w:kern w:val="2"/>
          <w:sz w:val="24"/>
          <w:szCs w:val="24"/>
          <w:highlight w:val="none"/>
        </w:rPr>
      </w:pPr>
      <w:bookmarkStart w:id="1501" w:name="_Toc69690954"/>
      <w:bookmarkStart w:id="1502" w:name="_Toc74812229"/>
      <w:bookmarkStart w:id="1503" w:name="_Toc71372084"/>
      <w:bookmarkStart w:id="1504" w:name="_Toc80105299"/>
      <w:bookmarkStart w:id="1505" w:name="_Toc61597358"/>
      <w:bookmarkStart w:id="1506" w:name="_Toc74812468"/>
      <w:bookmarkStart w:id="1507" w:name="_Toc77667443"/>
      <w:bookmarkStart w:id="1508" w:name="_Toc67523735"/>
      <w:r>
        <w:rPr>
          <w:b/>
          <w:color w:val="auto"/>
          <w:w w:val="99"/>
          <w:kern w:val="2"/>
          <w:sz w:val="24"/>
          <w:szCs w:val="24"/>
          <w:highlight w:val="none"/>
        </w:rPr>
        <w:t>8.5.1加强工程承包方管理</w:t>
      </w:r>
      <w:bookmarkEnd w:id="1501"/>
      <w:bookmarkEnd w:id="1502"/>
      <w:bookmarkEnd w:id="1503"/>
      <w:bookmarkEnd w:id="1504"/>
      <w:bookmarkEnd w:id="1505"/>
      <w:bookmarkEnd w:id="1506"/>
      <w:bookmarkEnd w:id="1507"/>
      <w:bookmarkEnd w:id="1508"/>
    </w:p>
    <w:p>
      <w:pPr>
        <w:pStyle w:val="32"/>
        <w:widowControl w:val="0"/>
        <w:autoSpaceDE w:val="0"/>
        <w:autoSpaceDN w:val="0"/>
        <w:spacing w:line="500" w:lineRule="atLeas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要与具有相关资质的施工作业单位签定《工程服务安全生产合同》，执行HSE管理体系，对项目实施HSE立卷管理，并按其内容执行。针对工程的承包方，应加强环境管理，制定出严格的环保管理制度：</w:t>
      </w:r>
    </w:p>
    <w:p>
      <w:pPr>
        <w:pStyle w:val="32"/>
        <w:widowControl w:val="0"/>
        <w:autoSpaceDE w:val="0"/>
        <w:autoSpaceDN w:val="0"/>
        <w:spacing w:line="500" w:lineRule="atLeas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（1）在承包方的选择上应优先选择那些环保管理水平高、环保业绩好的单位；</w:t>
      </w:r>
    </w:p>
    <w:p>
      <w:pPr>
        <w:pStyle w:val="32"/>
        <w:widowControl w:val="0"/>
        <w:autoSpaceDE w:val="0"/>
        <w:autoSpaceDN w:val="0"/>
        <w:spacing w:line="500" w:lineRule="atLeas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（2）在承包合同中应明确有关环境保护条款，如环境保护目标，采取的水、气、声和生态保护措施等，将环保工作的好坏作为工程验收的标准之一；</w:t>
      </w:r>
    </w:p>
    <w:p>
      <w:pPr>
        <w:pStyle w:val="32"/>
        <w:widowControl w:val="0"/>
        <w:autoSpaceDE w:val="0"/>
        <w:autoSpaceDN w:val="0"/>
        <w:spacing w:line="500" w:lineRule="atLeas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（3）各分承包方应按照项目部的环境管理制度要求，建立相应的环境管理机构，明确环保管理人员，明确人员职责等；</w:t>
      </w:r>
    </w:p>
    <w:p>
      <w:pPr>
        <w:pStyle w:val="32"/>
        <w:widowControl w:val="0"/>
        <w:autoSpaceDE w:val="0"/>
        <w:autoSpaceDN w:val="0"/>
        <w:spacing w:line="500" w:lineRule="atLeas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（4）各分承包方在施工之前，编制详细的“环境管理方案”，并连同施工计划一起呈报项目经理部以及有关的环保部门，批准后方可以开工。</w:t>
      </w:r>
    </w:p>
    <w:p>
      <w:pPr>
        <w:pStyle w:val="7"/>
        <w:widowControl w:val="0"/>
        <w:spacing w:before="60" w:after="60" w:line="500" w:lineRule="atLeast"/>
        <w:jc w:val="both"/>
        <w:rPr>
          <w:b/>
          <w:color w:val="auto"/>
          <w:w w:val="99"/>
          <w:kern w:val="2"/>
          <w:sz w:val="24"/>
          <w:szCs w:val="24"/>
          <w:highlight w:val="none"/>
        </w:rPr>
      </w:pPr>
      <w:bookmarkStart w:id="1509" w:name="_Toc67523736"/>
      <w:bookmarkStart w:id="1510" w:name="_Toc74812230"/>
      <w:bookmarkStart w:id="1511" w:name="_Toc71372085"/>
      <w:bookmarkStart w:id="1512" w:name="_Toc61597359"/>
      <w:bookmarkStart w:id="1513" w:name="_Toc80105300"/>
      <w:bookmarkStart w:id="1514" w:name="_Toc69690955"/>
      <w:bookmarkStart w:id="1515" w:name="_Toc77667444"/>
      <w:bookmarkStart w:id="1516" w:name="_Toc74812469"/>
      <w:r>
        <w:rPr>
          <w:b/>
          <w:color w:val="auto"/>
          <w:w w:val="99"/>
          <w:kern w:val="2"/>
          <w:sz w:val="24"/>
          <w:szCs w:val="24"/>
          <w:highlight w:val="none"/>
        </w:rPr>
        <w:t>8.5.2注重人员培训</w:t>
      </w:r>
      <w:bookmarkEnd w:id="1509"/>
      <w:bookmarkEnd w:id="1510"/>
      <w:bookmarkEnd w:id="1511"/>
      <w:bookmarkEnd w:id="1512"/>
      <w:bookmarkEnd w:id="1513"/>
      <w:bookmarkEnd w:id="1514"/>
      <w:bookmarkEnd w:id="1515"/>
      <w:bookmarkEnd w:id="1516"/>
    </w:p>
    <w:p>
      <w:pPr>
        <w:pStyle w:val="32"/>
        <w:widowControl w:val="0"/>
        <w:autoSpaceDE w:val="0"/>
        <w:autoSpaceDN w:val="0"/>
        <w:spacing w:line="500" w:lineRule="atLeas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施工作业之前必须对全体施工人员进行包括环保知识、意识和能力的培训。其中环保能力的培训主要包括：保护生态环境的规定；减少和收集、处理固体废物的方法；管理、存放及处理危险品的方法；国家及当地政府的环境保护法律、法规等。</w:t>
      </w:r>
    </w:p>
    <w:p>
      <w:pPr>
        <w:pStyle w:val="7"/>
        <w:widowControl w:val="0"/>
        <w:spacing w:before="60" w:after="60" w:line="500" w:lineRule="atLeast"/>
        <w:jc w:val="both"/>
        <w:rPr>
          <w:b/>
          <w:color w:val="auto"/>
          <w:w w:val="99"/>
          <w:kern w:val="2"/>
          <w:sz w:val="24"/>
          <w:szCs w:val="24"/>
          <w:highlight w:val="none"/>
        </w:rPr>
      </w:pPr>
      <w:bookmarkStart w:id="1517" w:name="_Toc61597360"/>
      <w:bookmarkStart w:id="1518" w:name="_Toc80105301"/>
      <w:bookmarkStart w:id="1519" w:name="_Toc74812231"/>
      <w:bookmarkStart w:id="1520" w:name="_Toc77667445"/>
      <w:bookmarkStart w:id="1521" w:name="_Toc71372086"/>
      <w:bookmarkStart w:id="1522" w:name="_Toc69690956"/>
      <w:bookmarkStart w:id="1523" w:name="_Toc67523737"/>
      <w:bookmarkStart w:id="1524" w:name="_Toc74812470"/>
      <w:r>
        <w:rPr>
          <w:b/>
          <w:color w:val="auto"/>
          <w:w w:val="99"/>
          <w:kern w:val="2"/>
          <w:sz w:val="24"/>
          <w:szCs w:val="24"/>
          <w:highlight w:val="none"/>
        </w:rPr>
        <w:t>8.5.3环境监测计划</w:t>
      </w:r>
      <w:bookmarkEnd w:id="1517"/>
      <w:bookmarkEnd w:id="1518"/>
      <w:bookmarkEnd w:id="1519"/>
      <w:bookmarkEnd w:id="1520"/>
      <w:bookmarkEnd w:id="1521"/>
      <w:bookmarkEnd w:id="1522"/>
      <w:bookmarkEnd w:id="1523"/>
      <w:bookmarkEnd w:id="1524"/>
    </w:p>
    <w:p>
      <w:pPr>
        <w:pStyle w:val="32"/>
        <w:widowControl w:val="0"/>
        <w:autoSpaceDE w:val="0"/>
        <w:autoSpaceDN w:val="0"/>
        <w:spacing w:line="500" w:lineRule="atLeas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施工期的环境监测包括对作业场所的控制监测和事故发生后的影响监测。主要监测对象有土壤、植被、施工作业废渣、废水、噪声等。监测工作由HSE人员负责组织完成，具体监测可委托具有环境监测资质单位完成。</w:t>
      </w:r>
    </w:p>
    <w:p>
      <w:pPr>
        <w:pStyle w:val="32"/>
        <w:widowControl w:val="0"/>
        <w:autoSpaceDE w:val="0"/>
        <w:autoSpaceDN w:val="0"/>
        <w:spacing w:line="500" w:lineRule="atLeas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根据油田钻井期环境污染的特点，单井的施工时间为14天，施工时间较短，本工程仅为钻井施工，运营期监测计划需结合《排污单位自行监测技术指南 总则》（HJ 819-2017）、后续地面产能建设工程制定，本工程</w:t>
      </w:r>
      <w:r>
        <w:rPr>
          <w:rFonts w:hint="eastAsia" w:ascii="Times New Roman" w:hAnsi="Times New Roman" w:eastAsiaTheme="minorEastAsia"/>
          <w:color w:val="auto"/>
          <w:w w:val="99"/>
          <w:szCs w:val="24"/>
          <w:highlight w:val="none"/>
        </w:rPr>
        <w:t>环境</w:t>
      </w:r>
      <w:r>
        <w:rPr>
          <w:rFonts w:ascii="Times New Roman" w:hAnsi="Times New Roman" w:eastAsiaTheme="minorEastAsia"/>
          <w:color w:val="auto"/>
          <w:w w:val="99"/>
          <w:szCs w:val="24"/>
          <w:highlight w:val="none"/>
        </w:rPr>
        <w:t>质量监测计划见表</w:t>
      </w:r>
      <w:r>
        <w:rPr>
          <w:rFonts w:hint="eastAsia" w:ascii="Times New Roman" w:hAnsi="Times New Roman" w:eastAsiaTheme="minorEastAsia"/>
          <w:color w:val="auto"/>
          <w:w w:val="99"/>
          <w:szCs w:val="24"/>
          <w:highlight w:val="none"/>
        </w:rPr>
        <w:t>8.5-1，污染源</w:t>
      </w:r>
      <w:r>
        <w:rPr>
          <w:rFonts w:ascii="Times New Roman" w:hAnsi="Times New Roman" w:eastAsiaTheme="minorEastAsia"/>
          <w:color w:val="auto"/>
          <w:w w:val="99"/>
          <w:szCs w:val="24"/>
          <w:highlight w:val="none"/>
        </w:rPr>
        <w:t>监测计划见表</w:t>
      </w:r>
      <w:r>
        <w:rPr>
          <w:rFonts w:hint="eastAsia" w:ascii="Times New Roman" w:hAnsi="Times New Roman" w:eastAsiaTheme="minorEastAsia"/>
          <w:color w:val="auto"/>
          <w:w w:val="99"/>
          <w:szCs w:val="24"/>
          <w:highlight w:val="none"/>
        </w:rPr>
        <w:t>8.5-</w:t>
      </w:r>
      <w:r>
        <w:rPr>
          <w:rFonts w:ascii="Times New Roman" w:hAnsi="Times New Roman" w:eastAsiaTheme="minorEastAsia"/>
          <w:color w:val="auto"/>
          <w:w w:val="99"/>
          <w:szCs w:val="24"/>
          <w:highlight w:val="none"/>
        </w:rPr>
        <w:t>2</w:t>
      </w:r>
      <w:r>
        <w:rPr>
          <w:rFonts w:hint="eastAsia" w:ascii="Times New Roman" w:hAnsi="Times New Roman" w:eastAsiaTheme="minorEastAsia"/>
          <w:color w:val="auto"/>
          <w:w w:val="99"/>
          <w:szCs w:val="24"/>
          <w:highlight w:val="none"/>
        </w:rPr>
        <w:t>，</w:t>
      </w:r>
      <w:r>
        <w:rPr>
          <w:rFonts w:ascii="Times New Roman" w:hAnsi="Times New Roman" w:eastAsiaTheme="minorEastAsia"/>
          <w:color w:val="auto"/>
          <w:w w:val="99"/>
          <w:szCs w:val="24"/>
          <w:highlight w:val="none"/>
        </w:rPr>
        <w:t>生态调查方案</w:t>
      </w:r>
      <w:r>
        <w:rPr>
          <w:rFonts w:hint="eastAsia" w:ascii="Times New Roman" w:hAnsi="Times New Roman" w:eastAsiaTheme="minorEastAsia"/>
          <w:color w:val="auto"/>
          <w:w w:val="99"/>
          <w:szCs w:val="24"/>
          <w:highlight w:val="none"/>
        </w:rPr>
        <w:t>见</w:t>
      </w:r>
      <w:r>
        <w:rPr>
          <w:rFonts w:ascii="Times New Roman" w:hAnsi="Times New Roman" w:eastAsiaTheme="minorEastAsia"/>
          <w:color w:val="auto"/>
          <w:w w:val="99"/>
          <w:szCs w:val="24"/>
          <w:highlight w:val="none"/>
        </w:rPr>
        <w:t xml:space="preserve">表 </w:t>
      </w:r>
      <w:r>
        <w:rPr>
          <w:rFonts w:hint="eastAsia" w:ascii="Times New Roman" w:hAnsi="Times New Roman" w:eastAsiaTheme="minorEastAsia"/>
          <w:color w:val="auto"/>
          <w:w w:val="99"/>
          <w:szCs w:val="24"/>
          <w:highlight w:val="none"/>
        </w:rPr>
        <w:t>8.5-</w:t>
      </w:r>
      <w:r>
        <w:rPr>
          <w:rFonts w:ascii="Times New Roman" w:hAnsi="Times New Roman" w:eastAsiaTheme="minorEastAsia"/>
          <w:color w:val="auto"/>
          <w:w w:val="99"/>
          <w:szCs w:val="24"/>
          <w:highlight w:val="none"/>
        </w:rPr>
        <w:t>3</w:t>
      </w:r>
      <w:r>
        <w:rPr>
          <w:rFonts w:hint="eastAsia" w:ascii="Times New Roman" w:hAnsi="Times New Roman" w:eastAsiaTheme="minorEastAsia"/>
          <w:color w:val="auto"/>
          <w:w w:val="99"/>
          <w:szCs w:val="24"/>
          <w:highlight w:val="none"/>
        </w:rPr>
        <w:t>。</w:t>
      </w:r>
    </w:p>
    <w:p>
      <w:pPr>
        <w:pStyle w:val="32"/>
        <w:widowControl w:val="0"/>
        <w:autoSpaceDE w:val="0"/>
        <w:autoSpaceDN w:val="0"/>
        <w:spacing w:line="500" w:lineRule="atLeast"/>
        <w:ind w:firstLine="476" w:firstLineChars="200"/>
        <w:rPr>
          <w:rFonts w:ascii="Times New Roman" w:hAnsi="Times New Roman" w:eastAsiaTheme="minorEastAsia"/>
          <w:b/>
          <w:bCs/>
          <w:color w:val="auto"/>
          <w:w w:val="99"/>
          <w:szCs w:val="24"/>
          <w:highlight w:val="none"/>
        </w:rPr>
      </w:pPr>
      <w:r>
        <w:rPr>
          <w:rFonts w:ascii="Times New Roman" w:hAnsi="Times New Roman" w:eastAsiaTheme="minorEastAsia"/>
          <w:b/>
          <w:bCs/>
          <w:color w:val="auto"/>
          <w:w w:val="99"/>
          <w:szCs w:val="24"/>
          <w:highlight w:val="none"/>
        </w:rPr>
        <w:t xml:space="preserve">表8.5-1                </w:t>
      </w:r>
      <w:r>
        <w:rPr>
          <w:rFonts w:hint="eastAsia" w:ascii="Times New Roman" w:hAnsi="Times New Roman" w:eastAsiaTheme="minorEastAsia"/>
          <w:b/>
          <w:bCs/>
          <w:color w:val="auto"/>
          <w:w w:val="99"/>
          <w:szCs w:val="24"/>
          <w:highlight w:val="none"/>
        </w:rPr>
        <w:t>环境</w:t>
      </w:r>
      <w:r>
        <w:rPr>
          <w:rFonts w:ascii="Times New Roman" w:hAnsi="Times New Roman" w:eastAsiaTheme="minorEastAsia"/>
          <w:b/>
          <w:bCs/>
          <w:color w:val="auto"/>
          <w:w w:val="99"/>
          <w:szCs w:val="24"/>
          <w:highlight w:val="none"/>
        </w:rPr>
        <w:t>质量监测计划一览表</w:t>
      </w:r>
    </w:p>
    <w:tbl>
      <w:tblPr>
        <w:tblStyle w:val="8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3"/>
        <w:gridCol w:w="846"/>
        <w:gridCol w:w="2552"/>
        <w:gridCol w:w="4394"/>
        <w:gridCol w:w="8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序号</w:t>
            </w:r>
          </w:p>
        </w:tc>
        <w:tc>
          <w:tcPr>
            <w:tcW w:w="846"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监测内容</w:t>
            </w:r>
          </w:p>
        </w:tc>
        <w:tc>
          <w:tcPr>
            <w:tcW w:w="2552"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监测项目</w:t>
            </w:r>
          </w:p>
        </w:tc>
        <w:tc>
          <w:tcPr>
            <w:tcW w:w="4394"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监测点位</w:t>
            </w:r>
          </w:p>
        </w:tc>
        <w:tc>
          <w:tcPr>
            <w:tcW w:w="840"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1</w:t>
            </w:r>
          </w:p>
        </w:tc>
        <w:tc>
          <w:tcPr>
            <w:tcW w:w="846"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地下水</w:t>
            </w:r>
          </w:p>
        </w:tc>
        <w:tc>
          <w:tcPr>
            <w:tcW w:w="2552"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pH、挥发酚、石油类、</w:t>
            </w:r>
            <w:r>
              <w:rPr>
                <w:rFonts w:hint="eastAsia" w:ascii="Times New Roman" w:hAnsi="Times New Roman" w:eastAsiaTheme="minorEastAsia"/>
                <w:snapToGrid w:val="0"/>
                <w:color w:val="auto"/>
                <w:w w:val="99"/>
                <w:sz w:val="21"/>
                <w:szCs w:val="21"/>
                <w:highlight w:val="none"/>
                <w:lang w:eastAsia="zh-CN"/>
              </w:rPr>
              <w:t>耗氧量</w:t>
            </w:r>
            <w:r>
              <w:rPr>
                <w:rFonts w:ascii="Times New Roman" w:hAnsi="Times New Roman" w:eastAsiaTheme="minorEastAsia"/>
                <w:snapToGrid w:val="0"/>
                <w:color w:val="auto"/>
                <w:w w:val="99"/>
                <w:sz w:val="21"/>
                <w:szCs w:val="21"/>
                <w:highlight w:val="none"/>
              </w:rPr>
              <w:t>（耗氧量）</w:t>
            </w:r>
          </w:p>
        </w:tc>
        <w:tc>
          <w:tcPr>
            <w:tcW w:w="4394"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上游</w:t>
            </w:r>
            <w:r>
              <w:rPr>
                <w:rFonts w:hint="eastAsia" w:ascii="Times New Roman" w:hAnsi="Times New Roman" w:eastAsiaTheme="minorEastAsia"/>
                <w:snapToGrid w:val="0"/>
                <w:color w:val="auto"/>
                <w:w w:val="99"/>
                <w:sz w:val="21"/>
                <w:szCs w:val="21"/>
                <w:highlight w:val="none"/>
                <w:lang w:eastAsia="zh-CN"/>
              </w:rPr>
              <w:t>后仓粮</w:t>
            </w:r>
            <w:r>
              <w:rPr>
                <w:rFonts w:ascii="Times New Roman" w:hAnsi="Times New Roman" w:eastAsiaTheme="minorEastAsia"/>
                <w:snapToGrid w:val="0"/>
                <w:color w:val="auto"/>
                <w:w w:val="99"/>
                <w:sz w:val="21"/>
                <w:szCs w:val="21"/>
                <w:highlight w:val="none"/>
              </w:rPr>
              <w:t>水井</w:t>
            </w:r>
            <w:r>
              <w:rPr>
                <w:rFonts w:hint="eastAsia" w:ascii="Times New Roman" w:hAnsi="Times New Roman" w:eastAsiaTheme="minorEastAsia"/>
                <w:snapToGrid w:val="0"/>
                <w:color w:val="auto"/>
                <w:w w:val="99"/>
                <w:sz w:val="21"/>
                <w:szCs w:val="21"/>
                <w:highlight w:val="none"/>
              </w:rPr>
              <w:t>（坐标：125.01523018,45.57848391</w:t>
            </w:r>
            <w:r>
              <w:rPr>
                <w:rFonts w:ascii="Times New Roman" w:hAnsi="Times New Roman" w:eastAsiaTheme="minorEastAsia"/>
                <w:snapToGrid w:val="0"/>
                <w:color w:val="auto"/>
                <w:w w:val="99"/>
                <w:sz w:val="21"/>
                <w:szCs w:val="21"/>
                <w:highlight w:val="none"/>
              </w:rPr>
              <w:t>）布设1口潜水背景值监测水井，在区域内</w:t>
            </w:r>
            <w:r>
              <w:rPr>
                <w:rFonts w:hint="eastAsia" w:ascii="Times New Roman" w:hAnsi="Times New Roman" w:eastAsiaTheme="minorEastAsia"/>
                <w:snapToGrid w:val="0"/>
                <w:color w:val="auto"/>
                <w:w w:val="99"/>
                <w:sz w:val="21"/>
                <w:szCs w:val="21"/>
                <w:highlight w:val="none"/>
                <w:lang w:eastAsia="zh-CN"/>
              </w:rPr>
              <w:t>厢房屯</w:t>
            </w:r>
            <w:r>
              <w:rPr>
                <w:rFonts w:ascii="Times New Roman" w:hAnsi="Times New Roman" w:eastAsiaTheme="minorEastAsia"/>
                <w:snapToGrid w:val="0"/>
                <w:color w:val="auto"/>
                <w:w w:val="99"/>
                <w:sz w:val="21"/>
                <w:szCs w:val="21"/>
                <w:highlight w:val="none"/>
              </w:rPr>
              <w:t>水井</w:t>
            </w:r>
            <w:r>
              <w:rPr>
                <w:rFonts w:hint="eastAsia" w:ascii="Times New Roman" w:hAnsi="Times New Roman" w:eastAsiaTheme="minorEastAsia"/>
                <w:snapToGrid w:val="0"/>
                <w:color w:val="auto"/>
                <w:w w:val="99"/>
                <w:sz w:val="21"/>
                <w:szCs w:val="21"/>
                <w:highlight w:val="none"/>
              </w:rPr>
              <w:t>（坐标：125.00428677,45.56709843</w:t>
            </w:r>
            <w:r>
              <w:rPr>
                <w:rFonts w:ascii="Times New Roman" w:hAnsi="Times New Roman" w:eastAsiaTheme="minorEastAsia"/>
                <w:snapToGrid w:val="0"/>
                <w:color w:val="auto"/>
                <w:w w:val="99"/>
                <w:sz w:val="21"/>
                <w:szCs w:val="21"/>
                <w:highlight w:val="none"/>
              </w:rPr>
              <w:t>）、区域下游</w:t>
            </w:r>
            <w:r>
              <w:rPr>
                <w:rFonts w:hint="eastAsia" w:ascii="Times New Roman" w:hAnsi="Times New Roman" w:eastAsiaTheme="minorEastAsia"/>
                <w:snapToGrid w:val="0"/>
                <w:color w:val="auto"/>
                <w:w w:val="99"/>
                <w:sz w:val="21"/>
                <w:szCs w:val="21"/>
                <w:highlight w:val="none"/>
                <w:lang w:eastAsia="zh-CN"/>
              </w:rPr>
              <w:t>后永利村</w:t>
            </w:r>
            <w:r>
              <w:rPr>
                <w:rFonts w:hint="eastAsia" w:ascii="Times New Roman" w:hAnsi="Times New Roman" w:eastAsiaTheme="minorEastAsia"/>
                <w:snapToGrid w:val="0"/>
                <w:color w:val="auto"/>
                <w:w w:val="99"/>
                <w:sz w:val="21"/>
                <w:szCs w:val="21"/>
                <w:highlight w:val="none"/>
              </w:rPr>
              <w:t>水井（坐标：124.99969482,45.55114286</w:t>
            </w:r>
            <w:r>
              <w:rPr>
                <w:rFonts w:ascii="Times New Roman" w:hAnsi="Times New Roman" w:eastAsiaTheme="minorEastAsia"/>
                <w:snapToGrid w:val="0"/>
                <w:color w:val="auto"/>
                <w:w w:val="99"/>
                <w:sz w:val="21"/>
                <w:szCs w:val="21"/>
                <w:highlight w:val="none"/>
              </w:rPr>
              <w:t>）</w:t>
            </w:r>
          </w:p>
        </w:tc>
        <w:tc>
          <w:tcPr>
            <w:tcW w:w="840"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1次/施工期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2</w:t>
            </w:r>
          </w:p>
        </w:tc>
        <w:tc>
          <w:tcPr>
            <w:tcW w:w="846"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土壤</w:t>
            </w:r>
          </w:p>
        </w:tc>
        <w:tc>
          <w:tcPr>
            <w:tcW w:w="2552"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color w:val="auto"/>
                <w:w w:val="99"/>
                <w:sz w:val="21"/>
                <w:szCs w:val="21"/>
                <w:highlight w:val="none"/>
              </w:rPr>
              <w:t>石油烃、pH</w:t>
            </w:r>
          </w:p>
        </w:tc>
        <w:tc>
          <w:tcPr>
            <w:tcW w:w="4394"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hint="eastAsia" w:ascii="Times New Roman" w:hAnsi="Times New Roman" w:eastAsiaTheme="minorEastAsia"/>
                <w:snapToGrid w:val="0"/>
                <w:color w:val="auto"/>
                <w:w w:val="99"/>
                <w:sz w:val="21"/>
                <w:szCs w:val="21"/>
                <w:highlight w:val="none"/>
              </w:rPr>
              <w:t>源244-134</w:t>
            </w:r>
            <w:r>
              <w:rPr>
                <w:rFonts w:ascii="Times New Roman" w:hAnsi="Times New Roman" w:eastAsiaTheme="minorEastAsia"/>
                <w:snapToGrid w:val="0"/>
                <w:color w:val="auto"/>
                <w:w w:val="99"/>
                <w:sz w:val="21"/>
                <w:szCs w:val="21"/>
                <w:highlight w:val="none"/>
              </w:rPr>
              <w:t>井场内、</w:t>
            </w:r>
            <w:r>
              <w:rPr>
                <w:rFonts w:hint="eastAsia" w:ascii="Times New Roman" w:hAnsi="Times New Roman" w:eastAsiaTheme="minorEastAsia"/>
                <w:snapToGrid w:val="0"/>
                <w:color w:val="auto"/>
                <w:w w:val="99"/>
                <w:sz w:val="21"/>
                <w:szCs w:val="21"/>
                <w:highlight w:val="none"/>
              </w:rPr>
              <w:t>源256-128</w:t>
            </w:r>
            <w:r>
              <w:rPr>
                <w:rFonts w:ascii="Times New Roman" w:hAnsi="Times New Roman" w:eastAsiaTheme="minorEastAsia"/>
                <w:snapToGrid w:val="0"/>
                <w:color w:val="auto"/>
                <w:w w:val="99"/>
                <w:sz w:val="21"/>
                <w:szCs w:val="21"/>
                <w:highlight w:val="none"/>
              </w:rPr>
              <w:t>井场东北侧60m耕地</w:t>
            </w:r>
            <w:r>
              <w:rPr>
                <w:rFonts w:hint="eastAsia" w:ascii="Times New Roman" w:hAnsi="Times New Roman" w:eastAsiaTheme="minorEastAsia"/>
                <w:snapToGrid w:val="0"/>
                <w:color w:val="auto"/>
                <w:w w:val="99"/>
                <w:sz w:val="21"/>
                <w:szCs w:val="21"/>
                <w:highlight w:val="none"/>
                <w:lang w:eastAsia="zh-CN"/>
              </w:rPr>
              <w:t>、</w:t>
            </w:r>
            <w:r>
              <w:rPr>
                <w:rFonts w:hint="eastAsia" w:ascii="Times New Roman" w:hAnsi="Times New Roman" w:eastAsiaTheme="minorEastAsia"/>
                <w:snapToGrid w:val="0"/>
                <w:color w:val="auto"/>
                <w:w w:val="99"/>
                <w:sz w:val="21"/>
                <w:szCs w:val="21"/>
                <w:highlight w:val="none"/>
              </w:rPr>
              <w:t>源312-104</w:t>
            </w:r>
            <w:r>
              <w:rPr>
                <w:rFonts w:ascii="Times New Roman" w:hAnsi="Times New Roman" w:eastAsiaTheme="minorEastAsia"/>
                <w:snapToGrid w:val="0"/>
                <w:color w:val="auto"/>
                <w:w w:val="99"/>
                <w:sz w:val="21"/>
                <w:szCs w:val="21"/>
                <w:highlight w:val="none"/>
              </w:rPr>
              <w:t>井场东北侧60m</w:t>
            </w:r>
            <w:r>
              <w:rPr>
                <w:rFonts w:hint="eastAsia" w:ascii="Times New Roman" w:hAnsi="Times New Roman" w:eastAsiaTheme="minorEastAsia"/>
                <w:snapToGrid w:val="0"/>
                <w:color w:val="auto"/>
                <w:w w:val="99"/>
                <w:sz w:val="21"/>
                <w:szCs w:val="21"/>
                <w:highlight w:val="none"/>
                <w:lang w:eastAsia="zh-CN"/>
              </w:rPr>
              <w:t>耕</w:t>
            </w:r>
            <w:r>
              <w:rPr>
                <w:rFonts w:ascii="Times New Roman" w:hAnsi="Times New Roman" w:eastAsiaTheme="minorEastAsia"/>
                <w:snapToGrid w:val="0"/>
                <w:color w:val="auto"/>
                <w:w w:val="99"/>
                <w:sz w:val="21"/>
                <w:szCs w:val="21"/>
                <w:highlight w:val="none"/>
              </w:rPr>
              <w:t>地</w:t>
            </w:r>
          </w:p>
        </w:tc>
        <w:tc>
          <w:tcPr>
            <w:tcW w:w="840"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1次/施工期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3</w:t>
            </w:r>
          </w:p>
        </w:tc>
        <w:tc>
          <w:tcPr>
            <w:tcW w:w="846"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事故监测</w:t>
            </w:r>
          </w:p>
        </w:tc>
        <w:tc>
          <w:tcPr>
            <w:tcW w:w="2552"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空气：非甲烷总烃；</w:t>
            </w:r>
          </w:p>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土壤：pH、石油烃；</w:t>
            </w:r>
          </w:p>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地下水：pH、挥发酚、石油类、</w:t>
            </w:r>
            <w:r>
              <w:rPr>
                <w:rFonts w:hint="eastAsia" w:ascii="Times New Roman" w:hAnsi="Times New Roman" w:eastAsiaTheme="minorEastAsia"/>
                <w:snapToGrid w:val="0"/>
                <w:color w:val="auto"/>
                <w:w w:val="99"/>
                <w:sz w:val="21"/>
                <w:szCs w:val="21"/>
                <w:highlight w:val="none"/>
                <w:lang w:eastAsia="zh-CN"/>
              </w:rPr>
              <w:t>耗氧量</w:t>
            </w:r>
            <w:r>
              <w:rPr>
                <w:rFonts w:ascii="Times New Roman" w:hAnsi="Times New Roman" w:eastAsiaTheme="minorEastAsia"/>
                <w:snapToGrid w:val="0"/>
                <w:color w:val="auto"/>
                <w:w w:val="99"/>
                <w:sz w:val="21"/>
                <w:szCs w:val="21"/>
                <w:highlight w:val="none"/>
              </w:rPr>
              <w:t>（耗氧量）</w:t>
            </w:r>
          </w:p>
        </w:tc>
        <w:tc>
          <w:tcPr>
            <w:tcW w:w="4394"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在本工程的空气及土壤为事故地点；地下水为事故地点周围区域</w:t>
            </w:r>
          </w:p>
        </w:tc>
        <w:tc>
          <w:tcPr>
            <w:tcW w:w="840"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事故发生24小时内</w:t>
            </w:r>
          </w:p>
        </w:tc>
      </w:tr>
    </w:tbl>
    <w:p>
      <w:pPr>
        <w:pStyle w:val="32"/>
        <w:widowControl w:val="0"/>
        <w:autoSpaceDE w:val="0"/>
        <w:autoSpaceDN w:val="0"/>
        <w:spacing w:line="500" w:lineRule="atLeast"/>
        <w:ind w:firstLine="476" w:firstLineChars="200"/>
        <w:rPr>
          <w:rFonts w:ascii="Times New Roman" w:hAnsi="Times New Roman" w:eastAsiaTheme="minorEastAsia"/>
          <w:b/>
          <w:bCs/>
          <w:color w:val="auto"/>
          <w:w w:val="99"/>
          <w:szCs w:val="24"/>
          <w:highlight w:val="none"/>
        </w:rPr>
      </w:pPr>
      <w:r>
        <w:rPr>
          <w:rFonts w:ascii="Times New Roman" w:hAnsi="Times New Roman" w:eastAsiaTheme="minorEastAsia"/>
          <w:b/>
          <w:bCs/>
          <w:color w:val="auto"/>
          <w:w w:val="99"/>
          <w:szCs w:val="24"/>
          <w:highlight w:val="none"/>
        </w:rPr>
        <w:t xml:space="preserve">表8.5-2               </w:t>
      </w:r>
      <w:r>
        <w:rPr>
          <w:rFonts w:hint="eastAsia" w:ascii="Times New Roman" w:hAnsi="Times New Roman" w:eastAsiaTheme="minorEastAsia"/>
          <w:b/>
          <w:bCs/>
          <w:color w:val="auto"/>
          <w:w w:val="99"/>
          <w:szCs w:val="24"/>
          <w:highlight w:val="none"/>
        </w:rPr>
        <w:t>污染源</w:t>
      </w:r>
      <w:r>
        <w:rPr>
          <w:rFonts w:ascii="Times New Roman" w:hAnsi="Times New Roman" w:eastAsiaTheme="minorEastAsia"/>
          <w:b/>
          <w:bCs/>
          <w:color w:val="auto"/>
          <w:w w:val="99"/>
          <w:szCs w:val="24"/>
          <w:highlight w:val="none"/>
        </w:rPr>
        <w:t>监测计划一览表</w:t>
      </w:r>
    </w:p>
    <w:tbl>
      <w:tblPr>
        <w:tblStyle w:val="8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276"/>
        <w:gridCol w:w="1991"/>
        <w:gridCol w:w="3254"/>
        <w:gridCol w:w="18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序号</w:t>
            </w:r>
          </w:p>
        </w:tc>
        <w:tc>
          <w:tcPr>
            <w:tcW w:w="1276"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监测内容</w:t>
            </w:r>
          </w:p>
        </w:tc>
        <w:tc>
          <w:tcPr>
            <w:tcW w:w="1991"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监测项目</w:t>
            </w:r>
          </w:p>
        </w:tc>
        <w:tc>
          <w:tcPr>
            <w:tcW w:w="3254"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监测点位</w:t>
            </w:r>
          </w:p>
        </w:tc>
        <w:tc>
          <w:tcPr>
            <w:tcW w:w="1832"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hint="eastAsia" w:ascii="Times New Roman" w:hAnsi="Times New Roman" w:eastAsiaTheme="minorEastAsia"/>
                <w:snapToGrid w:val="0"/>
                <w:color w:val="auto"/>
                <w:w w:val="99"/>
                <w:sz w:val="21"/>
                <w:szCs w:val="21"/>
                <w:highlight w:val="none"/>
              </w:rPr>
              <w:t>1</w:t>
            </w:r>
          </w:p>
        </w:tc>
        <w:tc>
          <w:tcPr>
            <w:tcW w:w="1276"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hint="eastAsia" w:ascii="Times New Roman" w:hAnsi="Times New Roman" w:eastAsiaTheme="minorEastAsia"/>
                <w:snapToGrid w:val="0"/>
                <w:color w:val="auto"/>
                <w:w w:val="99"/>
                <w:sz w:val="21"/>
                <w:szCs w:val="21"/>
                <w:highlight w:val="none"/>
              </w:rPr>
              <w:t>噪声</w:t>
            </w:r>
          </w:p>
        </w:tc>
        <w:tc>
          <w:tcPr>
            <w:tcW w:w="1991"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hint="eastAsia" w:ascii="Times New Roman" w:hAnsi="Times New Roman" w:eastAsiaTheme="minorEastAsia"/>
                <w:snapToGrid w:val="0"/>
                <w:color w:val="auto"/>
                <w:w w:val="99"/>
                <w:sz w:val="21"/>
                <w:szCs w:val="21"/>
                <w:highlight w:val="none"/>
              </w:rPr>
              <w:t>连续等效</w:t>
            </w:r>
            <w:r>
              <w:rPr>
                <w:rFonts w:ascii="Times New Roman" w:hAnsi="Times New Roman" w:eastAsiaTheme="minorEastAsia"/>
                <w:snapToGrid w:val="0"/>
                <w:color w:val="auto"/>
                <w:w w:val="99"/>
                <w:sz w:val="21"/>
                <w:szCs w:val="21"/>
                <w:highlight w:val="none"/>
              </w:rPr>
              <w:t>A声级</w:t>
            </w:r>
          </w:p>
        </w:tc>
        <w:tc>
          <w:tcPr>
            <w:tcW w:w="3254" w:type="dxa"/>
            <w:vAlign w:val="center"/>
          </w:tcPr>
          <w:p>
            <w:pPr>
              <w:pStyle w:val="1690"/>
              <w:widowControl w:val="0"/>
              <w:adjustRightInd/>
              <w:snapToGrid/>
              <w:spacing w:after="0" w:line="360" w:lineRule="exact"/>
              <w:jc w:val="center"/>
              <w:rPr>
                <w:rFonts w:ascii="Times New Roman" w:hAnsi="Times New Roman" w:eastAsiaTheme="minorEastAsia"/>
                <w:bCs/>
                <w:snapToGrid w:val="0"/>
                <w:color w:val="auto"/>
                <w:w w:val="99"/>
                <w:sz w:val="21"/>
                <w:szCs w:val="21"/>
                <w:highlight w:val="none"/>
              </w:rPr>
            </w:pPr>
            <w:r>
              <w:rPr>
                <w:rFonts w:hint="eastAsia" w:ascii="Times New Roman" w:hAnsi="Times New Roman" w:eastAsiaTheme="minorEastAsia"/>
                <w:bCs/>
                <w:snapToGrid w:val="0"/>
                <w:color w:val="auto"/>
                <w:w w:val="99"/>
                <w:sz w:val="21"/>
                <w:szCs w:val="21"/>
                <w:highlight w:val="none"/>
              </w:rPr>
              <w:t>井场厂界</w:t>
            </w:r>
          </w:p>
        </w:tc>
        <w:tc>
          <w:tcPr>
            <w:tcW w:w="1832"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hint="eastAsia" w:ascii="Times New Roman" w:hAnsi="Times New Roman" w:eastAsiaTheme="minorEastAsia"/>
                <w:snapToGrid w:val="0"/>
                <w:color w:val="auto"/>
                <w:w w:val="99"/>
                <w:sz w:val="21"/>
                <w:szCs w:val="21"/>
                <w:highlight w:val="none"/>
              </w:rPr>
              <w:t>昼夜各</w:t>
            </w:r>
            <w:r>
              <w:rPr>
                <w:rFonts w:ascii="Times New Roman" w:hAnsi="Times New Roman" w:eastAsiaTheme="minorEastAsia"/>
                <w:snapToGrid w:val="0"/>
                <w:color w:val="auto"/>
                <w:w w:val="99"/>
                <w:sz w:val="21"/>
                <w:szCs w:val="21"/>
                <w:highlight w:val="none"/>
              </w:rPr>
              <w:t>1次/季度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hint="eastAsia" w:ascii="Times New Roman" w:hAnsi="Times New Roman" w:eastAsiaTheme="minorEastAsia"/>
                <w:snapToGrid w:val="0"/>
                <w:color w:val="auto"/>
                <w:w w:val="99"/>
                <w:sz w:val="21"/>
                <w:szCs w:val="21"/>
                <w:highlight w:val="none"/>
              </w:rPr>
              <w:t>2</w:t>
            </w:r>
          </w:p>
        </w:tc>
        <w:tc>
          <w:tcPr>
            <w:tcW w:w="1276"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hint="eastAsia" w:ascii="Times New Roman" w:hAnsi="Times New Roman" w:eastAsiaTheme="minorEastAsia"/>
                <w:snapToGrid w:val="0"/>
                <w:color w:val="auto"/>
                <w:w w:val="99"/>
                <w:sz w:val="21"/>
                <w:szCs w:val="21"/>
                <w:highlight w:val="none"/>
              </w:rPr>
              <w:t>废气</w:t>
            </w:r>
          </w:p>
        </w:tc>
        <w:tc>
          <w:tcPr>
            <w:tcW w:w="1991"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hint="eastAsia" w:ascii="Times New Roman" w:hAnsi="Times New Roman" w:eastAsiaTheme="minorEastAsia"/>
                <w:snapToGrid w:val="0"/>
                <w:color w:val="auto"/>
                <w:w w:val="99"/>
                <w:sz w:val="21"/>
                <w:szCs w:val="21"/>
                <w:highlight w:val="none"/>
              </w:rPr>
              <w:t>颗粒物</w:t>
            </w:r>
          </w:p>
        </w:tc>
        <w:tc>
          <w:tcPr>
            <w:tcW w:w="3254" w:type="dxa"/>
            <w:vAlign w:val="center"/>
          </w:tcPr>
          <w:p>
            <w:pPr>
              <w:pStyle w:val="1690"/>
              <w:widowControl w:val="0"/>
              <w:adjustRightInd/>
              <w:snapToGrid/>
              <w:spacing w:after="0" w:line="360" w:lineRule="exact"/>
              <w:jc w:val="center"/>
              <w:rPr>
                <w:rFonts w:ascii="Times New Roman" w:hAnsi="Times New Roman" w:eastAsiaTheme="minorEastAsia"/>
                <w:bCs/>
                <w:snapToGrid w:val="0"/>
                <w:color w:val="auto"/>
                <w:w w:val="99"/>
                <w:sz w:val="21"/>
                <w:szCs w:val="21"/>
                <w:highlight w:val="none"/>
              </w:rPr>
            </w:pPr>
            <w:r>
              <w:rPr>
                <w:rFonts w:hint="eastAsia" w:ascii="Times New Roman" w:hAnsi="Times New Roman" w:eastAsiaTheme="minorEastAsia"/>
                <w:bCs/>
                <w:snapToGrid w:val="0"/>
                <w:color w:val="auto"/>
                <w:w w:val="99"/>
                <w:sz w:val="21"/>
                <w:szCs w:val="21"/>
                <w:highlight w:val="none"/>
              </w:rPr>
              <w:t>井场厂界</w:t>
            </w:r>
          </w:p>
        </w:tc>
        <w:tc>
          <w:tcPr>
            <w:tcW w:w="1832"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1次/施工期</w:t>
            </w:r>
          </w:p>
        </w:tc>
      </w:tr>
    </w:tbl>
    <w:p>
      <w:pPr>
        <w:pStyle w:val="32"/>
        <w:widowControl w:val="0"/>
        <w:autoSpaceDE w:val="0"/>
        <w:autoSpaceDN w:val="0"/>
        <w:spacing w:line="500" w:lineRule="atLeast"/>
        <w:ind w:firstLine="476" w:firstLineChars="200"/>
        <w:rPr>
          <w:rFonts w:ascii="Times New Roman" w:hAnsi="Times New Roman" w:eastAsiaTheme="minorEastAsia"/>
          <w:b/>
          <w:bCs/>
          <w:color w:val="auto"/>
          <w:w w:val="99"/>
          <w:szCs w:val="24"/>
          <w:highlight w:val="none"/>
        </w:rPr>
      </w:pPr>
      <w:r>
        <w:rPr>
          <w:rFonts w:ascii="Times New Roman" w:hAnsi="Times New Roman" w:eastAsiaTheme="minorEastAsia"/>
          <w:b/>
          <w:bCs/>
          <w:color w:val="auto"/>
          <w:w w:val="99"/>
          <w:szCs w:val="24"/>
          <w:highlight w:val="none"/>
        </w:rPr>
        <w:t>表8.5-3                     生态调查方案</w:t>
      </w:r>
    </w:p>
    <w:tbl>
      <w:tblPr>
        <w:tblStyle w:val="8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742"/>
        <w:gridCol w:w="1744"/>
        <w:gridCol w:w="2034"/>
        <w:gridCol w:w="30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序号</w:t>
            </w:r>
          </w:p>
        </w:tc>
        <w:tc>
          <w:tcPr>
            <w:tcW w:w="938" w:type="pct"/>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调查内容</w:t>
            </w:r>
          </w:p>
        </w:tc>
        <w:tc>
          <w:tcPr>
            <w:tcW w:w="939" w:type="pct"/>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调查方法</w:t>
            </w:r>
          </w:p>
        </w:tc>
        <w:tc>
          <w:tcPr>
            <w:tcW w:w="1095" w:type="pct"/>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点位</w:t>
            </w:r>
          </w:p>
        </w:tc>
        <w:tc>
          <w:tcPr>
            <w:tcW w:w="1639" w:type="pct"/>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1</w:t>
            </w:r>
          </w:p>
        </w:tc>
        <w:tc>
          <w:tcPr>
            <w:tcW w:w="938" w:type="pct"/>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植被恢复情况</w:t>
            </w:r>
          </w:p>
        </w:tc>
        <w:tc>
          <w:tcPr>
            <w:tcW w:w="939" w:type="pct"/>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样方调查</w:t>
            </w:r>
          </w:p>
        </w:tc>
        <w:tc>
          <w:tcPr>
            <w:tcW w:w="1095" w:type="pct"/>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临时占地内</w:t>
            </w:r>
          </w:p>
        </w:tc>
        <w:tc>
          <w:tcPr>
            <w:tcW w:w="1639" w:type="pct"/>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1次/年，直至恢复原有盖度</w:t>
            </w:r>
          </w:p>
        </w:tc>
      </w:tr>
      <w:bookmarkEnd w:id="1427"/>
      <w:bookmarkEnd w:id="1428"/>
      <w:bookmarkEnd w:id="1429"/>
      <w:bookmarkEnd w:id="1430"/>
      <w:bookmarkEnd w:id="1431"/>
    </w:tbl>
    <w:p>
      <w:pPr>
        <w:pStyle w:val="5"/>
        <w:widowControl w:val="0"/>
        <w:spacing w:before="120" w:after="120" w:line="500" w:lineRule="atLeast"/>
        <w:rPr>
          <w:rFonts w:ascii="Times New Roman" w:hAnsi="Times New Roman"/>
          <w:b/>
          <w:snapToGrid w:val="0"/>
          <w:color w:val="auto"/>
          <w:w w:val="99"/>
          <w:highlight w:val="none"/>
        </w:rPr>
      </w:pPr>
      <w:bookmarkStart w:id="1525" w:name="_Toc80105302"/>
      <w:bookmarkStart w:id="1526" w:name="_Toc455043911"/>
      <w:bookmarkStart w:id="1527" w:name="_Toc456590419"/>
      <w:bookmarkStart w:id="1528" w:name="_Toc342462535"/>
      <w:r>
        <w:rPr>
          <w:rFonts w:ascii="Times New Roman" w:hAnsi="Times New Roman"/>
          <w:b/>
          <w:snapToGrid w:val="0"/>
          <w:color w:val="auto"/>
          <w:w w:val="99"/>
          <w:highlight w:val="none"/>
        </w:rPr>
        <w:t>8.6总量控制</w:t>
      </w:r>
      <w:bookmarkEnd w:id="1525"/>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编制环境影响报告书的建设项目在环境影响评价文件报批前，须取得主要污染物总量控制指标。本项目属于油田钻井工程，污染物只在钻井期产生，故无需设置总量控制指标。</w:t>
      </w:r>
    </w:p>
    <w:p>
      <w:pPr>
        <w:pStyle w:val="5"/>
        <w:widowControl w:val="0"/>
        <w:spacing w:before="120" w:after="120" w:line="500" w:lineRule="atLeast"/>
        <w:rPr>
          <w:rFonts w:ascii="Times New Roman" w:hAnsi="Times New Roman"/>
          <w:b/>
          <w:snapToGrid w:val="0"/>
          <w:color w:val="auto"/>
          <w:w w:val="99"/>
          <w:highlight w:val="none"/>
        </w:rPr>
      </w:pPr>
      <w:bookmarkStart w:id="1529" w:name="_Toc80105303"/>
      <w:r>
        <w:rPr>
          <w:rFonts w:ascii="Times New Roman" w:hAnsi="Times New Roman"/>
          <w:b/>
          <w:snapToGrid w:val="0"/>
          <w:color w:val="auto"/>
          <w:w w:val="99"/>
          <w:highlight w:val="none"/>
        </w:rPr>
        <w:t>8.7排污许可证制度衔接</w:t>
      </w:r>
      <w:bookmarkEnd w:id="1529"/>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依据《国务院办公厅关于印发&lt;控制污染物排放许可制度实施方案&gt;的通知》（国办发[2016]81 号）中相关要求，环境影响评价制度是建设项目的环境准入门槛，排污许可制是企业单位在生产营运期排污的法律依据，必须做好充分衔接，实现从污染预防到污染治理和排放控制的全过程监管。新建项目必须在发生实际排污行为之前申领排污许可证，不得无证或不按证排污，环境影响评价文件及批复中与污染物排放相关的主要内容应当纳入排污许可证。</w:t>
      </w:r>
    </w:p>
    <w:p>
      <w:pPr>
        <w:pStyle w:val="109"/>
        <w:widowControl w:val="0"/>
        <w:spacing w:line="500" w:lineRule="atLeast"/>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根据生态环境部部令第11号《固定污染源排污许可证分类管理名录（2019年版）》的有关规定，本项目均属于“三、石油和天然气开采业 07中的4石油开采 071”，相关要求为“涉及通用工序重点管理的实施重点管理，涉及通用工序简化管理的实施简化管理 ，其他实施登记管理”；本项目不涉及通用工序，实施登记管理。</w:t>
      </w:r>
    </w:p>
    <w:p>
      <w:pPr>
        <w:widowControl w:val="0"/>
        <w:spacing w:line="500" w:lineRule="atLeast"/>
        <w:rPr>
          <w:rFonts w:ascii="Times New Roman" w:hAnsi="Times New Roman" w:cs="Times New Roman" w:eastAsiaTheme="minorEastAsia"/>
          <w:snapToGrid w:val="0"/>
          <w:color w:val="auto"/>
          <w:w w:val="99"/>
          <w:highlight w:val="none"/>
        </w:rPr>
      </w:pPr>
    </w:p>
    <w:p>
      <w:pPr>
        <w:pStyle w:val="32"/>
        <w:rPr>
          <w:rFonts w:ascii="Times New Roman" w:hAnsi="Times New Roman" w:cs="Times New Roman" w:eastAsiaTheme="minorEastAsia"/>
          <w:snapToGrid w:val="0"/>
          <w:color w:val="auto"/>
          <w:w w:val="99"/>
          <w:highlight w:val="none"/>
        </w:rPr>
        <w:sectPr>
          <w:footerReference r:id="rId9" w:type="default"/>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bookmarkEnd w:id="1421"/>
    <w:bookmarkEnd w:id="1422"/>
    <w:bookmarkEnd w:id="1423"/>
    <w:bookmarkEnd w:id="1424"/>
    <w:bookmarkEnd w:id="1425"/>
    <w:bookmarkEnd w:id="1526"/>
    <w:bookmarkEnd w:id="1527"/>
    <w:bookmarkEnd w:id="1528"/>
    <w:p>
      <w:pPr>
        <w:pStyle w:val="4"/>
        <w:widowControl w:val="0"/>
        <w:spacing w:before="180" w:after="180" w:line="500" w:lineRule="atLeast"/>
        <w:rPr>
          <w:rFonts w:ascii="Times New Roman" w:hAnsi="Times New Roman"/>
          <w:b/>
          <w:snapToGrid w:val="0"/>
          <w:color w:val="auto"/>
          <w:w w:val="99"/>
          <w:sz w:val="30"/>
          <w:szCs w:val="30"/>
          <w:highlight w:val="none"/>
        </w:rPr>
      </w:pPr>
      <w:bookmarkStart w:id="1530" w:name="_Toc502736556"/>
      <w:bookmarkStart w:id="1531" w:name="_Toc277178465"/>
      <w:bookmarkStart w:id="1532" w:name="_Toc480447686"/>
      <w:bookmarkStart w:id="1533" w:name="_Toc255202340"/>
      <w:bookmarkStart w:id="1534" w:name="_Toc80105304"/>
      <w:bookmarkStart w:id="1535" w:name="_Toc456590420"/>
      <w:bookmarkStart w:id="1536" w:name="_Toc346267817"/>
      <w:bookmarkStart w:id="1537" w:name="_Toc277178450"/>
      <w:bookmarkStart w:id="1538" w:name="_Toc255202323"/>
      <w:r>
        <w:rPr>
          <w:rFonts w:ascii="Times New Roman" w:hAnsi="Times New Roman"/>
          <w:b/>
          <w:snapToGrid w:val="0"/>
          <w:color w:val="auto"/>
          <w:w w:val="99"/>
          <w:sz w:val="30"/>
          <w:szCs w:val="30"/>
          <w:highlight w:val="none"/>
        </w:rPr>
        <w:t>9</w:t>
      </w:r>
      <w:bookmarkEnd w:id="1530"/>
      <w:bookmarkEnd w:id="1531"/>
      <w:bookmarkEnd w:id="1532"/>
      <w:bookmarkEnd w:id="1533"/>
      <w:r>
        <w:rPr>
          <w:rFonts w:ascii="Times New Roman" w:hAnsi="Times New Roman"/>
          <w:b/>
          <w:snapToGrid w:val="0"/>
          <w:color w:val="auto"/>
          <w:w w:val="99"/>
          <w:sz w:val="30"/>
          <w:szCs w:val="30"/>
          <w:highlight w:val="none"/>
        </w:rPr>
        <w:t>环境影响评价结论</w:t>
      </w:r>
      <w:bookmarkEnd w:id="1534"/>
    </w:p>
    <w:p>
      <w:pPr>
        <w:pStyle w:val="5"/>
        <w:widowControl w:val="0"/>
        <w:spacing w:before="120" w:after="120" w:line="500" w:lineRule="atLeast"/>
        <w:rPr>
          <w:rFonts w:ascii="Times New Roman" w:hAnsi="Times New Roman"/>
          <w:b/>
          <w:snapToGrid w:val="0"/>
          <w:color w:val="auto"/>
          <w:w w:val="99"/>
          <w:highlight w:val="none"/>
        </w:rPr>
      </w:pPr>
      <w:bookmarkStart w:id="1539" w:name="_Toc502736558"/>
      <w:bookmarkStart w:id="1540" w:name="_Toc80105305"/>
      <w:bookmarkStart w:id="1541" w:name="_Toc24451"/>
      <w:r>
        <w:rPr>
          <w:rFonts w:ascii="Times New Roman" w:hAnsi="Times New Roman"/>
          <w:b/>
          <w:snapToGrid w:val="0"/>
          <w:color w:val="auto"/>
          <w:w w:val="99"/>
          <w:highlight w:val="none"/>
        </w:rPr>
        <w:t>9.1建设项目概况</w:t>
      </w:r>
      <w:bookmarkEnd w:id="1539"/>
      <w:bookmarkEnd w:id="1540"/>
      <w:bookmarkEnd w:id="1541"/>
    </w:p>
    <w:p>
      <w:pPr>
        <w:pStyle w:val="109"/>
        <w:widowControl w:val="0"/>
        <w:spacing w:line="500" w:lineRule="atLeast"/>
        <w:ind w:firstLine="473"/>
        <w:rPr>
          <w:rFonts w:ascii="Times New Roman" w:hAnsi="Times New Roman" w:eastAsiaTheme="minorEastAsia"/>
          <w:color w:val="auto"/>
          <w:w w:val="99"/>
          <w:highlight w:val="none"/>
        </w:rPr>
      </w:pPr>
      <w:bookmarkStart w:id="1542" w:name="_Toc502736559"/>
      <w:r>
        <w:rPr>
          <w:rFonts w:hint="eastAsia" w:ascii="Times New Roman" w:hAnsi="Times New Roman" w:eastAsiaTheme="minorEastAsia"/>
          <w:snapToGrid w:val="0"/>
          <w:color w:val="auto"/>
          <w:w w:val="99"/>
          <w:highlight w:val="none"/>
          <w:lang w:eastAsia="zh-CN"/>
        </w:rPr>
        <w:t>肇源油田源35区块外扩开发钻井工程</w:t>
      </w:r>
      <w:r>
        <w:rPr>
          <w:rFonts w:hint="eastAsia" w:ascii="Times New Roman" w:hAnsi="Times New Roman" w:eastAsiaTheme="minorEastAsia"/>
          <w:snapToGrid w:val="0"/>
          <w:color w:val="auto"/>
          <w:w w:val="99"/>
          <w:highlight w:val="none"/>
        </w:rPr>
        <w:t>项目</w:t>
      </w:r>
      <w:r>
        <w:rPr>
          <w:rFonts w:ascii="Times New Roman" w:hAnsi="Times New Roman" w:eastAsiaTheme="minorEastAsia"/>
          <w:snapToGrid w:val="0"/>
          <w:color w:val="auto"/>
          <w:w w:val="99"/>
          <w:highlight w:val="none"/>
        </w:rPr>
        <w:t>位于</w:t>
      </w:r>
      <w:r>
        <w:rPr>
          <w:rFonts w:hint="eastAsia" w:ascii="Times New Roman" w:hAnsi="Times New Roman" w:eastAsiaTheme="minorEastAsia"/>
          <w:snapToGrid w:val="0"/>
          <w:color w:val="auto"/>
          <w:w w:val="99"/>
          <w:highlight w:val="none"/>
        </w:rPr>
        <w:t>大庆市</w:t>
      </w:r>
      <w:r>
        <w:rPr>
          <w:rFonts w:hint="eastAsia" w:ascii="Times New Roman" w:hAnsi="Times New Roman" w:eastAsiaTheme="minorEastAsia"/>
          <w:snapToGrid w:val="0"/>
          <w:color w:val="auto"/>
          <w:w w:val="99"/>
          <w:highlight w:val="none"/>
          <w:lang w:eastAsia="zh-CN"/>
        </w:rPr>
        <w:t>肇源县</w:t>
      </w:r>
      <w:r>
        <w:rPr>
          <w:rFonts w:ascii="Times New Roman" w:hAnsi="Times New Roman" w:eastAsiaTheme="minorEastAsia"/>
          <w:snapToGrid w:val="0"/>
          <w:color w:val="auto"/>
          <w:w w:val="99"/>
          <w:highlight w:val="none"/>
        </w:rPr>
        <w:t>，</w:t>
      </w:r>
      <w:r>
        <w:rPr>
          <w:rFonts w:ascii="Times New Roman" w:hAnsi="Times New Roman" w:eastAsiaTheme="minorEastAsia"/>
          <w:bCs/>
          <w:snapToGrid w:val="0"/>
          <w:color w:val="auto"/>
          <w:w w:val="99"/>
          <w:highlight w:val="none"/>
        </w:rPr>
        <w:t>本项目新钻油井</w:t>
      </w:r>
      <w:r>
        <w:rPr>
          <w:rFonts w:hint="eastAsia" w:ascii="Times New Roman" w:hAnsi="Times New Roman" w:eastAsiaTheme="minorEastAsia"/>
          <w:bCs/>
          <w:snapToGrid w:val="0"/>
          <w:color w:val="auto"/>
          <w:w w:val="99"/>
          <w:highlight w:val="none"/>
        </w:rPr>
        <w:t>4</w:t>
      </w:r>
      <w:r>
        <w:rPr>
          <w:rFonts w:hint="eastAsia" w:ascii="Times New Roman" w:hAnsi="Times New Roman" w:eastAsiaTheme="minorEastAsia"/>
          <w:bCs/>
          <w:snapToGrid w:val="0"/>
          <w:color w:val="auto"/>
          <w:w w:val="99"/>
          <w:highlight w:val="none"/>
          <w:lang w:val="en-US" w:eastAsia="zh-CN"/>
        </w:rPr>
        <w:t>4</w:t>
      </w:r>
      <w:r>
        <w:rPr>
          <w:rFonts w:hint="eastAsia" w:ascii="Times New Roman" w:hAnsi="Times New Roman" w:eastAsiaTheme="minorEastAsia"/>
          <w:bCs/>
          <w:snapToGrid w:val="0"/>
          <w:color w:val="auto"/>
          <w:w w:val="99"/>
          <w:highlight w:val="none"/>
        </w:rPr>
        <w:t>口，包括首钻井2口、</w:t>
      </w:r>
      <w:r>
        <w:rPr>
          <w:rFonts w:hint="eastAsia" w:ascii="Times New Roman" w:hAnsi="Times New Roman" w:eastAsiaTheme="minorEastAsia"/>
          <w:bCs/>
          <w:snapToGrid w:val="0"/>
          <w:color w:val="auto"/>
          <w:w w:val="99"/>
          <w:highlight w:val="none"/>
          <w:lang w:eastAsia="zh-CN"/>
        </w:rPr>
        <w:t>正常井</w:t>
      </w:r>
      <w:r>
        <w:rPr>
          <w:rFonts w:hint="eastAsia" w:ascii="Times New Roman" w:hAnsi="Times New Roman" w:eastAsiaTheme="minorEastAsia"/>
          <w:bCs/>
          <w:snapToGrid w:val="0"/>
          <w:color w:val="auto"/>
          <w:w w:val="99"/>
          <w:highlight w:val="none"/>
          <w:lang w:val="en-US" w:eastAsia="zh-CN"/>
        </w:rPr>
        <w:t>31</w:t>
      </w:r>
      <w:r>
        <w:rPr>
          <w:rFonts w:hint="eastAsia" w:ascii="Times New Roman" w:hAnsi="Times New Roman" w:eastAsiaTheme="minorEastAsia"/>
          <w:bCs/>
          <w:snapToGrid w:val="0"/>
          <w:color w:val="auto"/>
          <w:w w:val="99"/>
          <w:highlight w:val="none"/>
          <w:lang w:eastAsia="zh-CN"/>
        </w:rPr>
        <w:t>口</w:t>
      </w:r>
      <w:r>
        <w:rPr>
          <w:rFonts w:hint="eastAsia" w:ascii="Times New Roman" w:hAnsi="Times New Roman" w:eastAsiaTheme="minorEastAsia"/>
          <w:bCs/>
          <w:snapToGrid w:val="0"/>
          <w:color w:val="auto"/>
          <w:w w:val="99"/>
          <w:highlight w:val="none"/>
        </w:rPr>
        <w:t>、缓钻井11口，均为单井</w:t>
      </w:r>
      <w:r>
        <w:rPr>
          <w:rFonts w:ascii="Times New Roman" w:hAnsi="Times New Roman" w:eastAsiaTheme="minorEastAsia"/>
          <w:bCs/>
          <w:snapToGrid w:val="0"/>
          <w:color w:val="auto"/>
          <w:w w:val="99"/>
          <w:highlight w:val="none"/>
        </w:rPr>
        <w:t>，</w:t>
      </w:r>
      <w:r>
        <w:rPr>
          <w:rFonts w:hint="eastAsia" w:ascii="Times New Roman" w:hAnsi="Times New Roman" w:eastAsiaTheme="minorEastAsia"/>
          <w:bCs/>
          <w:snapToGrid w:val="0"/>
          <w:color w:val="auto"/>
          <w:w w:val="99"/>
          <w:highlight w:val="none"/>
        </w:rPr>
        <w:t>单井完钻井深为</w:t>
      </w:r>
      <w:r>
        <w:rPr>
          <w:rFonts w:hint="eastAsia" w:ascii="Times New Roman" w:hAnsi="Times New Roman" w:eastAsiaTheme="minorEastAsia"/>
          <w:bCs/>
          <w:snapToGrid w:val="0"/>
          <w:color w:val="auto"/>
          <w:w w:val="99"/>
          <w:highlight w:val="none"/>
          <w:lang w:eastAsia="zh-CN"/>
        </w:rPr>
        <w:t>1689-1867m</w:t>
      </w:r>
      <w:r>
        <w:rPr>
          <w:rFonts w:ascii="Times New Roman" w:hAnsi="Times New Roman" w:eastAsiaTheme="minorEastAsia"/>
          <w:bCs/>
          <w:snapToGrid w:val="0"/>
          <w:color w:val="auto"/>
          <w:w w:val="99"/>
          <w:highlight w:val="none"/>
        </w:rPr>
        <w:t>，总进尺</w:t>
      </w:r>
      <w:r>
        <w:rPr>
          <w:rFonts w:hint="eastAsia" w:ascii="Times New Roman" w:hAnsi="Times New Roman" w:eastAsiaTheme="minorEastAsia"/>
          <w:bCs/>
          <w:snapToGrid w:val="0"/>
          <w:color w:val="auto"/>
          <w:w w:val="99"/>
          <w:highlight w:val="none"/>
          <w:lang w:eastAsia="zh-CN"/>
        </w:rPr>
        <w:t>79111m</w:t>
      </w:r>
      <w:r>
        <w:rPr>
          <w:rFonts w:ascii="Times New Roman" w:hAnsi="Times New Roman" w:eastAsiaTheme="minorEastAsia"/>
          <w:bCs/>
          <w:snapToGrid w:val="0"/>
          <w:color w:val="auto"/>
          <w:w w:val="99"/>
          <w:highlight w:val="none"/>
        </w:rPr>
        <w:t>,</w:t>
      </w:r>
      <w:r>
        <w:rPr>
          <w:rFonts w:ascii="Times New Roman" w:hAnsi="Times New Roman" w:eastAsiaTheme="minorEastAsia"/>
          <w:snapToGrid w:val="0"/>
          <w:color w:val="auto"/>
          <w:w w:val="99"/>
          <w:highlight w:val="none"/>
        </w:rPr>
        <w:t xml:space="preserve"> 建设项目总</w:t>
      </w:r>
      <w:r>
        <w:rPr>
          <w:rFonts w:ascii="Times New Roman" w:hAnsi="Times New Roman" w:eastAsiaTheme="minorEastAsia"/>
          <w:bCs/>
          <w:snapToGrid w:val="0"/>
          <w:color w:val="auto"/>
          <w:w w:val="99"/>
          <w:highlight w:val="none"/>
        </w:rPr>
        <w:t>占地面积为</w:t>
      </w:r>
      <w:r>
        <w:rPr>
          <w:rFonts w:hint="eastAsia" w:ascii="Times New Roman" w:hAnsi="Times New Roman" w:eastAsiaTheme="minorEastAsia"/>
          <w:bCs/>
          <w:snapToGrid w:val="0"/>
          <w:color w:val="auto"/>
          <w:w w:val="99"/>
          <w:highlight w:val="none"/>
          <w:lang w:val="en-US" w:eastAsia="zh-CN"/>
        </w:rPr>
        <w:t>29.04</w:t>
      </w:r>
      <w:r>
        <w:rPr>
          <w:rFonts w:ascii="Times New Roman" w:hAnsi="Times New Roman" w:eastAsiaTheme="minorEastAsia"/>
          <w:bCs/>
          <w:snapToGrid w:val="0"/>
          <w:color w:val="auto"/>
          <w:w w:val="99"/>
          <w:highlight w:val="none"/>
        </w:rPr>
        <w:t>hm</w:t>
      </w:r>
      <w:r>
        <w:rPr>
          <w:rFonts w:ascii="Times New Roman" w:hAnsi="Times New Roman" w:eastAsiaTheme="minorEastAsia"/>
          <w:bCs/>
          <w:snapToGrid w:val="0"/>
          <w:color w:val="auto"/>
          <w:w w:val="99"/>
          <w:highlight w:val="none"/>
          <w:vertAlign w:val="superscript"/>
        </w:rPr>
        <w:t>2</w:t>
      </w:r>
      <w:r>
        <w:rPr>
          <w:rFonts w:ascii="Times New Roman" w:hAnsi="Times New Roman" w:eastAsiaTheme="minorEastAsia"/>
          <w:bCs/>
          <w:snapToGrid w:val="0"/>
          <w:color w:val="auto"/>
          <w:w w:val="99"/>
          <w:highlight w:val="none"/>
        </w:rPr>
        <w:t>，其中永久占地面积为</w:t>
      </w:r>
      <w:r>
        <w:rPr>
          <w:rFonts w:hint="eastAsia" w:ascii="Times New Roman" w:hAnsi="Times New Roman" w:eastAsiaTheme="minorEastAsia"/>
          <w:bCs/>
          <w:snapToGrid w:val="0"/>
          <w:color w:val="auto"/>
          <w:w w:val="99"/>
          <w:highlight w:val="none"/>
          <w:lang w:val="en-US" w:eastAsia="zh-CN"/>
        </w:rPr>
        <w:t>6.16</w:t>
      </w:r>
      <w:r>
        <w:rPr>
          <w:rFonts w:ascii="Times New Roman" w:hAnsi="Times New Roman" w:eastAsiaTheme="minorEastAsia"/>
          <w:bCs/>
          <w:snapToGrid w:val="0"/>
          <w:color w:val="auto"/>
          <w:w w:val="99"/>
          <w:highlight w:val="none"/>
        </w:rPr>
        <w:t>hm</w:t>
      </w:r>
      <w:r>
        <w:rPr>
          <w:rFonts w:ascii="Times New Roman" w:hAnsi="Times New Roman" w:eastAsiaTheme="minorEastAsia"/>
          <w:bCs/>
          <w:snapToGrid w:val="0"/>
          <w:color w:val="auto"/>
          <w:w w:val="99"/>
          <w:highlight w:val="none"/>
          <w:vertAlign w:val="superscript"/>
        </w:rPr>
        <w:t>2</w:t>
      </w:r>
      <w:r>
        <w:rPr>
          <w:rFonts w:ascii="Times New Roman" w:hAnsi="Times New Roman" w:eastAsiaTheme="minorEastAsia"/>
          <w:bCs/>
          <w:snapToGrid w:val="0"/>
          <w:color w:val="auto"/>
          <w:w w:val="99"/>
          <w:highlight w:val="none"/>
        </w:rPr>
        <w:t>，临时占地面积为</w:t>
      </w:r>
      <w:r>
        <w:rPr>
          <w:rFonts w:hint="eastAsia" w:ascii="Times New Roman" w:hAnsi="Times New Roman" w:eastAsiaTheme="minorEastAsia"/>
          <w:bCs/>
          <w:snapToGrid w:val="0"/>
          <w:color w:val="auto"/>
          <w:w w:val="99"/>
          <w:highlight w:val="none"/>
          <w:lang w:val="en-US" w:eastAsia="zh-CN"/>
        </w:rPr>
        <w:t>22.88</w:t>
      </w:r>
      <w:r>
        <w:rPr>
          <w:rFonts w:hint="eastAsia" w:ascii="Times New Roman" w:hAnsi="Times New Roman" w:eastAsiaTheme="minorEastAsia"/>
          <w:bCs/>
          <w:snapToGrid w:val="0"/>
          <w:color w:val="auto"/>
          <w:w w:val="99"/>
          <w:highlight w:val="none"/>
        </w:rPr>
        <w:t>hm</w:t>
      </w:r>
      <w:r>
        <w:rPr>
          <w:rFonts w:hint="eastAsia" w:ascii="Times New Roman" w:hAnsi="Times New Roman" w:eastAsiaTheme="minorEastAsia"/>
          <w:bCs/>
          <w:snapToGrid w:val="0"/>
          <w:color w:val="auto"/>
          <w:w w:val="99"/>
          <w:highlight w:val="none"/>
          <w:vertAlign w:val="superscript"/>
        </w:rPr>
        <w:t>2</w:t>
      </w:r>
      <w:r>
        <w:rPr>
          <w:rFonts w:ascii="Times New Roman" w:hAnsi="Times New Roman" w:eastAsiaTheme="minorEastAsia"/>
          <w:bCs/>
          <w:snapToGrid w:val="0"/>
          <w:color w:val="auto"/>
          <w:w w:val="99"/>
          <w:highlight w:val="none"/>
        </w:rPr>
        <w:t>，占地类型为耕地（</w:t>
      </w:r>
      <w:r>
        <w:rPr>
          <w:rFonts w:hint="eastAsia" w:ascii="Times New Roman" w:hAnsi="Times New Roman" w:eastAsiaTheme="minorEastAsia"/>
          <w:bCs/>
          <w:snapToGrid w:val="0"/>
          <w:color w:val="auto"/>
          <w:w w:val="99"/>
          <w:highlight w:val="none"/>
          <w:lang w:eastAsia="zh-CN"/>
        </w:rPr>
        <w:t>非</w:t>
      </w:r>
      <w:r>
        <w:rPr>
          <w:rFonts w:ascii="Times New Roman" w:hAnsi="Times New Roman" w:eastAsiaTheme="minorEastAsia"/>
          <w:bCs/>
          <w:snapToGrid w:val="0"/>
          <w:color w:val="auto"/>
          <w:w w:val="99"/>
          <w:highlight w:val="none"/>
        </w:rPr>
        <w:t>基本农田</w:t>
      </w:r>
      <w:r>
        <w:rPr>
          <w:rFonts w:hint="eastAsia" w:ascii="Times New Roman" w:hAnsi="Times New Roman" w:eastAsiaTheme="minorEastAsia"/>
          <w:bCs/>
          <w:snapToGrid w:val="0"/>
          <w:color w:val="auto"/>
          <w:w w:val="99"/>
          <w:highlight w:val="none"/>
          <w:lang w:eastAsia="zh-CN"/>
        </w:rPr>
        <w:t>、少量永久基本农田</w:t>
      </w:r>
      <w:r>
        <w:rPr>
          <w:rFonts w:ascii="Times New Roman" w:hAnsi="Times New Roman" w:eastAsiaTheme="minorEastAsia"/>
          <w:bCs/>
          <w:snapToGrid w:val="0"/>
          <w:color w:val="auto"/>
          <w:w w:val="99"/>
          <w:highlight w:val="none"/>
        </w:rPr>
        <w:t>）</w:t>
      </w:r>
      <w:r>
        <w:rPr>
          <w:rFonts w:ascii="Times New Roman" w:hAnsi="Times New Roman" w:eastAsiaTheme="minorEastAsia"/>
          <w:color w:val="auto"/>
          <w:w w:val="99"/>
          <w:highlight w:val="none"/>
        </w:rPr>
        <w:t>。</w:t>
      </w:r>
    </w:p>
    <w:p>
      <w:pPr>
        <w:pStyle w:val="5"/>
        <w:widowControl w:val="0"/>
        <w:spacing w:before="120" w:after="120" w:line="500" w:lineRule="atLeast"/>
        <w:rPr>
          <w:rFonts w:ascii="Times New Roman" w:hAnsi="Times New Roman"/>
          <w:b/>
          <w:snapToGrid w:val="0"/>
          <w:color w:val="auto"/>
          <w:w w:val="99"/>
          <w:highlight w:val="none"/>
        </w:rPr>
      </w:pPr>
      <w:bookmarkStart w:id="1543" w:name="_Toc4044"/>
      <w:bookmarkStart w:id="1544" w:name="_Toc80105306"/>
      <w:r>
        <w:rPr>
          <w:rFonts w:ascii="Times New Roman" w:hAnsi="Times New Roman"/>
          <w:b/>
          <w:snapToGrid w:val="0"/>
          <w:color w:val="auto"/>
          <w:w w:val="99"/>
          <w:highlight w:val="none"/>
        </w:rPr>
        <w:t>9.2</w:t>
      </w:r>
      <w:bookmarkEnd w:id="1542"/>
      <w:bookmarkEnd w:id="1543"/>
      <w:r>
        <w:rPr>
          <w:rFonts w:ascii="Times New Roman" w:hAnsi="Times New Roman"/>
          <w:b/>
          <w:snapToGrid w:val="0"/>
          <w:color w:val="auto"/>
          <w:w w:val="99"/>
          <w:highlight w:val="none"/>
        </w:rPr>
        <w:t>政策符合性</w:t>
      </w:r>
      <w:bookmarkEnd w:id="1544"/>
      <w:r>
        <w:rPr>
          <w:rFonts w:hint="eastAsia" w:ascii="Times New Roman" w:hAnsi="Times New Roman"/>
          <w:b/>
          <w:snapToGrid w:val="0"/>
          <w:color w:val="auto"/>
          <w:w w:val="99"/>
          <w:highlight w:val="none"/>
        </w:rPr>
        <w:t>结论</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rPr>
        <w:t>本项目符合《产业结构调整指导目录（</w:t>
      </w:r>
      <w:r>
        <w:rPr>
          <w:rFonts w:ascii="Times New Roman" w:hAnsi="Times New Roman" w:eastAsiaTheme="minorEastAsia"/>
          <w:snapToGrid w:val="0"/>
          <w:color w:val="auto"/>
          <w:w w:val="99"/>
          <w:highlight w:val="none"/>
        </w:rPr>
        <w:t>2019年本）》要求，属于鼓励类建设项目。</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rPr>
        <w:t>在规划政策方面，本项目符合《黑龙江省主体功能区划》、《黑龙江省生态功能区划》、《大庆市土地利用总体规划（</w:t>
      </w:r>
      <w:r>
        <w:rPr>
          <w:rFonts w:ascii="Times New Roman" w:hAnsi="Times New Roman" w:eastAsiaTheme="minorEastAsia"/>
          <w:snapToGrid w:val="0"/>
          <w:color w:val="auto"/>
          <w:w w:val="99"/>
          <w:highlight w:val="none"/>
        </w:rPr>
        <w:t>2006~2020）》、《中共大庆市委关于制定国民经</w:t>
      </w:r>
      <w:r>
        <w:rPr>
          <w:rFonts w:hint="eastAsia" w:ascii="Times New Roman" w:hAnsi="Times New Roman" w:eastAsiaTheme="minorEastAsia"/>
          <w:snapToGrid w:val="0"/>
          <w:color w:val="auto"/>
          <w:w w:val="99"/>
          <w:highlight w:val="none"/>
        </w:rPr>
        <w:t>济和社会发展第十四个五年规划和二〇三五年远景目标的建议》、《</w:t>
      </w:r>
      <w:r>
        <w:rPr>
          <w:rFonts w:ascii="Times New Roman" w:hAnsi="Times New Roman" w:eastAsiaTheme="minorEastAsia"/>
          <w:snapToGrid w:val="0"/>
          <w:color w:val="auto"/>
          <w:w w:val="99"/>
          <w:highlight w:val="none"/>
        </w:rPr>
        <w:t>2021年大庆油田生</w:t>
      </w:r>
      <w:r>
        <w:rPr>
          <w:rFonts w:hint="eastAsia" w:ascii="Times New Roman" w:hAnsi="Times New Roman" w:eastAsiaTheme="minorEastAsia"/>
          <w:snapToGrid w:val="0"/>
          <w:color w:val="auto"/>
          <w:w w:val="99"/>
          <w:highlight w:val="none"/>
        </w:rPr>
        <w:t>产建设规划》（庆油发〔</w:t>
      </w:r>
      <w:r>
        <w:rPr>
          <w:rFonts w:ascii="Times New Roman" w:hAnsi="Times New Roman" w:eastAsiaTheme="minorEastAsia"/>
          <w:snapToGrid w:val="0"/>
          <w:color w:val="auto"/>
          <w:w w:val="99"/>
          <w:highlight w:val="none"/>
        </w:rPr>
        <w:t>2020〕152号）、《大庆市水土保持规划》（2015~2030）等主</w:t>
      </w:r>
      <w:r>
        <w:rPr>
          <w:rFonts w:hint="eastAsia" w:ascii="Times New Roman" w:hAnsi="Times New Roman" w:eastAsiaTheme="minorEastAsia"/>
          <w:snapToGrid w:val="0"/>
          <w:color w:val="auto"/>
          <w:w w:val="99"/>
          <w:highlight w:val="none"/>
        </w:rPr>
        <w:t>体功能区划要求，符合当地城市总体规划、土地利用规划等。</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rPr>
        <w:t>同时，本项目满足</w:t>
      </w:r>
      <w:r>
        <w:rPr>
          <w:rFonts w:ascii="Times New Roman" w:hAnsi="Times New Roman" w:eastAsiaTheme="minorEastAsia"/>
          <w:color w:val="auto"/>
          <w:w w:val="99"/>
          <w:kern w:val="2"/>
          <w:highlight w:val="none"/>
        </w:rPr>
        <w:t>《黑龙江省人民政府关于实施“三线一单”生态环境分区管控的意见》（黑政发〔2020〕14号）</w:t>
      </w:r>
      <w:r>
        <w:rPr>
          <w:rFonts w:hint="eastAsia" w:ascii="Times New Roman" w:hAnsi="Times New Roman" w:eastAsiaTheme="minorEastAsia"/>
          <w:color w:val="auto"/>
          <w:w w:val="99"/>
          <w:kern w:val="2"/>
          <w:highlight w:val="none"/>
        </w:rPr>
        <w:t>、</w:t>
      </w:r>
      <w:r>
        <w:rPr>
          <w:rFonts w:ascii="Times New Roman" w:hAnsi="Times New Roman" w:eastAsiaTheme="minorEastAsia"/>
          <w:color w:val="auto"/>
          <w:w w:val="99"/>
          <w:kern w:val="2"/>
          <w:highlight w:val="none"/>
        </w:rPr>
        <w:t>《大庆市人民政府关于实施“三线一单”生态环境分区管控的意见》（庆政规〔2021〕3号）</w:t>
      </w:r>
      <w:r>
        <w:rPr>
          <w:rFonts w:hint="eastAsia" w:ascii="Times New Roman" w:hAnsi="Times New Roman" w:eastAsiaTheme="minorEastAsia"/>
          <w:color w:val="auto"/>
          <w:w w:val="99"/>
          <w:kern w:val="2"/>
          <w:highlight w:val="none"/>
        </w:rPr>
        <w:t>、</w:t>
      </w:r>
      <w:r>
        <w:rPr>
          <w:rFonts w:hint="eastAsia" w:ascii="Times New Roman" w:hAnsi="Times New Roman" w:eastAsiaTheme="minorEastAsia"/>
          <w:snapToGrid w:val="0"/>
          <w:color w:val="auto"/>
          <w:w w:val="99"/>
          <w:highlight w:val="none"/>
        </w:rPr>
        <w:t>《黑龙江省人民政府关于印发黑龙江省打赢蓝天保卫战三年行动计划的通知》（黑政规〔</w:t>
      </w:r>
      <w:r>
        <w:rPr>
          <w:rFonts w:ascii="Times New Roman" w:hAnsi="Times New Roman" w:eastAsiaTheme="minorEastAsia"/>
          <w:snapToGrid w:val="0"/>
          <w:color w:val="auto"/>
          <w:w w:val="99"/>
          <w:highlight w:val="none"/>
        </w:rPr>
        <w:t>2018〕19号）等政策要求，在石油开采行业管理方面，满足《关于进一步加</w:t>
      </w:r>
      <w:r>
        <w:rPr>
          <w:rFonts w:hint="eastAsia" w:ascii="Times New Roman" w:hAnsi="Times New Roman" w:eastAsiaTheme="minorEastAsia"/>
          <w:snapToGrid w:val="0"/>
          <w:color w:val="auto"/>
          <w:w w:val="99"/>
          <w:highlight w:val="none"/>
        </w:rPr>
        <w:t>强石油天然气行业环境影响评价管理的通知》（环办环评函〔</w:t>
      </w:r>
      <w:r>
        <w:rPr>
          <w:rFonts w:ascii="Times New Roman" w:hAnsi="Times New Roman" w:eastAsiaTheme="minorEastAsia"/>
          <w:snapToGrid w:val="0"/>
          <w:color w:val="auto"/>
          <w:w w:val="99"/>
          <w:highlight w:val="none"/>
        </w:rPr>
        <w:t>2019〕910号）、《黑龙</w:t>
      </w:r>
      <w:r>
        <w:rPr>
          <w:rFonts w:hint="eastAsia" w:ascii="Times New Roman" w:hAnsi="Times New Roman" w:eastAsiaTheme="minorEastAsia"/>
          <w:snapToGrid w:val="0"/>
          <w:color w:val="auto"/>
          <w:w w:val="99"/>
          <w:highlight w:val="none"/>
        </w:rPr>
        <w:t>江省重点行业挥发性有机物综合治理行动方案》（黑环发〔</w:t>
      </w:r>
      <w:r>
        <w:rPr>
          <w:rFonts w:ascii="Times New Roman" w:hAnsi="Times New Roman" w:eastAsiaTheme="minorEastAsia"/>
          <w:snapToGrid w:val="0"/>
          <w:color w:val="auto"/>
          <w:w w:val="99"/>
          <w:highlight w:val="none"/>
        </w:rPr>
        <w:t>2019〕153号）、《石油天</w:t>
      </w:r>
      <w:r>
        <w:rPr>
          <w:rFonts w:hint="eastAsia" w:ascii="Times New Roman" w:hAnsi="Times New Roman" w:eastAsiaTheme="minorEastAsia"/>
          <w:snapToGrid w:val="0"/>
          <w:color w:val="auto"/>
          <w:w w:val="99"/>
          <w:highlight w:val="none"/>
        </w:rPr>
        <w:t>然气开采业污染防治技术政策》（环保部公告</w:t>
      </w:r>
      <w:r>
        <w:rPr>
          <w:rFonts w:ascii="Times New Roman" w:hAnsi="Times New Roman" w:eastAsiaTheme="minorEastAsia"/>
          <w:snapToGrid w:val="0"/>
          <w:color w:val="auto"/>
          <w:w w:val="99"/>
          <w:highlight w:val="none"/>
        </w:rPr>
        <w:t>2012年第18号）等管控要求。</w:t>
      </w:r>
    </w:p>
    <w:p>
      <w:pPr>
        <w:pStyle w:val="5"/>
        <w:widowControl w:val="0"/>
        <w:spacing w:before="120" w:after="120" w:line="500" w:lineRule="atLeast"/>
        <w:rPr>
          <w:rFonts w:ascii="Times New Roman" w:hAnsi="Times New Roman"/>
          <w:b/>
          <w:snapToGrid w:val="0"/>
          <w:color w:val="auto"/>
          <w:w w:val="99"/>
          <w:highlight w:val="none"/>
        </w:rPr>
      </w:pPr>
      <w:bookmarkStart w:id="1545" w:name="_Toc80105307"/>
      <w:r>
        <w:rPr>
          <w:rFonts w:ascii="Times New Roman" w:hAnsi="Times New Roman"/>
          <w:b/>
          <w:snapToGrid w:val="0"/>
          <w:color w:val="auto"/>
          <w:w w:val="99"/>
          <w:highlight w:val="none"/>
        </w:rPr>
        <w:t>9.3选址合理性结论</w:t>
      </w:r>
      <w:bookmarkEnd w:id="1545"/>
    </w:p>
    <w:p>
      <w:pPr>
        <w:pStyle w:val="107"/>
        <w:widowControl w:val="0"/>
        <w:spacing w:line="500" w:lineRule="atLeast"/>
        <w:rPr>
          <w:rFonts w:ascii="Times New Roman" w:hAnsi="Times New Roman" w:cs="Times New Roman" w:eastAsiaTheme="minorEastAsia"/>
          <w:bCs/>
          <w:color w:val="auto"/>
          <w:w w:val="99"/>
          <w:highlight w:val="none"/>
        </w:rPr>
      </w:pPr>
      <w:r>
        <w:rPr>
          <w:rFonts w:ascii="Times New Roman" w:hAnsi="Times New Roman" w:cs="Times New Roman" w:eastAsiaTheme="minorEastAsia"/>
          <w:bCs/>
          <w:color w:val="auto"/>
          <w:w w:val="99"/>
          <w:highlight w:val="none"/>
        </w:rPr>
        <w:t>本项目位于</w:t>
      </w:r>
      <w:r>
        <w:rPr>
          <w:rFonts w:hint="eastAsia" w:ascii="Times New Roman" w:hAnsi="Times New Roman" w:cs="Times New Roman" w:eastAsiaTheme="minorEastAsia"/>
          <w:bCs/>
          <w:color w:val="auto"/>
          <w:w w:val="99"/>
          <w:highlight w:val="none"/>
        </w:rPr>
        <w:t>大庆市</w:t>
      </w:r>
      <w:r>
        <w:rPr>
          <w:rFonts w:hint="eastAsia" w:ascii="Times New Roman" w:hAnsi="Times New Roman" w:cs="Times New Roman" w:eastAsiaTheme="minorEastAsia"/>
          <w:bCs/>
          <w:color w:val="auto"/>
          <w:w w:val="99"/>
          <w:highlight w:val="none"/>
          <w:lang w:eastAsia="zh-CN"/>
        </w:rPr>
        <w:t>肇源县</w:t>
      </w:r>
      <w:r>
        <w:rPr>
          <w:rFonts w:ascii="Times New Roman" w:hAnsi="Times New Roman" w:cs="Times New Roman" w:eastAsiaTheme="minorEastAsia"/>
          <w:bCs/>
          <w:color w:val="auto"/>
          <w:w w:val="99"/>
          <w:highlight w:val="none"/>
        </w:rPr>
        <w:t>。本项目选址不在自然保护区、生态功能保护区、风景名胜区、森林公园、饮用水水源保护区内，无自然保护区和重要湿地分布，不在生态保护红线管控范围内，环境敏感目标主要为村屯和周边的一般耕地。</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bCs/>
          <w:color w:val="auto"/>
          <w:w w:val="99"/>
          <w:highlight w:val="none"/>
        </w:rPr>
        <w:t>本项目在井位的选址和布局上根据“地下决定地上，地下顾及地上”的原则，采用占地面积最小、环境影响最小的布局方案，尽量避绕周围环境敏感点，未占用湿地。本项目占地类型为耕地（</w:t>
      </w:r>
      <w:r>
        <w:rPr>
          <w:rFonts w:hint="eastAsia" w:ascii="Times New Roman" w:hAnsi="Times New Roman" w:eastAsiaTheme="minorEastAsia"/>
          <w:bCs/>
          <w:color w:val="auto"/>
          <w:w w:val="99"/>
          <w:highlight w:val="none"/>
          <w:lang w:eastAsia="zh-CN"/>
        </w:rPr>
        <w:t>非</w:t>
      </w:r>
      <w:r>
        <w:rPr>
          <w:rFonts w:ascii="Times New Roman" w:hAnsi="Times New Roman" w:eastAsiaTheme="minorEastAsia"/>
          <w:bCs/>
          <w:color w:val="auto"/>
          <w:w w:val="99"/>
          <w:highlight w:val="none"/>
        </w:rPr>
        <w:t>基本农田</w:t>
      </w:r>
      <w:r>
        <w:rPr>
          <w:rFonts w:hint="eastAsia" w:ascii="Times New Roman" w:hAnsi="Times New Roman" w:eastAsiaTheme="minorEastAsia"/>
          <w:bCs/>
          <w:color w:val="auto"/>
          <w:w w:val="99"/>
          <w:highlight w:val="none"/>
          <w:lang w:eastAsia="zh-CN"/>
        </w:rPr>
        <w:t>、少量永久基本农田</w:t>
      </w:r>
      <w:r>
        <w:rPr>
          <w:rFonts w:ascii="Times New Roman" w:hAnsi="Times New Roman" w:eastAsiaTheme="minorEastAsia"/>
          <w:bCs/>
          <w:color w:val="auto"/>
          <w:w w:val="99"/>
          <w:highlight w:val="none"/>
        </w:rPr>
        <w:t>），对占用的耕地按照占一补一原则缴纳补偿费用，并对临时占用的耕地采取生态恢复及补偿措施，把对生态环境的影响降至最小。工程建设对周围的环境影响主要为生态环境影响、大气环境影响、地下水环境影响、地表水影响、土壤影响、声环境影响和固废对周围的环境影响。通过环境影响预测与环境影响分析，本项目建设实施后，通过采取相应的污染控制措施，周围的环境质量均满足相关标准要求，工程建设对周围的环境影响均在可接受的范围，工程选址在环境保护方面较合理。</w:t>
      </w:r>
    </w:p>
    <w:p>
      <w:pPr>
        <w:pStyle w:val="5"/>
        <w:widowControl w:val="0"/>
        <w:spacing w:before="120" w:after="120" w:line="500" w:lineRule="atLeast"/>
        <w:rPr>
          <w:rFonts w:ascii="Times New Roman" w:hAnsi="Times New Roman"/>
          <w:b/>
          <w:snapToGrid w:val="0"/>
          <w:color w:val="auto"/>
          <w:w w:val="99"/>
          <w:highlight w:val="none"/>
        </w:rPr>
      </w:pPr>
      <w:bookmarkStart w:id="1546" w:name="_Toc502736560"/>
      <w:bookmarkStart w:id="1547" w:name="_Toc80105308"/>
      <w:bookmarkStart w:id="1548" w:name="_Toc12067"/>
      <w:r>
        <w:rPr>
          <w:rFonts w:ascii="Times New Roman" w:hAnsi="Times New Roman"/>
          <w:b/>
          <w:snapToGrid w:val="0"/>
          <w:color w:val="auto"/>
          <w:w w:val="99"/>
          <w:highlight w:val="none"/>
        </w:rPr>
        <w:t>9.4环境质量现状评价结论</w:t>
      </w:r>
      <w:bookmarkEnd w:id="1546"/>
      <w:bookmarkEnd w:id="1547"/>
      <w:bookmarkEnd w:id="1548"/>
    </w:p>
    <w:p>
      <w:pPr>
        <w:pStyle w:val="7"/>
        <w:widowControl w:val="0"/>
        <w:spacing w:before="60" w:after="60" w:line="500" w:lineRule="atLeast"/>
        <w:jc w:val="both"/>
        <w:rPr>
          <w:b/>
          <w:color w:val="auto"/>
          <w:w w:val="99"/>
          <w:kern w:val="2"/>
          <w:sz w:val="24"/>
          <w:szCs w:val="24"/>
          <w:highlight w:val="none"/>
        </w:rPr>
      </w:pPr>
      <w:bookmarkStart w:id="1549" w:name="_Toc74812478"/>
      <w:bookmarkStart w:id="1550" w:name="_Toc77667453"/>
      <w:bookmarkStart w:id="1551" w:name="_Toc71372094"/>
      <w:bookmarkStart w:id="1552" w:name="_Toc80105309"/>
      <w:bookmarkStart w:id="1553" w:name="_Toc74812239"/>
      <w:bookmarkStart w:id="1554" w:name="_Toc67523745"/>
      <w:bookmarkStart w:id="1555" w:name="_Toc61597368"/>
      <w:bookmarkStart w:id="1556" w:name="_Toc69690964"/>
      <w:r>
        <w:rPr>
          <w:b/>
          <w:color w:val="auto"/>
          <w:w w:val="99"/>
          <w:kern w:val="2"/>
          <w:sz w:val="24"/>
          <w:szCs w:val="24"/>
          <w:highlight w:val="none"/>
        </w:rPr>
        <w:t>9.4.1大气环境质量现状评价结论</w:t>
      </w:r>
      <w:bookmarkEnd w:id="1549"/>
      <w:bookmarkEnd w:id="1550"/>
      <w:bookmarkEnd w:id="1551"/>
      <w:bookmarkEnd w:id="1552"/>
      <w:bookmarkEnd w:id="1553"/>
      <w:bookmarkEnd w:id="1554"/>
      <w:bookmarkEnd w:id="1555"/>
      <w:bookmarkEnd w:id="1556"/>
    </w:p>
    <w:p>
      <w:pPr>
        <w:widowControl w:val="0"/>
        <w:spacing w:line="500" w:lineRule="atLeast"/>
        <w:ind w:firstLine="474" w:firstLineChars="200"/>
        <w:rPr>
          <w:rFonts w:ascii="Times New Roman" w:hAnsi="Times New Roman" w:cs="Times New Roman" w:eastAsiaTheme="minorEastAsia"/>
          <w:snapToGrid w:val="0"/>
          <w:color w:val="auto"/>
          <w:w w:val="99"/>
          <w:highlight w:val="none"/>
        </w:rPr>
      </w:pPr>
      <w:r>
        <w:rPr>
          <w:rFonts w:ascii="Times New Roman" w:hAnsi="Times New Roman" w:cs="Times New Roman" w:eastAsiaTheme="minorEastAsia"/>
          <w:color w:val="auto"/>
          <w:w w:val="99"/>
          <w:highlight w:val="none"/>
        </w:rPr>
        <w:t>根据</w:t>
      </w:r>
      <w:r>
        <w:rPr>
          <w:rFonts w:ascii="Times New Roman" w:hAnsi="Times New Roman" w:cs="Times New Roman" w:eastAsiaTheme="minorEastAsia"/>
          <w:color w:val="auto"/>
          <w:w w:val="99"/>
          <w:kern w:val="2"/>
          <w:szCs w:val="20"/>
          <w:highlight w:val="none"/>
        </w:rPr>
        <w:t>《2020年大庆市生态环境状况公报》</w:t>
      </w:r>
      <w:r>
        <w:rPr>
          <w:rFonts w:ascii="Times New Roman" w:hAnsi="Times New Roman" w:cs="Times New Roman" w:eastAsiaTheme="minorEastAsia"/>
          <w:color w:val="auto"/>
          <w:w w:val="99"/>
          <w:highlight w:val="none"/>
        </w:rPr>
        <w:t>统计数据可知，项目所在区域属于环境空气质量达标。均能满足《环境空气质量标准》（GB3095-2012）二级标准要求。</w:t>
      </w:r>
      <w:r>
        <w:rPr>
          <w:rFonts w:ascii="Times New Roman" w:hAnsi="Times New Roman" w:cs="Times New Roman" w:eastAsiaTheme="minorEastAsia"/>
          <w:bCs/>
          <w:snapToGrid w:val="0"/>
          <w:color w:val="auto"/>
          <w:w w:val="99"/>
          <w:highlight w:val="none"/>
        </w:rPr>
        <w:t>特征污染物非甲烷总烃满足《大气污染物综合排放标准详解》</w:t>
      </w:r>
      <w:r>
        <w:rPr>
          <w:rFonts w:ascii="Times New Roman" w:hAnsi="Times New Roman" w:cs="Times New Roman" w:eastAsiaTheme="minorEastAsia"/>
          <w:snapToGrid w:val="0"/>
          <w:color w:val="auto"/>
          <w:w w:val="99"/>
          <w:highlight w:val="none"/>
        </w:rPr>
        <w:t>中的2.0mg/m</w:t>
      </w:r>
      <w:r>
        <w:rPr>
          <w:rFonts w:ascii="Times New Roman" w:hAnsi="Times New Roman" w:cs="Times New Roman" w:eastAsiaTheme="minorEastAsia"/>
          <w:snapToGrid w:val="0"/>
          <w:color w:val="auto"/>
          <w:w w:val="99"/>
          <w:highlight w:val="none"/>
          <w:vertAlign w:val="superscript"/>
        </w:rPr>
        <w:t>3</w:t>
      </w:r>
      <w:r>
        <w:rPr>
          <w:rFonts w:ascii="Times New Roman" w:hAnsi="Times New Roman" w:cs="Times New Roman" w:eastAsiaTheme="minorEastAsia"/>
          <w:snapToGrid w:val="0"/>
          <w:color w:val="auto"/>
          <w:w w:val="99"/>
          <w:highlight w:val="none"/>
        </w:rPr>
        <w:t>标准要求。</w:t>
      </w:r>
    </w:p>
    <w:p>
      <w:pPr>
        <w:pStyle w:val="7"/>
        <w:widowControl w:val="0"/>
        <w:spacing w:before="60" w:after="60" w:line="500" w:lineRule="atLeast"/>
        <w:jc w:val="both"/>
        <w:rPr>
          <w:b/>
          <w:color w:val="auto"/>
          <w:w w:val="99"/>
          <w:kern w:val="2"/>
          <w:sz w:val="24"/>
          <w:szCs w:val="24"/>
          <w:highlight w:val="none"/>
        </w:rPr>
      </w:pPr>
      <w:bookmarkStart w:id="1557" w:name="_Toc74812240"/>
      <w:bookmarkStart w:id="1558" w:name="_Toc61597369"/>
      <w:bookmarkStart w:id="1559" w:name="_Toc80105310"/>
      <w:bookmarkStart w:id="1560" w:name="_Toc74812479"/>
      <w:bookmarkStart w:id="1561" w:name="_Toc71372095"/>
      <w:bookmarkStart w:id="1562" w:name="_Toc67523746"/>
      <w:bookmarkStart w:id="1563" w:name="_Toc77667454"/>
      <w:bookmarkStart w:id="1564" w:name="_Toc69690965"/>
      <w:r>
        <w:rPr>
          <w:b/>
          <w:color w:val="auto"/>
          <w:w w:val="99"/>
          <w:kern w:val="2"/>
          <w:sz w:val="24"/>
          <w:szCs w:val="24"/>
          <w:highlight w:val="none"/>
        </w:rPr>
        <w:t>9.4.2</w:t>
      </w:r>
      <w:bookmarkEnd w:id="1557"/>
      <w:bookmarkEnd w:id="1558"/>
      <w:bookmarkEnd w:id="1559"/>
      <w:bookmarkEnd w:id="1560"/>
      <w:bookmarkEnd w:id="1561"/>
      <w:bookmarkEnd w:id="1562"/>
      <w:bookmarkEnd w:id="1563"/>
      <w:bookmarkEnd w:id="1564"/>
      <w:bookmarkStart w:id="1565" w:name="_Toc67523747"/>
      <w:bookmarkStart w:id="1566" w:name="_Toc80105311"/>
      <w:bookmarkStart w:id="1567" w:name="_Toc74812480"/>
      <w:bookmarkStart w:id="1568" w:name="_Toc74812241"/>
      <w:bookmarkStart w:id="1569" w:name="_Toc77667455"/>
      <w:bookmarkStart w:id="1570" w:name="_Toc71372096"/>
      <w:bookmarkStart w:id="1571" w:name="_Toc69690966"/>
      <w:bookmarkStart w:id="1572" w:name="_Toc61597370"/>
      <w:r>
        <w:rPr>
          <w:b/>
          <w:color w:val="auto"/>
          <w:w w:val="99"/>
          <w:kern w:val="2"/>
          <w:sz w:val="24"/>
          <w:szCs w:val="24"/>
          <w:highlight w:val="none"/>
        </w:rPr>
        <w:t>地下水环境质量现状评价结论</w:t>
      </w:r>
      <w:bookmarkEnd w:id="1565"/>
      <w:bookmarkEnd w:id="1566"/>
      <w:bookmarkEnd w:id="1567"/>
      <w:bookmarkEnd w:id="1568"/>
      <w:bookmarkEnd w:id="1569"/>
      <w:bookmarkEnd w:id="1570"/>
      <w:bookmarkEnd w:id="1571"/>
      <w:bookmarkEnd w:id="1572"/>
    </w:p>
    <w:p>
      <w:pPr>
        <w:pStyle w:val="109"/>
        <w:widowControl w:val="0"/>
        <w:spacing w:line="500" w:lineRule="atLeast"/>
        <w:ind w:firstLine="473"/>
        <w:rPr>
          <w:rFonts w:ascii="Times New Roman" w:hAnsi="Times New Roman" w:eastAsiaTheme="minorEastAsia"/>
          <w:snapToGrid w:val="0"/>
          <w:color w:val="auto"/>
          <w:w w:val="99"/>
          <w:highlight w:val="none"/>
        </w:rPr>
      </w:pPr>
      <w:bookmarkStart w:id="1573" w:name="_Hlk530468669"/>
      <w:r>
        <w:rPr>
          <w:rFonts w:ascii="Times New Roman" w:hAnsi="Times New Roman" w:eastAsiaTheme="minorEastAsia"/>
          <w:snapToGrid w:val="0"/>
          <w:color w:val="auto"/>
          <w:w w:val="99"/>
          <w:highlight w:val="none"/>
        </w:rPr>
        <w:t>评价区域地下水监测因子除锰外均满足《地下水质量标准》（GB/T14848-2017）中的</w:t>
      </w:r>
      <w:r>
        <w:rPr>
          <w:rFonts w:ascii="Times New Roman" w:hAnsi="Times New Roman" w:eastAsiaTheme="minorEastAsia"/>
          <w:snapToGrid w:val="0"/>
          <w:color w:val="auto"/>
          <w:w w:val="99"/>
          <w:highlight w:val="none"/>
        </w:rPr>
        <w:fldChar w:fldCharType="begin"/>
      </w:r>
      <w:r>
        <w:rPr>
          <w:rFonts w:ascii="Times New Roman" w:hAnsi="Times New Roman" w:eastAsiaTheme="minorEastAsia"/>
          <w:snapToGrid w:val="0"/>
          <w:color w:val="auto"/>
          <w:w w:val="99"/>
          <w:highlight w:val="none"/>
        </w:rPr>
        <w:instrText xml:space="preserve"> = 3 \* ROMAN </w:instrText>
      </w:r>
      <w:r>
        <w:rPr>
          <w:rFonts w:ascii="Times New Roman" w:hAnsi="Times New Roman" w:eastAsiaTheme="minorEastAsia"/>
          <w:snapToGrid w:val="0"/>
          <w:color w:val="auto"/>
          <w:w w:val="99"/>
          <w:highlight w:val="none"/>
        </w:rPr>
        <w:fldChar w:fldCharType="separate"/>
      </w:r>
      <w:r>
        <w:rPr>
          <w:rFonts w:hint="eastAsia" w:cs="宋体"/>
          <w:snapToGrid w:val="0"/>
          <w:color w:val="auto"/>
          <w:w w:val="99"/>
          <w:highlight w:val="none"/>
        </w:rPr>
        <w:t>Ⅲ</w:t>
      </w:r>
      <w:r>
        <w:rPr>
          <w:rFonts w:ascii="Times New Roman" w:hAnsi="Times New Roman" w:eastAsiaTheme="minorEastAsia"/>
          <w:snapToGrid w:val="0"/>
          <w:color w:val="auto"/>
          <w:w w:val="99"/>
          <w:highlight w:val="none"/>
        </w:rPr>
        <w:fldChar w:fldCharType="end"/>
      </w:r>
      <w:r>
        <w:rPr>
          <w:rFonts w:ascii="Times New Roman" w:hAnsi="Times New Roman" w:eastAsiaTheme="minorEastAsia"/>
          <w:snapToGrid w:val="0"/>
          <w:color w:val="auto"/>
          <w:w w:val="99"/>
          <w:highlight w:val="none"/>
        </w:rPr>
        <w:t>类标准要求，</w:t>
      </w:r>
      <w:r>
        <w:rPr>
          <w:rFonts w:ascii="Times New Roman" w:hAnsi="Times New Roman" w:eastAsiaTheme="minorEastAsia"/>
          <w:color w:val="auto"/>
          <w:w w:val="99"/>
          <w:highlight w:val="none"/>
        </w:rPr>
        <w:t>其中，锰</w:t>
      </w:r>
      <w:r>
        <w:rPr>
          <w:rFonts w:ascii="Times New Roman" w:hAnsi="Times New Roman" w:eastAsiaTheme="minorEastAsia"/>
          <w:color w:val="auto"/>
          <w:w w:val="99"/>
          <w:szCs w:val="20"/>
          <w:highlight w:val="none"/>
        </w:rPr>
        <w:t>因子水质监测浓度占标率偏高，主要是由于</w:t>
      </w:r>
      <w:r>
        <w:rPr>
          <w:rFonts w:ascii="Times New Roman" w:hAnsi="Times New Roman" w:eastAsiaTheme="minorEastAsia"/>
          <w:color w:val="auto"/>
          <w:w w:val="99"/>
          <w:highlight w:val="none"/>
        </w:rPr>
        <w:t>评价区域地层中富含锰矿物，还原条件下转化的Mn</w:t>
      </w:r>
      <w:r>
        <w:rPr>
          <w:rFonts w:ascii="Times New Roman" w:hAnsi="Times New Roman" w:eastAsiaTheme="minorEastAsia"/>
          <w:color w:val="auto"/>
          <w:w w:val="99"/>
          <w:highlight w:val="none"/>
          <w:vertAlign w:val="superscript"/>
        </w:rPr>
        <w:t>2+</w:t>
      </w:r>
      <w:r>
        <w:rPr>
          <w:rFonts w:ascii="Times New Roman" w:hAnsi="Times New Roman" w:eastAsiaTheme="minorEastAsia"/>
          <w:color w:val="auto"/>
          <w:w w:val="99"/>
          <w:highlight w:val="none"/>
        </w:rPr>
        <w:t>在CO</w:t>
      </w:r>
      <w:r>
        <w:rPr>
          <w:rFonts w:ascii="Times New Roman" w:hAnsi="Times New Roman" w:eastAsiaTheme="minorEastAsia"/>
          <w:color w:val="auto"/>
          <w:w w:val="99"/>
          <w:highlight w:val="none"/>
          <w:vertAlign w:val="subscript"/>
        </w:rPr>
        <w:t>2</w:t>
      </w:r>
      <w:r>
        <w:rPr>
          <w:rFonts w:ascii="Times New Roman" w:hAnsi="Times New Roman" w:eastAsiaTheme="minorEastAsia"/>
          <w:color w:val="auto"/>
          <w:w w:val="99"/>
          <w:highlight w:val="none"/>
        </w:rPr>
        <w:t>作用下溶入地下水中，形成锰浓度偏高的水文地质化学环境。</w:t>
      </w:r>
    </w:p>
    <w:bookmarkEnd w:id="1573"/>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bCs/>
          <w:snapToGrid w:val="0"/>
          <w:color w:val="auto"/>
          <w:w w:val="99"/>
          <w:highlight w:val="none"/>
        </w:rPr>
        <w:t>评价区域内包气带中铅、汞、砷均未检出，且污染控制点与清洁对照点油田特征污染物石油类、挥发酚所测数值相差不大，评价区域内包气带未被污染。</w:t>
      </w:r>
    </w:p>
    <w:p>
      <w:pPr>
        <w:pStyle w:val="7"/>
        <w:widowControl w:val="0"/>
        <w:spacing w:before="60" w:after="60" w:line="500" w:lineRule="atLeast"/>
        <w:jc w:val="both"/>
        <w:rPr>
          <w:b/>
          <w:color w:val="auto"/>
          <w:w w:val="99"/>
          <w:kern w:val="2"/>
          <w:sz w:val="24"/>
          <w:szCs w:val="24"/>
          <w:highlight w:val="none"/>
        </w:rPr>
      </w:pPr>
      <w:bookmarkStart w:id="1574" w:name="_Toc71372097"/>
      <w:bookmarkStart w:id="1575" w:name="_Toc69690967"/>
      <w:bookmarkStart w:id="1576" w:name="_Toc74812481"/>
      <w:bookmarkStart w:id="1577" w:name="_Toc80105312"/>
      <w:bookmarkStart w:id="1578" w:name="_Toc61597371"/>
      <w:bookmarkStart w:id="1579" w:name="_Toc67523748"/>
      <w:bookmarkStart w:id="1580" w:name="_Toc77667456"/>
      <w:bookmarkStart w:id="1581" w:name="_Toc74812242"/>
      <w:r>
        <w:rPr>
          <w:b/>
          <w:color w:val="auto"/>
          <w:w w:val="99"/>
          <w:kern w:val="2"/>
          <w:sz w:val="24"/>
          <w:szCs w:val="24"/>
          <w:highlight w:val="none"/>
        </w:rPr>
        <w:t>9.4.</w:t>
      </w:r>
      <w:r>
        <w:rPr>
          <w:rFonts w:hint="eastAsia"/>
          <w:b/>
          <w:color w:val="auto"/>
          <w:w w:val="99"/>
          <w:kern w:val="2"/>
          <w:sz w:val="24"/>
          <w:szCs w:val="24"/>
          <w:highlight w:val="none"/>
          <w:lang w:val="en-US" w:eastAsia="zh-CN"/>
        </w:rPr>
        <w:t>3</w:t>
      </w:r>
      <w:r>
        <w:rPr>
          <w:b/>
          <w:color w:val="auto"/>
          <w:w w:val="99"/>
          <w:kern w:val="2"/>
          <w:sz w:val="24"/>
          <w:szCs w:val="24"/>
          <w:highlight w:val="none"/>
        </w:rPr>
        <w:t>声环境质量现状评价结论</w:t>
      </w:r>
      <w:bookmarkEnd w:id="1574"/>
      <w:bookmarkEnd w:id="1575"/>
      <w:bookmarkEnd w:id="1576"/>
      <w:bookmarkEnd w:id="1577"/>
      <w:bookmarkEnd w:id="1578"/>
      <w:bookmarkEnd w:id="1579"/>
      <w:bookmarkEnd w:id="1580"/>
      <w:bookmarkEnd w:id="1581"/>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项目区评价范围内各监测点昼间及夜间等效连续A声级均无超标现象，达标率100%，</w:t>
      </w:r>
      <w:r>
        <w:rPr>
          <w:rFonts w:ascii="Times New Roman" w:hAnsi="Times New Roman" w:eastAsiaTheme="minorEastAsia"/>
          <w:color w:val="auto"/>
          <w:w w:val="99"/>
          <w:highlight w:val="none"/>
        </w:rPr>
        <w:t>建设项目区域声环境质量满足《声环境质量标准》（GB3096-2008）2类标准</w:t>
      </w:r>
      <w:r>
        <w:rPr>
          <w:rFonts w:hint="eastAsia" w:ascii="Times New Roman" w:hAnsi="Times New Roman" w:eastAsiaTheme="minorEastAsia"/>
          <w:color w:val="auto"/>
          <w:w w:val="99"/>
          <w:highlight w:val="none"/>
        </w:rPr>
        <w:t>，</w:t>
      </w:r>
      <w:r>
        <w:rPr>
          <w:rFonts w:ascii="Times New Roman" w:hAnsi="Times New Roman" w:eastAsiaTheme="minorEastAsia"/>
          <w:color w:val="auto"/>
          <w:w w:val="99"/>
          <w:kern w:val="2"/>
          <w:highlight w:val="none"/>
        </w:rPr>
        <w:t>周边村屯</w:t>
      </w:r>
      <w:r>
        <w:rPr>
          <w:rFonts w:hint="eastAsia" w:ascii="Times New Roman" w:hAnsi="Times New Roman" w:eastAsiaTheme="minorEastAsia"/>
          <w:color w:val="auto"/>
          <w:w w:val="99"/>
          <w:kern w:val="2"/>
          <w:highlight w:val="none"/>
        </w:rPr>
        <w:t>声环境满足</w:t>
      </w:r>
      <w:r>
        <w:rPr>
          <w:rFonts w:ascii="Times New Roman" w:hAnsi="Times New Roman" w:eastAsiaTheme="minorEastAsia"/>
          <w:color w:val="auto"/>
          <w:w w:val="99"/>
          <w:kern w:val="2"/>
          <w:highlight w:val="none"/>
        </w:rPr>
        <w:t>《声环境质量标准》（GB3096-2008）中的1类区标准</w:t>
      </w:r>
      <w:r>
        <w:rPr>
          <w:rFonts w:ascii="Times New Roman" w:hAnsi="Times New Roman" w:eastAsiaTheme="minorEastAsia"/>
          <w:color w:val="auto"/>
          <w:w w:val="99"/>
          <w:highlight w:val="none"/>
        </w:rPr>
        <w:t>。</w:t>
      </w:r>
    </w:p>
    <w:p>
      <w:pPr>
        <w:pStyle w:val="7"/>
        <w:widowControl w:val="0"/>
        <w:spacing w:before="60" w:after="60" w:line="500" w:lineRule="atLeast"/>
        <w:jc w:val="both"/>
        <w:rPr>
          <w:b/>
          <w:color w:val="auto"/>
          <w:w w:val="99"/>
          <w:kern w:val="2"/>
          <w:sz w:val="24"/>
          <w:szCs w:val="24"/>
          <w:highlight w:val="none"/>
        </w:rPr>
      </w:pPr>
      <w:bookmarkStart w:id="1582" w:name="_Toc67523749"/>
      <w:bookmarkStart w:id="1583" w:name="_Toc71372098"/>
      <w:bookmarkStart w:id="1584" w:name="_Toc69690968"/>
      <w:bookmarkStart w:id="1585" w:name="_Toc77667457"/>
      <w:bookmarkStart w:id="1586" w:name="_Toc74812243"/>
      <w:bookmarkStart w:id="1587" w:name="_Toc80105313"/>
      <w:bookmarkStart w:id="1588" w:name="_Toc74812482"/>
      <w:bookmarkStart w:id="1589" w:name="_Toc61597372"/>
      <w:bookmarkStart w:id="1590" w:name="_Toc502736561"/>
      <w:bookmarkStart w:id="1591" w:name="_Toc182"/>
      <w:r>
        <w:rPr>
          <w:b/>
          <w:color w:val="auto"/>
          <w:w w:val="99"/>
          <w:kern w:val="2"/>
          <w:sz w:val="24"/>
          <w:szCs w:val="24"/>
          <w:highlight w:val="none"/>
        </w:rPr>
        <w:t>9.4.</w:t>
      </w:r>
      <w:r>
        <w:rPr>
          <w:rFonts w:hint="eastAsia"/>
          <w:b/>
          <w:color w:val="auto"/>
          <w:w w:val="99"/>
          <w:kern w:val="2"/>
          <w:sz w:val="24"/>
          <w:szCs w:val="24"/>
          <w:highlight w:val="none"/>
          <w:lang w:val="en-US" w:eastAsia="zh-CN"/>
        </w:rPr>
        <w:t>4</w:t>
      </w:r>
      <w:r>
        <w:rPr>
          <w:b/>
          <w:color w:val="auto"/>
          <w:w w:val="99"/>
          <w:kern w:val="2"/>
          <w:sz w:val="24"/>
          <w:szCs w:val="24"/>
          <w:highlight w:val="none"/>
        </w:rPr>
        <w:t>土壤现状评价结论</w:t>
      </w:r>
      <w:bookmarkEnd w:id="1582"/>
      <w:bookmarkEnd w:id="1583"/>
      <w:bookmarkEnd w:id="1584"/>
      <w:bookmarkEnd w:id="1585"/>
      <w:bookmarkEnd w:id="1586"/>
      <w:bookmarkEnd w:id="1587"/>
      <w:bookmarkEnd w:id="1588"/>
      <w:bookmarkEnd w:id="1589"/>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评价区域内土壤环境质量较好，没有出现超标情况。本项目永久占地内土壤满足《土壤环境质量 建设用地土壤污染风险管控标准（试行）》（GB36600-2018）中表1建设用地土壤污染风险筛选值（基本项目）中第二类用地筛选值标准，以及表2（其他项目）中第二类用地筛选值标准；评价范围内村屯土壤满足《土壤环境质量 建设用地土壤污染风险管控标准（试行）》（GB36600-2018）中表1建设用地土壤污染风险筛选值（基本项目）中第一类用地筛选值标准，以及表2（其他项目）中第一类用地筛选值标准；评价范围内耕地土壤满足《土壤环境质量 农用地土壤污染风险管控标准（试行）》（GB15618-2018）表1农用地土壤风险筛选值（基本项目）中标准。</w:t>
      </w:r>
    </w:p>
    <w:bookmarkEnd w:id="1590"/>
    <w:bookmarkEnd w:id="1591"/>
    <w:p>
      <w:pPr>
        <w:pStyle w:val="5"/>
        <w:widowControl w:val="0"/>
        <w:spacing w:before="120" w:after="120" w:line="500" w:lineRule="atLeast"/>
        <w:rPr>
          <w:rFonts w:ascii="Times New Roman" w:hAnsi="Times New Roman"/>
          <w:b/>
          <w:snapToGrid w:val="0"/>
          <w:color w:val="auto"/>
          <w:w w:val="99"/>
          <w:highlight w:val="none"/>
        </w:rPr>
      </w:pPr>
      <w:bookmarkStart w:id="1592" w:name="_Toc502736563"/>
      <w:bookmarkStart w:id="1593" w:name="_Toc30879"/>
      <w:bookmarkStart w:id="1594" w:name="_Toc80105314"/>
      <w:r>
        <w:rPr>
          <w:rFonts w:ascii="Times New Roman" w:hAnsi="Times New Roman"/>
          <w:b/>
          <w:snapToGrid w:val="0"/>
          <w:color w:val="auto"/>
          <w:w w:val="99"/>
          <w:highlight w:val="none"/>
        </w:rPr>
        <w:t>9.</w:t>
      </w:r>
      <w:bookmarkEnd w:id="1592"/>
      <w:bookmarkEnd w:id="1593"/>
      <w:r>
        <w:rPr>
          <w:rFonts w:ascii="Times New Roman" w:hAnsi="Times New Roman"/>
          <w:b/>
          <w:snapToGrid w:val="0"/>
          <w:color w:val="auto"/>
          <w:w w:val="99"/>
          <w:highlight w:val="none"/>
        </w:rPr>
        <w:t>5环境影响分析和污染防治措施可行性结论</w:t>
      </w:r>
      <w:bookmarkEnd w:id="1594"/>
    </w:p>
    <w:p>
      <w:pPr>
        <w:pStyle w:val="7"/>
        <w:widowControl w:val="0"/>
        <w:spacing w:before="60" w:after="60" w:line="500" w:lineRule="atLeast"/>
        <w:jc w:val="both"/>
        <w:rPr>
          <w:b/>
          <w:color w:val="auto"/>
          <w:w w:val="99"/>
          <w:kern w:val="2"/>
          <w:sz w:val="24"/>
          <w:szCs w:val="24"/>
          <w:highlight w:val="none"/>
        </w:rPr>
      </w:pPr>
      <w:bookmarkStart w:id="1595" w:name="_Toc67523751"/>
      <w:bookmarkStart w:id="1596" w:name="_Toc80105315"/>
      <w:bookmarkStart w:id="1597" w:name="_Toc71372100"/>
      <w:bookmarkStart w:id="1598" w:name="_Toc69690970"/>
      <w:bookmarkStart w:id="1599" w:name="_Toc77667459"/>
      <w:bookmarkStart w:id="1600" w:name="_Toc61597374"/>
      <w:bookmarkStart w:id="1601" w:name="_Toc74812484"/>
      <w:bookmarkStart w:id="1602" w:name="_Toc74812245"/>
      <w:r>
        <w:rPr>
          <w:b/>
          <w:color w:val="auto"/>
          <w:w w:val="99"/>
          <w:kern w:val="2"/>
          <w:sz w:val="24"/>
          <w:szCs w:val="24"/>
          <w:highlight w:val="none"/>
        </w:rPr>
        <w:t>9.5.1大气环境影响分析和污染防治措施可行性结论</w:t>
      </w:r>
      <w:bookmarkEnd w:id="1595"/>
      <w:bookmarkEnd w:id="1596"/>
      <w:bookmarkEnd w:id="1597"/>
      <w:bookmarkEnd w:id="1598"/>
      <w:bookmarkEnd w:id="1599"/>
      <w:bookmarkEnd w:id="1600"/>
      <w:bookmarkEnd w:id="1601"/>
      <w:bookmarkEnd w:id="1602"/>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（1）柴油机燃烧排放的烟气</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施工时使用低标号柴油，调节好柴油机运行工况。由于施工所在区域较开阔，柴油发电机烟气扩散较快，对附近环境影响较小。随着钻井工作的结束，柴油机排放的废气对环境空气的影响会逐渐消失。</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（2）施工扬尘</w:t>
      </w:r>
    </w:p>
    <w:p>
      <w:pPr>
        <w:pStyle w:val="109"/>
        <w:widowControl w:val="0"/>
        <w:spacing w:line="500" w:lineRule="atLeast"/>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bCs/>
          <w:snapToGrid w:val="0"/>
          <w:color w:val="auto"/>
          <w:w w:val="99"/>
          <w:highlight w:val="none"/>
        </w:rPr>
        <w:t>施工运输车辆采取密闭措施或加盖防尘布</w:t>
      </w:r>
      <w:r>
        <w:rPr>
          <w:rFonts w:ascii="Times New Roman" w:hAnsi="Times New Roman" w:eastAsiaTheme="minorEastAsia"/>
          <w:snapToGrid w:val="0"/>
          <w:color w:val="auto"/>
          <w:w w:val="99"/>
          <w:highlight w:val="none"/>
        </w:rPr>
        <w:t>，严禁散落；</w:t>
      </w:r>
      <w:r>
        <w:rPr>
          <w:rFonts w:ascii="Times New Roman" w:hAnsi="Times New Roman" w:eastAsiaTheme="minorEastAsia"/>
          <w:bCs/>
          <w:snapToGrid w:val="0"/>
          <w:color w:val="auto"/>
          <w:w w:val="99"/>
          <w:highlight w:val="none"/>
        </w:rPr>
        <w:t>控制车速；</w:t>
      </w:r>
      <w:r>
        <w:rPr>
          <w:rFonts w:ascii="Times New Roman" w:hAnsi="Times New Roman" w:eastAsiaTheme="minorEastAsia"/>
          <w:snapToGrid w:val="0"/>
          <w:color w:val="auto"/>
          <w:w w:val="99"/>
          <w:highlight w:val="none"/>
        </w:rPr>
        <w:t>运输车辆驶出工地前须除泥降尘，严禁泥土尘沙带出工地；施工场地干燥时适当洒水抑尘，物料堆放应定点，并采取防尘、抑尘措施，如设置挡风板、上覆遮盖材料等；拉运固井水泥车辆采用罐装。</w:t>
      </w:r>
    </w:p>
    <w:p>
      <w:pPr>
        <w:pStyle w:val="109"/>
        <w:widowControl w:val="0"/>
        <w:spacing w:line="500" w:lineRule="atLeast"/>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bCs/>
          <w:snapToGrid w:val="0"/>
          <w:color w:val="auto"/>
          <w:w w:val="99"/>
          <w:highlight w:val="none"/>
        </w:rPr>
        <w:t>施工场地设置围挡、</w:t>
      </w:r>
      <w:r>
        <w:rPr>
          <w:rFonts w:hint="eastAsia" w:ascii="Times New Roman" w:hAnsi="Times New Roman" w:eastAsiaTheme="minorEastAsia"/>
          <w:bCs/>
          <w:snapToGrid w:val="0"/>
          <w:color w:val="auto"/>
          <w:w w:val="99"/>
          <w:highlight w:val="none"/>
        </w:rPr>
        <w:t>井场设置材料房、表土上覆盖</w:t>
      </w:r>
      <w:r>
        <w:rPr>
          <w:rFonts w:ascii="Times New Roman" w:hAnsi="Times New Roman" w:eastAsiaTheme="minorEastAsia"/>
          <w:bCs/>
          <w:snapToGrid w:val="0"/>
          <w:color w:val="auto"/>
          <w:w w:val="99"/>
          <w:highlight w:val="none"/>
        </w:rPr>
        <w:t>防尘网等措施，可以防止刮风扬尘弥漫，降低钻井扬对区域空气环境的影响，产生的场界颗粒物可降至1.0mg/m</w:t>
      </w:r>
      <w:r>
        <w:rPr>
          <w:rFonts w:ascii="Times New Roman" w:hAnsi="Times New Roman" w:eastAsiaTheme="minorEastAsia"/>
          <w:bCs/>
          <w:snapToGrid w:val="0"/>
          <w:color w:val="auto"/>
          <w:w w:val="99"/>
          <w:highlight w:val="none"/>
          <w:vertAlign w:val="superscript"/>
        </w:rPr>
        <w:t>3</w:t>
      </w:r>
      <w:r>
        <w:rPr>
          <w:rFonts w:ascii="Times New Roman" w:hAnsi="Times New Roman" w:eastAsiaTheme="minorEastAsia"/>
          <w:bCs/>
          <w:snapToGrid w:val="0"/>
          <w:color w:val="auto"/>
          <w:w w:val="99"/>
          <w:highlight w:val="none"/>
        </w:rPr>
        <w:t>，满足《大气污染物综合排放标准》(GB16297-1996）表2中无组织排放监控浓度限值。</w:t>
      </w:r>
      <w:r>
        <w:rPr>
          <w:rFonts w:hint="eastAsia" w:ascii="Times New Roman" w:hAnsi="Times New Roman" w:eastAsiaTheme="minorEastAsia"/>
          <w:bCs/>
          <w:snapToGrid w:val="0"/>
          <w:color w:val="auto"/>
          <w:w w:val="99"/>
          <w:highlight w:val="none"/>
        </w:rPr>
        <w:t>根据预测分析，本项目TSP</w:t>
      </w:r>
      <w:r>
        <w:rPr>
          <w:rFonts w:ascii="Times New Roman" w:hAnsi="Times New Roman" w:eastAsiaTheme="minorEastAsia"/>
          <w:bCs/>
          <w:snapToGrid w:val="0"/>
          <w:color w:val="auto"/>
          <w:w w:val="99"/>
          <w:highlight w:val="none"/>
        </w:rPr>
        <w:t>最大地面占标率Pmax=0.</w:t>
      </w:r>
      <w:r>
        <w:rPr>
          <w:rFonts w:hint="eastAsia" w:ascii="Times New Roman" w:hAnsi="Times New Roman" w:eastAsiaTheme="minorEastAsia"/>
          <w:bCs/>
          <w:snapToGrid w:val="0"/>
          <w:color w:val="auto"/>
          <w:w w:val="99"/>
          <w:highlight w:val="none"/>
        </w:rPr>
        <w:t>1978</w:t>
      </w:r>
      <w:r>
        <w:rPr>
          <w:rFonts w:ascii="Times New Roman" w:hAnsi="Times New Roman" w:eastAsiaTheme="minorEastAsia"/>
          <w:bCs/>
          <w:snapToGrid w:val="0"/>
          <w:color w:val="auto"/>
          <w:w w:val="99"/>
          <w:highlight w:val="none"/>
        </w:rPr>
        <w:t>%</w:t>
      </w:r>
      <w:r>
        <w:rPr>
          <w:rFonts w:hint="eastAsia" w:ascii="Times New Roman" w:hAnsi="Times New Roman" w:eastAsiaTheme="minorEastAsia"/>
          <w:bCs/>
          <w:snapToGrid w:val="0"/>
          <w:color w:val="auto"/>
          <w:w w:val="99"/>
          <w:highlight w:val="none"/>
        </w:rPr>
        <w:t>，</w:t>
      </w:r>
      <w:r>
        <w:rPr>
          <w:rFonts w:ascii="Times New Roman" w:hAnsi="Times New Roman" w:eastAsiaTheme="minorEastAsia"/>
          <w:bCs/>
          <w:snapToGrid w:val="0"/>
          <w:color w:val="auto"/>
          <w:w w:val="99"/>
          <w:highlight w:val="none"/>
        </w:rPr>
        <w:t>Cmax为</w:t>
      </w:r>
      <w:r>
        <w:rPr>
          <w:rFonts w:hint="eastAsia" w:ascii="Times New Roman" w:hAnsi="Times New Roman" w:eastAsiaTheme="minorEastAsia"/>
          <w:bCs/>
          <w:snapToGrid w:val="0"/>
          <w:color w:val="auto"/>
          <w:w w:val="99"/>
          <w:highlight w:val="none"/>
        </w:rPr>
        <w:t>1.78021</w:t>
      </w:r>
      <w:r>
        <w:rPr>
          <w:rFonts w:ascii="Times New Roman" w:hAnsi="Times New Roman" w:eastAsiaTheme="minorEastAsia"/>
          <w:bCs/>
          <w:snapToGrid w:val="0"/>
          <w:color w:val="auto"/>
          <w:w w:val="99"/>
          <w:highlight w:val="none"/>
        </w:rPr>
        <w:t>μg/m³</w:t>
      </w:r>
      <w:r>
        <w:rPr>
          <w:rFonts w:hint="eastAsia" w:ascii="Times New Roman" w:hAnsi="Times New Roman" w:eastAsiaTheme="minorEastAsia"/>
          <w:bCs/>
          <w:snapToGrid w:val="0"/>
          <w:color w:val="auto"/>
          <w:w w:val="99"/>
          <w:highlight w:val="none"/>
        </w:rPr>
        <w:t>，</w:t>
      </w:r>
      <w:r>
        <w:rPr>
          <w:rFonts w:ascii="Times New Roman" w:hAnsi="Times New Roman" w:eastAsiaTheme="minorEastAsia"/>
          <w:bCs/>
          <w:snapToGrid w:val="0"/>
          <w:color w:val="auto"/>
          <w:w w:val="99"/>
          <w:highlight w:val="none"/>
        </w:rPr>
        <w:t>对区域内大气环境影响较小。</w:t>
      </w:r>
    </w:p>
    <w:p>
      <w:pPr>
        <w:pStyle w:val="7"/>
        <w:widowControl w:val="0"/>
        <w:spacing w:before="60" w:after="60" w:line="500" w:lineRule="atLeast"/>
        <w:jc w:val="both"/>
        <w:rPr>
          <w:b/>
          <w:color w:val="auto"/>
          <w:w w:val="99"/>
          <w:kern w:val="2"/>
          <w:sz w:val="24"/>
          <w:szCs w:val="24"/>
          <w:highlight w:val="none"/>
        </w:rPr>
      </w:pPr>
      <w:bookmarkStart w:id="1603" w:name="_Toc80105316"/>
      <w:bookmarkStart w:id="1604" w:name="_Toc74812246"/>
      <w:bookmarkStart w:id="1605" w:name="_Toc61597375"/>
      <w:bookmarkStart w:id="1606" w:name="_Toc67523752"/>
      <w:bookmarkStart w:id="1607" w:name="_Toc74812485"/>
      <w:bookmarkStart w:id="1608" w:name="_Toc77667460"/>
      <w:bookmarkStart w:id="1609" w:name="_Toc71372101"/>
      <w:bookmarkStart w:id="1610" w:name="_Toc69690971"/>
      <w:r>
        <w:rPr>
          <w:b/>
          <w:color w:val="auto"/>
          <w:w w:val="99"/>
          <w:kern w:val="2"/>
          <w:sz w:val="24"/>
          <w:szCs w:val="24"/>
          <w:highlight w:val="none"/>
        </w:rPr>
        <w:t>9.5.2水环境影响分析和污染防治措施可行性结论</w:t>
      </w:r>
      <w:bookmarkEnd w:id="1603"/>
      <w:bookmarkEnd w:id="1604"/>
      <w:bookmarkEnd w:id="1605"/>
      <w:bookmarkEnd w:id="1606"/>
      <w:bookmarkEnd w:id="1607"/>
      <w:bookmarkEnd w:id="1608"/>
      <w:bookmarkEnd w:id="1609"/>
      <w:bookmarkEnd w:id="1610"/>
    </w:p>
    <w:p>
      <w:pPr>
        <w:pStyle w:val="109"/>
        <w:widowControl w:val="0"/>
        <w:spacing w:line="500" w:lineRule="atLeast"/>
        <w:ind w:firstLine="473"/>
        <w:jc w:val="both"/>
        <w:rPr>
          <w:rFonts w:ascii="Times New Roman" w:hAnsi="Times New Roman" w:eastAsiaTheme="minorEastAsia"/>
          <w:snapToGrid w:val="0"/>
          <w:color w:val="auto"/>
          <w:w w:val="99"/>
          <w:highlight w:val="none"/>
        </w:rPr>
      </w:pPr>
      <w:bookmarkStart w:id="1611" w:name="_Toc74812247"/>
      <w:bookmarkStart w:id="1612" w:name="_Toc61597376"/>
      <w:bookmarkStart w:id="1613" w:name="_Toc77667461"/>
      <w:bookmarkStart w:id="1614" w:name="_Toc80105317"/>
      <w:bookmarkStart w:id="1615" w:name="_Toc67523753"/>
      <w:bookmarkStart w:id="1616" w:name="_Toc71372102"/>
      <w:bookmarkStart w:id="1617" w:name="_Toc69690972"/>
      <w:bookmarkStart w:id="1618" w:name="_Toc74812486"/>
      <w:r>
        <w:rPr>
          <w:rFonts w:ascii="Times New Roman" w:hAnsi="Times New Roman" w:eastAsiaTheme="minorEastAsia"/>
          <w:snapToGrid w:val="0"/>
          <w:color w:val="auto"/>
          <w:w w:val="99"/>
          <w:highlight w:val="none"/>
        </w:rPr>
        <w:t>钻井废水进入井场钢制泥浆槽中，与废钻井液、岩屑一同</w:t>
      </w:r>
      <w:r>
        <w:rPr>
          <w:rFonts w:ascii="Times New Roman" w:hAnsi="Times New Roman" w:eastAsiaTheme="minorEastAsia"/>
          <w:color w:val="auto"/>
          <w:w w:val="99"/>
          <w:highlight w:val="none"/>
        </w:rPr>
        <w:t>由罐车拉运至</w:t>
      </w:r>
      <w:r>
        <w:rPr>
          <w:rFonts w:hint="eastAsia" w:ascii="Times New Roman" w:hAnsi="Times New Roman" w:eastAsiaTheme="minorEastAsia"/>
          <w:color w:val="auto"/>
          <w:w w:val="99"/>
          <w:highlight w:val="none"/>
        </w:rPr>
        <w:t>大庆油田昆仑集团有限公司环保分公司</w:t>
      </w:r>
      <w:r>
        <w:rPr>
          <w:rFonts w:ascii="Times New Roman" w:hAnsi="Times New Roman" w:eastAsiaTheme="minorEastAsia"/>
          <w:color w:val="auto"/>
          <w:w w:val="99"/>
          <w:highlight w:val="none"/>
        </w:rPr>
        <w:t>处理，处理后的</w:t>
      </w:r>
      <w:r>
        <w:rPr>
          <w:rFonts w:hint="eastAsia" w:ascii="Times New Roman" w:hAnsi="Times New Roman" w:eastAsiaTheme="minorEastAsia"/>
          <w:color w:val="auto"/>
          <w:w w:val="99"/>
          <w:highlight w:val="none"/>
        </w:rPr>
        <w:t>压滤水定期</w:t>
      </w:r>
      <w:r>
        <w:rPr>
          <w:rFonts w:ascii="Times New Roman" w:hAnsi="Times New Roman" w:eastAsiaTheme="minorEastAsia"/>
          <w:color w:val="auto"/>
          <w:w w:val="99"/>
          <w:highlight w:val="none"/>
        </w:rPr>
        <w:t>由</w:t>
      </w:r>
      <w:r>
        <w:rPr>
          <w:rFonts w:hint="eastAsia" w:ascii="Times New Roman" w:hAnsi="Times New Roman" w:eastAsiaTheme="minorEastAsia"/>
          <w:color w:val="auto"/>
          <w:w w:val="99"/>
          <w:highlight w:val="none"/>
        </w:rPr>
        <w:t>罐车</w:t>
      </w:r>
      <w:r>
        <w:rPr>
          <w:rFonts w:ascii="Times New Roman" w:hAnsi="Times New Roman" w:eastAsiaTheme="minorEastAsia"/>
          <w:color w:val="auto"/>
          <w:w w:val="99"/>
          <w:highlight w:val="none"/>
        </w:rPr>
        <w:t>拉运至朝一联含油污水处理站</w:t>
      </w:r>
      <w:r>
        <w:rPr>
          <w:rFonts w:hint="eastAsia" w:ascii="Times New Roman" w:hAnsi="Times New Roman" w:eastAsiaTheme="minorEastAsia"/>
          <w:color w:val="auto"/>
          <w:w w:val="99"/>
          <w:highlight w:val="none"/>
        </w:rPr>
        <w:t>处理</w:t>
      </w:r>
      <w:r>
        <w:rPr>
          <w:rFonts w:ascii="Times New Roman" w:hAnsi="Times New Roman" w:eastAsiaTheme="minorEastAsia"/>
          <w:bCs/>
          <w:color w:val="auto"/>
          <w:w w:val="99"/>
          <w:highlight w:val="none"/>
        </w:rPr>
        <w:t>满足《大庆油田地面工程建设设计规定》（Q/SYDQ0639-2015）中“含油量≤5mg/L、悬浮固体含量≤1mg/L、粒径中值≤1μm”规定后回注油层，</w:t>
      </w:r>
      <w:r>
        <w:rPr>
          <w:rFonts w:hint="eastAsia" w:ascii="Times New Roman" w:hAnsi="Times New Roman" w:eastAsiaTheme="minorEastAsia"/>
          <w:bCs/>
          <w:color w:val="auto"/>
          <w:w w:val="99"/>
          <w:highlight w:val="none"/>
        </w:rPr>
        <w:t>压滤</w:t>
      </w:r>
      <w:r>
        <w:rPr>
          <w:rFonts w:ascii="Times New Roman" w:hAnsi="Times New Roman" w:eastAsiaTheme="minorEastAsia"/>
          <w:bCs/>
          <w:color w:val="auto"/>
          <w:w w:val="99"/>
          <w:highlight w:val="none"/>
        </w:rPr>
        <w:t>泥饼满足《废弃钻井液处理规范》（DB23/T693-2000）</w:t>
      </w:r>
      <w:r>
        <w:rPr>
          <w:rFonts w:hint="eastAsia" w:ascii="Times New Roman" w:hAnsi="Times New Roman" w:eastAsiaTheme="minorEastAsia"/>
          <w:bCs/>
          <w:color w:val="auto"/>
          <w:w w:val="99"/>
          <w:highlight w:val="none"/>
        </w:rPr>
        <w:t>表1要求</w:t>
      </w:r>
      <w:r>
        <w:rPr>
          <w:rFonts w:ascii="Times New Roman" w:hAnsi="Times New Roman" w:eastAsiaTheme="minorEastAsia"/>
          <w:bCs/>
          <w:color w:val="auto"/>
          <w:w w:val="99"/>
          <w:highlight w:val="none"/>
        </w:rPr>
        <w:t>后用于铺垫井场及通井路</w:t>
      </w:r>
      <w:r>
        <w:rPr>
          <w:rFonts w:ascii="Times New Roman" w:hAnsi="Times New Roman" w:eastAsiaTheme="minorEastAsia"/>
          <w:snapToGrid w:val="0"/>
          <w:color w:val="auto"/>
          <w:w w:val="99"/>
          <w:highlight w:val="none"/>
        </w:rPr>
        <w:t>。钢制泥浆槽位于井场内，确保本项目产生的废弃钻井液不落地；生活污水</w:t>
      </w:r>
      <w:r>
        <w:rPr>
          <w:rFonts w:hint="eastAsia" w:ascii="Times New Roman" w:hAnsi="Times New Roman" w:eastAsiaTheme="minorEastAsia"/>
          <w:snapToGrid w:val="0"/>
          <w:color w:val="auto"/>
          <w:w w:val="99"/>
          <w:highlight w:val="none"/>
        </w:rPr>
        <w:t>排入施工井场内临时设置的防渗旱厕，定期清掏外运堆肥，施工结束对清空后的临时防渗旱厕进行卫生填埋处理（用石灰消毒后覆土平整）</w:t>
      </w:r>
      <w:r>
        <w:rPr>
          <w:rFonts w:ascii="Times New Roman" w:hAnsi="Times New Roman" w:eastAsiaTheme="minorEastAsia"/>
          <w:color w:val="auto"/>
          <w:w w:val="99"/>
          <w:highlight w:val="none"/>
        </w:rPr>
        <w:t>。</w:t>
      </w:r>
      <w:r>
        <w:rPr>
          <w:rFonts w:ascii="Times New Roman" w:hAnsi="Times New Roman" w:eastAsiaTheme="minorEastAsia"/>
          <w:snapToGrid w:val="0"/>
          <w:color w:val="auto"/>
          <w:w w:val="99"/>
          <w:highlight w:val="none"/>
        </w:rPr>
        <w:t>项目无废水外排，对地表水环境影响较小。</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项目施工采取严格的防渗措施，正常状况下污染物下渗的可能性较小，不会对地下水环境产生污染影响。非正常状况下，地下水预测距离范围内均无地下水环境敏感目标，所以非正常工况下，污水泄露不会对下游居民点水井造成影响。综上，项目对地下水环境影响可以接受。</w:t>
      </w:r>
    </w:p>
    <w:p>
      <w:pPr>
        <w:pStyle w:val="7"/>
        <w:widowControl w:val="0"/>
        <w:spacing w:before="60" w:after="60" w:line="500" w:lineRule="atLeast"/>
        <w:jc w:val="both"/>
        <w:rPr>
          <w:b/>
          <w:color w:val="auto"/>
          <w:w w:val="99"/>
          <w:kern w:val="2"/>
          <w:sz w:val="24"/>
          <w:szCs w:val="24"/>
          <w:highlight w:val="none"/>
        </w:rPr>
      </w:pPr>
      <w:r>
        <w:rPr>
          <w:b/>
          <w:color w:val="auto"/>
          <w:w w:val="99"/>
          <w:kern w:val="2"/>
          <w:sz w:val="24"/>
          <w:szCs w:val="24"/>
          <w:highlight w:val="none"/>
        </w:rPr>
        <w:t>9.5.3声环境影响分析和污染防治措施可行性结论</w:t>
      </w:r>
      <w:bookmarkEnd w:id="1611"/>
      <w:bookmarkEnd w:id="1612"/>
      <w:bookmarkEnd w:id="1613"/>
      <w:bookmarkEnd w:id="1614"/>
      <w:bookmarkEnd w:id="1615"/>
      <w:bookmarkEnd w:id="1616"/>
      <w:bookmarkEnd w:id="1617"/>
      <w:bookmarkEnd w:id="1618"/>
    </w:p>
    <w:p>
      <w:pPr>
        <w:widowControl w:val="0"/>
        <w:spacing w:line="500" w:lineRule="atLeas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物料及设备等运输车辆应选择合理时间和路线，避开居民休息时段；对钻井井场进行合理布局，井场高噪声设备尽量远离</w:t>
      </w:r>
      <w:r>
        <w:rPr>
          <w:rFonts w:hint="eastAsia" w:ascii="Times New Roman" w:hAnsi="Times New Roman" w:cs="Times New Roman" w:eastAsiaTheme="minorEastAsia"/>
          <w:color w:val="auto"/>
          <w:w w:val="99"/>
          <w:highlight w:val="none"/>
        </w:rPr>
        <w:t>居民区</w:t>
      </w:r>
      <w:r>
        <w:rPr>
          <w:rFonts w:ascii="Times New Roman" w:hAnsi="Times New Roman" w:cs="Times New Roman" w:eastAsiaTheme="minorEastAsia"/>
          <w:color w:val="auto"/>
          <w:w w:val="99"/>
          <w:highlight w:val="none"/>
        </w:rPr>
        <w:t>方向并分散布置，避免噪声叠加造成对周围声环境的影响；合理安排施工进度和施工时间，井场除钻井施工外，严格禁止夜间10时至次日6时进行高噪声施工，调整同时作业的施工机械数量，降低对周围环境的影响；对于距离敏感点较近的施工井场，不可避免需要夜间施工时，应向周边村民进行公告，取得民众谅解，并合理安排施工机械数量，施工场地周边建设彩钢板围挡，严格限定施工范围，选用噪音低的设备，同时控制夜间灯光数量和照射范围；注意对设备的维护和保养，合理操作，保证施工机械保持在最佳状态，降低噪声源强度。采取以上措施后施工厂界可以满足</w:t>
      </w:r>
      <w:r>
        <w:rPr>
          <w:rFonts w:ascii="Times New Roman" w:hAnsi="Times New Roman" w:cs="Times New Roman" w:eastAsiaTheme="minorEastAsia"/>
          <w:snapToGrid w:val="0"/>
          <w:color w:val="auto"/>
          <w:w w:val="99"/>
          <w:highlight w:val="none"/>
        </w:rPr>
        <w:t>《建筑施工场界环境噪声排放标准》（GB12523-2011）中的标准要求，对区域内声环境影响较小。</w:t>
      </w:r>
    </w:p>
    <w:p>
      <w:pPr>
        <w:pStyle w:val="7"/>
        <w:widowControl w:val="0"/>
        <w:spacing w:before="60" w:after="60" w:line="500" w:lineRule="atLeast"/>
        <w:jc w:val="both"/>
        <w:rPr>
          <w:b/>
          <w:color w:val="auto"/>
          <w:w w:val="99"/>
          <w:kern w:val="2"/>
          <w:sz w:val="24"/>
          <w:szCs w:val="24"/>
          <w:highlight w:val="none"/>
        </w:rPr>
      </w:pPr>
      <w:bookmarkStart w:id="1619" w:name="_Toc74812487"/>
      <w:bookmarkStart w:id="1620" w:name="_Toc74812248"/>
      <w:bookmarkStart w:id="1621" w:name="_Toc77667462"/>
      <w:bookmarkStart w:id="1622" w:name="_Toc61597377"/>
      <w:bookmarkStart w:id="1623" w:name="_Toc71372103"/>
      <w:bookmarkStart w:id="1624" w:name="_Toc80105318"/>
      <w:bookmarkStart w:id="1625" w:name="_Toc69690973"/>
      <w:bookmarkStart w:id="1626" w:name="_Toc67523754"/>
      <w:r>
        <w:rPr>
          <w:b/>
          <w:color w:val="auto"/>
          <w:w w:val="99"/>
          <w:kern w:val="2"/>
          <w:sz w:val="24"/>
          <w:szCs w:val="24"/>
          <w:highlight w:val="none"/>
        </w:rPr>
        <w:t>9.5.4固体废物环境影响分析和污染防治措施可行性结论</w:t>
      </w:r>
      <w:bookmarkEnd w:id="1619"/>
      <w:bookmarkEnd w:id="1620"/>
      <w:bookmarkEnd w:id="1621"/>
      <w:bookmarkEnd w:id="1622"/>
      <w:bookmarkEnd w:id="1623"/>
      <w:bookmarkEnd w:id="1624"/>
      <w:bookmarkEnd w:id="1625"/>
      <w:bookmarkEnd w:id="1626"/>
    </w:p>
    <w:p>
      <w:pPr>
        <w:widowControl w:val="0"/>
        <w:spacing w:line="500" w:lineRule="atLeast"/>
        <w:ind w:firstLine="474" w:firstLineChars="200"/>
        <w:jc w:val="both"/>
        <w:rPr>
          <w:rFonts w:ascii="Times New Roman" w:hAnsi="Times New Roman" w:cs="Times New Roman" w:eastAsiaTheme="minorEastAsia"/>
          <w:color w:val="auto"/>
          <w:w w:val="99"/>
          <w:kern w:val="2"/>
          <w:highlight w:val="none"/>
        </w:rPr>
      </w:pPr>
      <w:bookmarkStart w:id="1627" w:name="_Hlk530469360"/>
      <w:r>
        <w:rPr>
          <w:rFonts w:ascii="Times New Roman" w:hAnsi="Times New Roman" w:cs="Times New Roman" w:eastAsiaTheme="minorEastAsia"/>
          <w:color w:val="auto"/>
          <w:w w:val="99"/>
          <w:kern w:val="2"/>
          <w:highlight w:val="none"/>
        </w:rPr>
        <w:t>本项目在钻井过程中在每口井场设置一个100m</w:t>
      </w:r>
      <w:r>
        <w:rPr>
          <w:rFonts w:ascii="Times New Roman" w:hAnsi="Times New Roman" w:cs="Times New Roman" w:eastAsiaTheme="minorEastAsia"/>
          <w:color w:val="auto"/>
          <w:w w:val="99"/>
          <w:kern w:val="2"/>
          <w:highlight w:val="none"/>
          <w:vertAlign w:val="superscript"/>
        </w:rPr>
        <w:t>3</w:t>
      </w:r>
      <w:r>
        <w:rPr>
          <w:rFonts w:ascii="Times New Roman" w:hAnsi="Times New Roman" w:cs="Times New Roman" w:eastAsiaTheme="minorEastAsia"/>
          <w:color w:val="auto"/>
          <w:w w:val="99"/>
          <w:kern w:val="2"/>
          <w:highlight w:val="none"/>
        </w:rPr>
        <w:t>钢制泥浆槽，废钻井液与钻井废水、钻井岩屑等废弃物暂存于井场泥浆槽中形成废弃泥浆，</w:t>
      </w:r>
      <w:r>
        <w:rPr>
          <w:rFonts w:ascii="Times New Roman" w:hAnsi="Times New Roman" w:cs="Times New Roman" w:eastAsiaTheme="minorEastAsia"/>
          <w:color w:val="auto"/>
          <w:w w:val="99"/>
          <w:highlight w:val="none"/>
        </w:rPr>
        <w:t>由罐车拉运至</w:t>
      </w:r>
      <w:r>
        <w:rPr>
          <w:rFonts w:hint="eastAsia" w:ascii="Times New Roman" w:hAnsi="Times New Roman" w:cs="Times New Roman" w:eastAsiaTheme="minorEastAsia"/>
          <w:color w:val="auto"/>
          <w:w w:val="99"/>
          <w:highlight w:val="none"/>
        </w:rPr>
        <w:t>大庆油田昆仑集团有限公司环保分公司</w:t>
      </w:r>
      <w:r>
        <w:rPr>
          <w:rFonts w:ascii="Times New Roman" w:hAnsi="Times New Roman" w:cs="Times New Roman" w:eastAsiaTheme="minorEastAsia"/>
          <w:color w:val="auto"/>
          <w:w w:val="99"/>
          <w:highlight w:val="none"/>
        </w:rPr>
        <w:t>处理，处理后的</w:t>
      </w:r>
      <w:r>
        <w:rPr>
          <w:rFonts w:hint="eastAsia" w:ascii="Times New Roman" w:hAnsi="Times New Roman" w:cs="Times New Roman" w:eastAsiaTheme="minorEastAsia"/>
          <w:color w:val="auto"/>
          <w:w w:val="99"/>
          <w:highlight w:val="none"/>
        </w:rPr>
        <w:t>压滤水定期</w:t>
      </w:r>
      <w:r>
        <w:rPr>
          <w:rFonts w:ascii="Times New Roman" w:hAnsi="Times New Roman" w:cs="Times New Roman" w:eastAsiaTheme="minorEastAsia"/>
          <w:color w:val="auto"/>
          <w:w w:val="99"/>
          <w:highlight w:val="none"/>
        </w:rPr>
        <w:t>由</w:t>
      </w:r>
      <w:r>
        <w:rPr>
          <w:rFonts w:hint="eastAsia" w:ascii="Times New Roman" w:hAnsi="Times New Roman" w:cs="Times New Roman" w:eastAsiaTheme="minorEastAsia"/>
          <w:color w:val="auto"/>
          <w:w w:val="99"/>
          <w:highlight w:val="none"/>
        </w:rPr>
        <w:t>罐车</w:t>
      </w:r>
      <w:r>
        <w:rPr>
          <w:rFonts w:ascii="Times New Roman" w:hAnsi="Times New Roman" w:cs="Times New Roman" w:eastAsiaTheme="minorEastAsia"/>
          <w:color w:val="auto"/>
          <w:w w:val="99"/>
          <w:highlight w:val="none"/>
        </w:rPr>
        <w:t>拉运至朝一联含油污水处理站</w:t>
      </w:r>
      <w:r>
        <w:rPr>
          <w:rFonts w:hint="eastAsia" w:ascii="Times New Roman" w:hAnsi="Times New Roman" w:cs="Times New Roman" w:eastAsiaTheme="minorEastAsia"/>
          <w:color w:val="auto"/>
          <w:w w:val="99"/>
          <w:highlight w:val="none"/>
        </w:rPr>
        <w:t>处理</w:t>
      </w:r>
      <w:r>
        <w:rPr>
          <w:rFonts w:ascii="Times New Roman" w:hAnsi="Times New Roman" w:cs="Times New Roman" w:eastAsiaTheme="minorEastAsia"/>
          <w:bCs/>
          <w:color w:val="auto"/>
          <w:w w:val="99"/>
          <w:highlight w:val="none"/>
        </w:rPr>
        <w:t>满足《大庆油田地面工程建设设计规定》（Q/SYDQ0639-2015）中“含油量≤5mg/L、悬浮固体含量≤1mg/L、粒径中值≤1μm”规定后回注油层，</w:t>
      </w:r>
      <w:r>
        <w:rPr>
          <w:rFonts w:hint="eastAsia" w:ascii="Times New Roman" w:hAnsi="Times New Roman" w:cs="Times New Roman" w:eastAsiaTheme="minorEastAsia"/>
          <w:bCs/>
          <w:color w:val="auto"/>
          <w:w w:val="99"/>
          <w:highlight w:val="none"/>
        </w:rPr>
        <w:t>压滤</w:t>
      </w:r>
      <w:r>
        <w:rPr>
          <w:rFonts w:ascii="Times New Roman" w:hAnsi="Times New Roman" w:cs="Times New Roman" w:eastAsiaTheme="minorEastAsia"/>
          <w:bCs/>
          <w:color w:val="auto"/>
          <w:w w:val="99"/>
          <w:highlight w:val="none"/>
        </w:rPr>
        <w:t>泥饼满足《废弃钻井液处理规范》（DB23/T693-2000）</w:t>
      </w:r>
      <w:r>
        <w:rPr>
          <w:rFonts w:hint="eastAsia" w:ascii="Times New Roman" w:hAnsi="Times New Roman" w:cs="Times New Roman" w:eastAsiaTheme="minorEastAsia"/>
          <w:bCs/>
          <w:color w:val="auto"/>
          <w:w w:val="99"/>
          <w:highlight w:val="none"/>
        </w:rPr>
        <w:t>表1要求</w:t>
      </w:r>
      <w:r>
        <w:rPr>
          <w:rFonts w:ascii="Times New Roman" w:hAnsi="Times New Roman" w:cs="Times New Roman" w:eastAsiaTheme="minorEastAsia"/>
          <w:bCs/>
          <w:color w:val="auto"/>
          <w:w w:val="99"/>
          <w:highlight w:val="none"/>
        </w:rPr>
        <w:t>后用于铺垫井场及通井路</w:t>
      </w:r>
      <w:r>
        <w:rPr>
          <w:rFonts w:ascii="Times New Roman" w:hAnsi="Times New Roman" w:eastAsiaTheme="minorEastAsia"/>
          <w:color w:val="auto"/>
          <w:w w:val="99"/>
          <w:highlight w:val="none"/>
        </w:rPr>
        <w:t>。</w:t>
      </w:r>
      <w:r>
        <w:rPr>
          <w:rFonts w:hint="eastAsia" w:ascii="Times New Roman" w:hAnsi="Times New Roman" w:cs="Times New Roman" w:eastAsiaTheme="minorEastAsia"/>
          <w:color w:val="auto"/>
          <w:w w:val="99"/>
          <w:kern w:val="2"/>
          <w:highlight w:val="none"/>
        </w:rPr>
        <w:t>废射孔液由罐车收集后拉运至黑龙江龙之润环保工程有限公司处理。</w:t>
      </w:r>
      <w:r>
        <w:rPr>
          <w:rFonts w:ascii="Times New Roman" w:hAnsi="Times New Roman" w:cs="Times New Roman" w:eastAsiaTheme="minorEastAsia"/>
          <w:color w:val="auto"/>
          <w:w w:val="99"/>
          <w:kern w:val="2"/>
          <w:highlight w:val="none"/>
        </w:rPr>
        <w:t>施工期使用的膨润土、纯碱、重晶石粉均不属于危险化学品，所以废弃包装袋和废弃防渗布属于一般固体废物，膨润土、纯碱、重晶石粉废包装袋</w:t>
      </w:r>
      <w:r>
        <w:rPr>
          <w:rFonts w:hint="eastAsia" w:ascii="Times New Roman" w:hAnsi="Times New Roman" w:cs="Times New Roman" w:eastAsiaTheme="minorEastAsia"/>
          <w:color w:val="auto"/>
          <w:w w:val="99"/>
          <w:kern w:val="2"/>
          <w:highlight w:val="none"/>
        </w:rPr>
        <w:t>统一收集后暂存于钻井液材料房内的加盖钢制桶内，施工结束后由施工单位拉运至第八采油厂工业固废填埋场处理。废防渗布在施工结束后直接由施工单位拉运至第八采油厂工业固废填埋场处理</w:t>
      </w:r>
      <w:r>
        <w:rPr>
          <w:rFonts w:ascii="Times New Roman" w:hAnsi="Times New Roman" w:cs="Times New Roman" w:eastAsiaTheme="minorEastAsia"/>
          <w:color w:val="auto"/>
          <w:w w:val="99"/>
          <w:kern w:val="2"/>
          <w:highlight w:val="none"/>
        </w:rPr>
        <w:t>。生活垃圾</w:t>
      </w:r>
      <w:r>
        <w:rPr>
          <w:rFonts w:hint="eastAsia" w:ascii="Times New Roman" w:hAnsi="Times New Roman" w:cs="Times New Roman" w:eastAsiaTheme="minorEastAsia"/>
          <w:color w:val="auto"/>
          <w:w w:val="99"/>
          <w:kern w:val="2"/>
          <w:highlight w:val="none"/>
        </w:rPr>
        <w:t>统一收集后运至</w:t>
      </w:r>
      <w:r>
        <w:rPr>
          <w:rFonts w:hint="eastAsia" w:ascii="Times New Roman" w:hAnsi="Times New Roman" w:cs="Times New Roman" w:eastAsiaTheme="minorEastAsia"/>
          <w:color w:val="auto"/>
          <w:w w:val="99"/>
          <w:kern w:val="2"/>
          <w:highlight w:val="none"/>
          <w:lang w:eastAsia="zh-CN"/>
        </w:rPr>
        <w:t>肇东市生活垃圾填埋场</w:t>
      </w:r>
      <w:r>
        <w:rPr>
          <w:rFonts w:hint="eastAsia" w:ascii="Times New Roman" w:hAnsi="Times New Roman" w:cs="Times New Roman" w:eastAsiaTheme="minorEastAsia"/>
          <w:color w:val="auto"/>
          <w:w w:val="99"/>
          <w:kern w:val="2"/>
          <w:highlight w:val="none"/>
        </w:rPr>
        <w:t>处理</w:t>
      </w:r>
      <w:r>
        <w:rPr>
          <w:rFonts w:ascii="Times New Roman" w:hAnsi="Times New Roman" w:cs="Times New Roman" w:eastAsiaTheme="minorEastAsia"/>
          <w:color w:val="auto"/>
          <w:w w:val="99"/>
          <w:kern w:val="2"/>
          <w:highlight w:val="none"/>
        </w:rPr>
        <w:t>。根据</w:t>
      </w:r>
      <w:r>
        <w:rPr>
          <w:rFonts w:ascii="Times New Roman" w:hAnsi="Times New Roman" w:cs="Times New Roman" w:eastAsiaTheme="minorEastAsia"/>
          <w:snapToGrid w:val="0"/>
          <w:color w:val="auto"/>
          <w:w w:val="99"/>
          <w:highlight w:val="none"/>
        </w:rPr>
        <w:t>《国家危险废物名录（2021年版）》（部令第15号）</w:t>
      </w:r>
      <w:r>
        <w:rPr>
          <w:rFonts w:ascii="Times New Roman" w:hAnsi="Times New Roman" w:cs="Times New Roman" w:eastAsiaTheme="minorEastAsia"/>
          <w:color w:val="auto"/>
          <w:w w:val="99"/>
          <w:kern w:val="2"/>
          <w:highlight w:val="none"/>
        </w:rPr>
        <w:t>，KOH废包装袋属于HW49其他废物，危险废物编号为900-041-49含有或沾染毒性、感染性危险废物的废弃包装物、容器、过滤吸附介质。项目施工期间产生的KOH废包装袋经收集后</w:t>
      </w:r>
      <w:r>
        <w:rPr>
          <w:rFonts w:hint="eastAsia" w:ascii="Times New Roman" w:hAnsi="Times New Roman" w:cs="Times New Roman" w:eastAsiaTheme="minorEastAsia"/>
          <w:color w:val="auto"/>
          <w:w w:val="99"/>
          <w:kern w:val="2"/>
          <w:highlight w:val="none"/>
        </w:rPr>
        <w:t>暂存于</w:t>
      </w:r>
      <w:r>
        <w:rPr>
          <w:rFonts w:ascii="Times New Roman" w:hAnsi="Times New Roman" w:cs="Times New Roman" w:eastAsiaTheme="minorEastAsia"/>
          <w:color w:val="auto"/>
          <w:w w:val="99"/>
          <w:kern w:val="2"/>
          <w:highlight w:val="none"/>
        </w:rPr>
        <w:t>KOH材料房设置的加盖钢制桶内，施工结束后由施工单位委托有资质单位处理。固体废物处置率100%，不会对周围环境产生影响。</w:t>
      </w:r>
    </w:p>
    <w:bookmarkEnd w:id="1627"/>
    <w:p>
      <w:pPr>
        <w:pStyle w:val="7"/>
        <w:widowControl w:val="0"/>
        <w:spacing w:before="60" w:after="60" w:line="500" w:lineRule="atLeast"/>
        <w:jc w:val="both"/>
        <w:rPr>
          <w:b/>
          <w:color w:val="auto"/>
          <w:w w:val="99"/>
          <w:kern w:val="2"/>
          <w:sz w:val="24"/>
          <w:szCs w:val="24"/>
          <w:highlight w:val="none"/>
        </w:rPr>
      </w:pPr>
      <w:bookmarkStart w:id="1628" w:name="_Toc80105319"/>
      <w:bookmarkStart w:id="1629" w:name="_Toc67523755"/>
      <w:bookmarkStart w:id="1630" w:name="_Toc69690974"/>
      <w:bookmarkStart w:id="1631" w:name="_Toc61597378"/>
      <w:bookmarkStart w:id="1632" w:name="_Toc74812249"/>
      <w:bookmarkStart w:id="1633" w:name="_Toc74812488"/>
      <w:bookmarkStart w:id="1634" w:name="_Toc71372104"/>
      <w:bookmarkStart w:id="1635" w:name="_Toc77667463"/>
      <w:bookmarkStart w:id="1636" w:name="_Toc12373"/>
      <w:bookmarkStart w:id="1637" w:name="_Toc502736564"/>
      <w:r>
        <w:rPr>
          <w:b/>
          <w:color w:val="auto"/>
          <w:w w:val="99"/>
          <w:kern w:val="2"/>
          <w:sz w:val="24"/>
          <w:szCs w:val="24"/>
          <w:highlight w:val="none"/>
        </w:rPr>
        <w:t>9.5.5生态环境影响分析和生态保护减缓措施可行性结论</w:t>
      </w:r>
      <w:bookmarkEnd w:id="1628"/>
      <w:bookmarkEnd w:id="1629"/>
      <w:bookmarkEnd w:id="1630"/>
      <w:bookmarkEnd w:id="1631"/>
      <w:bookmarkEnd w:id="1632"/>
      <w:bookmarkEnd w:id="1633"/>
      <w:bookmarkEnd w:id="1634"/>
      <w:bookmarkEnd w:id="1635"/>
    </w:p>
    <w:p>
      <w:pPr>
        <w:widowControl w:val="0"/>
        <w:spacing w:line="500" w:lineRule="atLeas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本项目施工期对生态系统的影响较大，影响主要来自项目永久占地。这部分土地的土地利用性质会发生改变，但由于项目开发面积较小，永久性占地面积小，本工程不会对区域内的土地利用结构有大的改变。</w:t>
      </w:r>
    </w:p>
    <w:p>
      <w:pPr>
        <w:widowControl w:val="0"/>
        <w:spacing w:line="500" w:lineRule="atLeas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该项目的井场对土地的侵占，对植被的破坏，将使油田开发区内的农作物有一定程度的下降。在施工建设过程中采取严格控制施工范围等保护措施，则可在最大程度减小对生态环境的不利影响，加快生态环境在尽可能短的时间内得到恢复；本项目油田开发工程不可避免会改变原有的生态环境，但若合理规划和建设，石油产业有利于当地及周边地区的经济发展，能够与周围生态环境协调共处。可见，只要采取必要的措施，该油田开发项目对生态环境的影响不会太大，在生态上是可行的。</w:t>
      </w:r>
    </w:p>
    <w:p>
      <w:pPr>
        <w:pStyle w:val="7"/>
        <w:widowControl w:val="0"/>
        <w:spacing w:before="60" w:after="60" w:line="500" w:lineRule="atLeast"/>
        <w:jc w:val="both"/>
        <w:rPr>
          <w:b/>
          <w:color w:val="auto"/>
          <w:w w:val="99"/>
          <w:kern w:val="2"/>
          <w:sz w:val="24"/>
          <w:szCs w:val="24"/>
          <w:highlight w:val="none"/>
        </w:rPr>
      </w:pPr>
      <w:bookmarkStart w:id="1638" w:name="_Toc67523756"/>
      <w:bookmarkStart w:id="1639" w:name="_Toc74812489"/>
      <w:bookmarkStart w:id="1640" w:name="_Toc69690975"/>
      <w:bookmarkStart w:id="1641" w:name="_Toc74812250"/>
      <w:bookmarkStart w:id="1642" w:name="_Toc61597379"/>
      <w:bookmarkStart w:id="1643" w:name="_Toc77667464"/>
      <w:bookmarkStart w:id="1644" w:name="_Toc71372105"/>
      <w:bookmarkStart w:id="1645" w:name="_Toc80105320"/>
      <w:r>
        <w:rPr>
          <w:b/>
          <w:color w:val="auto"/>
          <w:w w:val="99"/>
          <w:kern w:val="2"/>
          <w:sz w:val="24"/>
          <w:szCs w:val="24"/>
          <w:highlight w:val="none"/>
        </w:rPr>
        <w:t>9.5.6土壤环境影响分析和保护措施可行性结论</w:t>
      </w:r>
      <w:bookmarkEnd w:id="1638"/>
      <w:bookmarkEnd w:id="1639"/>
      <w:bookmarkEnd w:id="1640"/>
      <w:bookmarkEnd w:id="1641"/>
      <w:bookmarkEnd w:id="1642"/>
      <w:bookmarkEnd w:id="1643"/>
      <w:bookmarkEnd w:id="1644"/>
      <w:bookmarkEnd w:id="1645"/>
    </w:p>
    <w:p>
      <w:pPr>
        <w:widowControl w:val="0"/>
        <w:spacing w:line="500" w:lineRule="atLeas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本项目土壤环境影响评价属于污染影响型项目，占地面积为小型，土壤环境敏感程度属于敏感，判断评价等级为一级。根据监测结果可以看出评价区土壤中各污染物浓度值均符合相应的标准限值的要求。</w:t>
      </w:r>
    </w:p>
    <w:p>
      <w:pPr>
        <w:widowControl w:val="0"/>
        <w:spacing w:line="500" w:lineRule="atLeas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项目针对各类污染物均采取了对应的污染治理措施，可确保污染物的达标排放及防止渗漏发生，可从源头上控制项目对区域土壤环境的污染，确保项目对区域土壤环境的影响处于可接受水平。因此，只要采取必要的措施，项目对区域土壤环境影响是可接受的。</w:t>
      </w:r>
    </w:p>
    <w:p>
      <w:pPr>
        <w:pStyle w:val="7"/>
        <w:widowControl w:val="0"/>
        <w:spacing w:before="60" w:after="60" w:line="500" w:lineRule="atLeast"/>
        <w:jc w:val="both"/>
        <w:rPr>
          <w:b/>
          <w:color w:val="auto"/>
          <w:w w:val="99"/>
          <w:kern w:val="2"/>
          <w:sz w:val="24"/>
          <w:szCs w:val="24"/>
          <w:highlight w:val="none"/>
        </w:rPr>
      </w:pPr>
      <w:bookmarkStart w:id="1646" w:name="_Toc67523757"/>
      <w:bookmarkStart w:id="1647" w:name="_Toc69690976"/>
      <w:bookmarkStart w:id="1648" w:name="_Toc77667465"/>
      <w:bookmarkStart w:id="1649" w:name="_Toc80105321"/>
      <w:bookmarkStart w:id="1650" w:name="_Toc71372106"/>
      <w:bookmarkStart w:id="1651" w:name="_Toc61597380"/>
      <w:bookmarkStart w:id="1652" w:name="_Toc74812490"/>
      <w:bookmarkStart w:id="1653" w:name="_Toc74812251"/>
      <w:r>
        <w:rPr>
          <w:b/>
          <w:color w:val="auto"/>
          <w:w w:val="99"/>
          <w:kern w:val="2"/>
          <w:sz w:val="24"/>
          <w:szCs w:val="24"/>
          <w:highlight w:val="none"/>
        </w:rPr>
        <w:t>9.5.7环境风险分析可行性结论</w:t>
      </w:r>
      <w:bookmarkEnd w:id="1646"/>
      <w:bookmarkEnd w:id="1647"/>
      <w:bookmarkEnd w:id="1648"/>
      <w:bookmarkEnd w:id="1649"/>
      <w:bookmarkEnd w:id="1650"/>
      <w:bookmarkEnd w:id="1651"/>
      <w:bookmarkEnd w:id="1652"/>
      <w:bookmarkEnd w:id="1653"/>
    </w:p>
    <w:p>
      <w:pPr>
        <w:widowControl w:val="0"/>
        <w:spacing w:line="500" w:lineRule="atLeas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本项目存在的主要环境风险类型包括井喷诱发火灾爆炸、套损、井漏环境污染事件，一旦出现上述环境风险事故，将对区域内的地下水环境、地表水环境、土壤环境和空气环境有潜在危害性。在工程采取一系列风险防范措施和应急措施后，可以降低工程发生环境风险事故概率，达到环境风险可接受水平。</w:t>
      </w:r>
    </w:p>
    <w:p>
      <w:pPr>
        <w:pStyle w:val="5"/>
        <w:widowControl w:val="0"/>
        <w:spacing w:before="120" w:after="120" w:line="500" w:lineRule="atLeast"/>
        <w:rPr>
          <w:rFonts w:ascii="Times New Roman" w:hAnsi="Times New Roman"/>
          <w:b/>
          <w:snapToGrid w:val="0"/>
          <w:color w:val="auto"/>
          <w:w w:val="99"/>
          <w:highlight w:val="none"/>
        </w:rPr>
      </w:pPr>
      <w:bookmarkStart w:id="1654" w:name="_Toc80105322"/>
      <w:r>
        <w:rPr>
          <w:rFonts w:ascii="Times New Roman" w:hAnsi="Times New Roman"/>
          <w:b/>
          <w:snapToGrid w:val="0"/>
          <w:color w:val="auto"/>
          <w:w w:val="99"/>
          <w:highlight w:val="none"/>
        </w:rPr>
        <w:t>9.6总量控制指标</w:t>
      </w:r>
      <w:bookmarkEnd w:id="1654"/>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本项目属于油田钻井工程，污染物只在钻井期产生，故无需设置总量控制指标。</w:t>
      </w:r>
    </w:p>
    <w:p>
      <w:pPr>
        <w:pStyle w:val="5"/>
        <w:widowControl w:val="0"/>
        <w:spacing w:before="120" w:after="120" w:line="500" w:lineRule="atLeast"/>
        <w:rPr>
          <w:rFonts w:ascii="Times New Roman" w:hAnsi="Times New Roman"/>
          <w:b/>
          <w:snapToGrid w:val="0"/>
          <w:color w:val="auto"/>
          <w:w w:val="99"/>
          <w:highlight w:val="none"/>
        </w:rPr>
      </w:pPr>
      <w:bookmarkStart w:id="1655" w:name="_Toc80105323"/>
      <w:r>
        <w:rPr>
          <w:rFonts w:ascii="Times New Roman" w:hAnsi="Times New Roman"/>
          <w:b/>
          <w:snapToGrid w:val="0"/>
          <w:color w:val="auto"/>
          <w:w w:val="99"/>
          <w:highlight w:val="none"/>
        </w:rPr>
        <w:t>9.7公众意见采纳情况</w:t>
      </w:r>
      <w:bookmarkEnd w:id="1636"/>
      <w:bookmarkEnd w:id="1637"/>
      <w:bookmarkEnd w:id="1655"/>
    </w:p>
    <w:p>
      <w:pPr>
        <w:pStyle w:val="109"/>
        <w:widowControl w:val="0"/>
        <w:spacing w:line="500" w:lineRule="atLeast"/>
        <w:ind w:firstLine="473"/>
        <w:rPr>
          <w:rFonts w:ascii="Times New Roman" w:hAnsi="Times New Roman" w:eastAsiaTheme="minorEastAsia"/>
          <w:snapToGrid w:val="0"/>
          <w:color w:val="auto"/>
          <w:w w:val="99"/>
          <w:highlight w:val="none"/>
        </w:rPr>
      </w:pPr>
      <w:bookmarkStart w:id="1656" w:name="_Toc21860"/>
      <w:bookmarkStart w:id="1657" w:name="_Toc502736565"/>
      <w:r>
        <w:rPr>
          <w:rFonts w:hint="eastAsia" w:ascii="Times New Roman" w:hAnsi="Times New Roman" w:eastAsiaTheme="minorEastAsia"/>
          <w:snapToGrid w:val="0"/>
          <w:color w:val="auto"/>
          <w:w w:val="99"/>
          <w:highlight w:val="none"/>
        </w:rPr>
        <w:t>本项目公众参与由建设单位大庆油田有限责任公司第十采油厂负责实施，征求意见的对象为本项目</w:t>
      </w:r>
      <w:r>
        <w:rPr>
          <w:rFonts w:ascii="Times New Roman" w:hAnsi="Times New Roman" w:eastAsiaTheme="minorEastAsia"/>
          <w:snapToGrid w:val="0"/>
          <w:color w:val="auto"/>
          <w:w w:val="99"/>
          <w:highlight w:val="none"/>
        </w:rPr>
        <w:t>评价范围内</w:t>
      </w:r>
      <w:r>
        <w:rPr>
          <w:rFonts w:hint="eastAsia" w:ascii="Times New Roman" w:hAnsi="Times New Roman" w:eastAsiaTheme="minorEastAsia"/>
          <w:snapToGrid w:val="0"/>
          <w:color w:val="auto"/>
          <w:w w:val="99"/>
          <w:highlight w:val="none"/>
          <w:lang w:eastAsia="zh-CN"/>
        </w:rPr>
        <w:t>后仓粮、仓粮村、厢房屯、三胜村、三家子村、后永利村</w:t>
      </w:r>
      <w:r>
        <w:rPr>
          <w:rFonts w:hint="eastAsia" w:ascii="Times New Roman" w:hAnsi="Times New Roman" w:eastAsiaTheme="minorEastAsia"/>
          <w:snapToGrid w:val="0"/>
          <w:color w:val="auto"/>
          <w:w w:val="99"/>
          <w:highlight w:val="none"/>
        </w:rPr>
        <w:t>等有关团体和个人。</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建设项目首次环境影响评价信息公开之日为2021年</w:t>
      </w:r>
      <w:r>
        <w:rPr>
          <w:rFonts w:hint="eastAsia" w:ascii="Times New Roman" w:hAnsi="Times New Roman" w:eastAsiaTheme="minorEastAsia"/>
          <w:snapToGrid w:val="0"/>
          <w:color w:val="auto"/>
          <w:w w:val="99"/>
          <w:highlight w:val="none"/>
          <w:lang w:val="en-US" w:eastAsia="zh-CN"/>
        </w:rPr>
        <w:t>12</w:t>
      </w:r>
      <w:r>
        <w:rPr>
          <w:rFonts w:ascii="Times New Roman" w:hAnsi="Times New Roman" w:eastAsiaTheme="minorEastAsia"/>
          <w:snapToGrid w:val="0"/>
          <w:color w:val="auto"/>
          <w:w w:val="99"/>
          <w:highlight w:val="none"/>
        </w:rPr>
        <w:t>月</w:t>
      </w:r>
      <w:r>
        <w:rPr>
          <w:rFonts w:hint="eastAsia" w:ascii="Times New Roman" w:hAnsi="Times New Roman" w:eastAsiaTheme="minorEastAsia"/>
          <w:snapToGrid w:val="0"/>
          <w:color w:val="auto"/>
          <w:w w:val="99"/>
          <w:highlight w:val="none"/>
          <w:lang w:val="en-US" w:eastAsia="zh-CN"/>
        </w:rPr>
        <w:t>30</w:t>
      </w:r>
      <w:r>
        <w:rPr>
          <w:rFonts w:ascii="Times New Roman" w:hAnsi="Times New Roman" w:eastAsiaTheme="minorEastAsia"/>
          <w:snapToGrid w:val="0"/>
          <w:color w:val="auto"/>
          <w:w w:val="99"/>
          <w:highlight w:val="none"/>
        </w:rPr>
        <w:t>日（黑龙江环保技术服务网</w:t>
      </w:r>
      <w:r>
        <w:rPr>
          <w:rFonts w:hint="eastAsia" w:ascii="Times New Roman" w:hAnsi="Times New Roman" w:eastAsiaTheme="minorEastAsia"/>
          <w:snapToGrid w:val="0"/>
          <w:color w:val="auto"/>
          <w:w w:val="99"/>
          <w:highlight w:val="none"/>
        </w:rPr>
        <w:t>http://www.hljhbjsfw.cn/NewsDetail.aspx?ID=468</w:t>
      </w:r>
      <w:r>
        <w:rPr>
          <w:rFonts w:ascii="Times New Roman" w:hAnsi="Times New Roman" w:eastAsiaTheme="minorEastAsia"/>
          <w:snapToGrid w:val="0"/>
          <w:color w:val="auto"/>
          <w:w w:val="99"/>
          <w:highlight w:val="none"/>
        </w:rPr>
        <w:t>）。</w:t>
      </w:r>
    </w:p>
    <w:p>
      <w:pPr>
        <w:pStyle w:val="109"/>
        <w:widowControl w:val="0"/>
        <w:spacing w:line="500" w:lineRule="atLeast"/>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征求意见稿公示日期为202</w:t>
      </w:r>
      <w:r>
        <w:rPr>
          <w:rFonts w:hint="eastAsia" w:ascii="Times New Roman" w:hAnsi="Times New Roman" w:eastAsiaTheme="minorEastAsia"/>
          <w:snapToGrid w:val="0"/>
          <w:color w:val="auto"/>
          <w:w w:val="99"/>
          <w:highlight w:val="none"/>
          <w:lang w:val="en-US" w:eastAsia="zh-CN"/>
        </w:rPr>
        <w:t>2</w:t>
      </w:r>
      <w:r>
        <w:rPr>
          <w:rFonts w:ascii="Times New Roman" w:hAnsi="Times New Roman" w:eastAsiaTheme="minorEastAsia"/>
          <w:snapToGrid w:val="0"/>
          <w:color w:val="auto"/>
          <w:w w:val="99"/>
          <w:highlight w:val="none"/>
        </w:rPr>
        <w:t>年</w:t>
      </w:r>
      <w:r>
        <w:rPr>
          <w:rFonts w:hint="eastAsia" w:ascii="Times New Roman" w:hAnsi="Times New Roman" w:eastAsiaTheme="minorEastAsia"/>
          <w:snapToGrid w:val="0"/>
          <w:color w:val="auto"/>
          <w:w w:val="99"/>
          <w:highlight w:val="none"/>
        </w:rPr>
        <w:t>1</w:t>
      </w:r>
      <w:r>
        <w:rPr>
          <w:rFonts w:ascii="Times New Roman" w:hAnsi="Times New Roman" w:eastAsiaTheme="minorEastAsia"/>
          <w:snapToGrid w:val="0"/>
          <w:color w:val="auto"/>
          <w:w w:val="99"/>
          <w:highlight w:val="none"/>
        </w:rPr>
        <w:t>月</w:t>
      </w:r>
      <w:r>
        <w:rPr>
          <w:rFonts w:hint="eastAsia" w:ascii="Times New Roman" w:hAnsi="Times New Roman" w:eastAsiaTheme="minorEastAsia"/>
          <w:snapToGrid w:val="0"/>
          <w:color w:val="auto"/>
          <w:w w:val="99"/>
          <w:highlight w:val="none"/>
        </w:rPr>
        <w:t>1</w:t>
      </w:r>
      <w:r>
        <w:rPr>
          <w:rFonts w:hint="eastAsia" w:ascii="Times New Roman" w:hAnsi="Times New Roman" w:eastAsiaTheme="minorEastAsia"/>
          <w:snapToGrid w:val="0"/>
          <w:color w:val="auto"/>
          <w:w w:val="99"/>
          <w:highlight w:val="none"/>
          <w:lang w:val="en-US" w:eastAsia="zh-CN"/>
        </w:rPr>
        <w:t>1</w:t>
      </w:r>
      <w:r>
        <w:rPr>
          <w:rFonts w:ascii="Times New Roman" w:hAnsi="Times New Roman" w:eastAsiaTheme="minorEastAsia"/>
          <w:snapToGrid w:val="0"/>
          <w:color w:val="auto"/>
          <w:w w:val="99"/>
          <w:highlight w:val="none"/>
        </w:rPr>
        <w:t>日</w:t>
      </w:r>
      <w:r>
        <w:rPr>
          <w:rFonts w:hint="eastAsia" w:ascii="Times New Roman" w:hAnsi="Times New Roman" w:eastAsiaTheme="minorEastAsia"/>
          <w:snapToGrid w:val="0"/>
          <w:color w:val="auto"/>
          <w:w w:val="99"/>
          <w:highlight w:val="none"/>
        </w:rPr>
        <w:t>至</w:t>
      </w:r>
      <w:r>
        <w:rPr>
          <w:rFonts w:ascii="Times New Roman" w:hAnsi="Times New Roman" w:eastAsiaTheme="minorEastAsia"/>
          <w:snapToGrid w:val="0"/>
          <w:color w:val="auto"/>
          <w:w w:val="99"/>
          <w:highlight w:val="none"/>
          <w:lang w:bidi="zh-CN"/>
        </w:rPr>
        <w:t>202</w:t>
      </w:r>
      <w:r>
        <w:rPr>
          <w:rFonts w:hint="eastAsia" w:ascii="Times New Roman" w:hAnsi="Times New Roman" w:eastAsiaTheme="minorEastAsia"/>
          <w:snapToGrid w:val="0"/>
          <w:color w:val="auto"/>
          <w:w w:val="99"/>
          <w:highlight w:val="none"/>
          <w:lang w:val="en-US" w:bidi="zh-CN"/>
        </w:rPr>
        <w:t>2</w:t>
      </w:r>
      <w:r>
        <w:rPr>
          <w:rFonts w:ascii="Times New Roman" w:hAnsi="Times New Roman" w:eastAsiaTheme="minorEastAsia"/>
          <w:snapToGrid w:val="0"/>
          <w:color w:val="auto"/>
          <w:w w:val="99"/>
          <w:highlight w:val="none"/>
          <w:lang w:bidi="zh-CN"/>
        </w:rPr>
        <w:t>年</w:t>
      </w:r>
      <w:r>
        <w:rPr>
          <w:rFonts w:hint="eastAsia" w:ascii="Times New Roman" w:hAnsi="Times New Roman" w:eastAsiaTheme="minorEastAsia"/>
          <w:snapToGrid w:val="0"/>
          <w:color w:val="auto"/>
          <w:w w:val="99"/>
          <w:highlight w:val="none"/>
          <w:lang w:bidi="zh-CN"/>
        </w:rPr>
        <w:t>1</w:t>
      </w:r>
      <w:r>
        <w:rPr>
          <w:rFonts w:ascii="Times New Roman" w:hAnsi="Times New Roman" w:eastAsiaTheme="minorEastAsia"/>
          <w:snapToGrid w:val="0"/>
          <w:color w:val="auto"/>
          <w:w w:val="99"/>
          <w:highlight w:val="none"/>
          <w:lang w:bidi="zh-CN"/>
        </w:rPr>
        <w:t>月2</w:t>
      </w:r>
      <w:r>
        <w:rPr>
          <w:rFonts w:hint="eastAsia" w:ascii="Times New Roman" w:hAnsi="Times New Roman" w:eastAsiaTheme="minorEastAsia"/>
          <w:snapToGrid w:val="0"/>
          <w:color w:val="auto"/>
          <w:w w:val="99"/>
          <w:highlight w:val="none"/>
          <w:lang w:val="en-US" w:bidi="zh-CN"/>
        </w:rPr>
        <w:t>4</w:t>
      </w:r>
      <w:r>
        <w:rPr>
          <w:rFonts w:hint="eastAsia" w:ascii="Times New Roman" w:hAnsi="Times New Roman" w:eastAsiaTheme="minorEastAsia"/>
          <w:snapToGrid w:val="0"/>
          <w:color w:val="auto"/>
          <w:w w:val="99"/>
          <w:highlight w:val="none"/>
          <w:lang w:bidi="zh-CN"/>
        </w:rPr>
        <w:t>日，</w:t>
      </w:r>
      <w:r>
        <w:rPr>
          <w:rFonts w:ascii="Times New Roman" w:hAnsi="Times New Roman" w:eastAsiaTheme="minorEastAsia"/>
          <w:snapToGrid w:val="0"/>
          <w:color w:val="auto"/>
          <w:w w:val="99"/>
          <w:highlight w:val="none"/>
          <w:lang w:bidi="zh-CN"/>
        </w:rPr>
        <w:t>共</w:t>
      </w:r>
      <w:r>
        <w:rPr>
          <w:rFonts w:hint="eastAsia" w:ascii="Times New Roman" w:hAnsi="Times New Roman" w:eastAsiaTheme="minorEastAsia"/>
          <w:snapToGrid w:val="0"/>
          <w:color w:val="auto"/>
          <w:w w:val="99"/>
          <w:highlight w:val="none"/>
          <w:lang w:bidi="zh-CN"/>
        </w:rPr>
        <w:t>10个</w:t>
      </w:r>
      <w:r>
        <w:rPr>
          <w:rFonts w:ascii="Times New Roman" w:hAnsi="Times New Roman" w:eastAsiaTheme="minorEastAsia"/>
          <w:snapToGrid w:val="0"/>
          <w:color w:val="auto"/>
          <w:w w:val="99"/>
          <w:highlight w:val="none"/>
          <w:lang w:bidi="zh-CN"/>
        </w:rPr>
        <w:t>工作日</w:t>
      </w:r>
      <w:r>
        <w:rPr>
          <w:rFonts w:ascii="Times New Roman" w:hAnsi="Times New Roman" w:eastAsiaTheme="minorEastAsia"/>
          <w:snapToGrid w:val="0"/>
          <w:color w:val="auto"/>
          <w:w w:val="99"/>
          <w:highlight w:val="none"/>
        </w:rPr>
        <w:t>（黑龙江环保技术服务网</w:t>
      </w:r>
      <w:r>
        <w:rPr>
          <w:rFonts w:hint="eastAsia" w:ascii="Times New Roman" w:hAnsi="Times New Roman" w:eastAsiaTheme="minorEastAsia"/>
          <w:snapToGrid w:val="0"/>
          <w:color w:val="auto"/>
          <w:w w:val="99"/>
          <w:highlight w:val="none"/>
        </w:rPr>
        <w:t>http://www.hljhbjsfw.cn/NewsDetail.aspx?ID=469</w:t>
      </w:r>
      <w:r>
        <w:rPr>
          <w:rFonts w:ascii="Times New Roman" w:hAnsi="Times New Roman" w:eastAsiaTheme="minorEastAsia"/>
          <w:snapToGrid w:val="0"/>
          <w:color w:val="auto"/>
          <w:w w:val="99"/>
          <w:highlight w:val="none"/>
        </w:rPr>
        <w:t>）；</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报纸第一次公告日期为202</w:t>
      </w:r>
      <w:r>
        <w:rPr>
          <w:rFonts w:hint="eastAsia" w:ascii="Times New Roman" w:hAnsi="Times New Roman" w:eastAsiaTheme="minorEastAsia"/>
          <w:snapToGrid w:val="0"/>
          <w:color w:val="auto"/>
          <w:w w:val="99"/>
          <w:highlight w:val="none"/>
          <w:lang w:val="en-US" w:eastAsia="zh-CN"/>
        </w:rPr>
        <w:t>2</w:t>
      </w:r>
      <w:r>
        <w:rPr>
          <w:rFonts w:ascii="Times New Roman" w:hAnsi="Times New Roman" w:eastAsiaTheme="minorEastAsia"/>
          <w:snapToGrid w:val="0"/>
          <w:color w:val="auto"/>
          <w:w w:val="99"/>
          <w:highlight w:val="none"/>
        </w:rPr>
        <w:t>年</w:t>
      </w:r>
      <w:r>
        <w:rPr>
          <w:rFonts w:hint="eastAsia" w:ascii="Times New Roman" w:hAnsi="Times New Roman" w:eastAsiaTheme="minorEastAsia"/>
          <w:snapToGrid w:val="0"/>
          <w:color w:val="auto"/>
          <w:w w:val="99"/>
          <w:highlight w:val="none"/>
          <w:lang w:val="en-US" w:eastAsia="zh-CN"/>
        </w:rPr>
        <w:t>1</w:t>
      </w:r>
      <w:r>
        <w:rPr>
          <w:rFonts w:ascii="Times New Roman" w:hAnsi="Times New Roman" w:eastAsiaTheme="minorEastAsia"/>
          <w:snapToGrid w:val="0"/>
          <w:color w:val="auto"/>
          <w:w w:val="99"/>
          <w:highlight w:val="none"/>
        </w:rPr>
        <w:t>月</w:t>
      </w:r>
      <w:r>
        <w:rPr>
          <w:rFonts w:hint="eastAsia" w:ascii="Times New Roman" w:hAnsi="Times New Roman" w:eastAsiaTheme="minorEastAsia"/>
          <w:snapToGrid w:val="0"/>
          <w:color w:val="auto"/>
          <w:w w:val="99"/>
          <w:highlight w:val="none"/>
          <w:lang w:val="en-US" w:eastAsia="zh-CN"/>
        </w:rPr>
        <w:t>20</w:t>
      </w:r>
      <w:r>
        <w:rPr>
          <w:rFonts w:ascii="Times New Roman" w:hAnsi="Times New Roman" w:eastAsiaTheme="minorEastAsia"/>
          <w:snapToGrid w:val="0"/>
          <w:color w:val="auto"/>
          <w:w w:val="99"/>
          <w:highlight w:val="none"/>
        </w:rPr>
        <w:t>日（大庆油田报），报纸第二次公告日期为202</w:t>
      </w:r>
      <w:r>
        <w:rPr>
          <w:rFonts w:hint="eastAsia" w:ascii="Times New Roman" w:hAnsi="Times New Roman" w:eastAsiaTheme="minorEastAsia"/>
          <w:snapToGrid w:val="0"/>
          <w:color w:val="auto"/>
          <w:w w:val="99"/>
          <w:highlight w:val="none"/>
          <w:lang w:val="en-US" w:eastAsia="zh-CN"/>
        </w:rPr>
        <w:t>2</w:t>
      </w:r>
      <w:r>
        <w:rPr>
          <w:rFonts w:ascii="Times New Roman" w:hAnsi="Times New Roman" w:eastAsiaTheme="minorEastAsia"/>
          <w:snapToGrid w:val="0"/>
          <w:color w:val="auto"/>
          <w:w w:val="99"/>
          <w:highlight w:val="none"/>
        </w:rPr>
        <w:t>年</w:t>
      </w:r>
      <w:r>
        <w:rPr>
          <w:rFonts w:hint="eastAsia" w:ascii="Times New Roman" w:hAnsi="Times New Roman" w:eastAsiaTheme="minorEastAsia"/>
          <w:snapToGrid w:val="0"/>
          <w:color w:val="auto"/>
          <w:w w:val="99"/>
          <w:highlight w:val="none"/>
          <w:lang w:val="en-US" w:eastAsia="zh-CN"/>
        </w:rPr>
        <w:t>1</w:t>
      </w:r>
      <w:r>
        <w:rPr>
          <w:rFonts w:ascii="Times New Roman" w:hAnsi="Times New Roman" w:eastAsiaTheme="minorEastAsia"/>
          <w:snapToGrid w:val="0"/>
          <w:color w:val="auto"/>
          <w:w w:val="99"/>
          <w:highlight w:val="none"/>
        </w:rPr>
        <w:t>月2</w:t>
      </w:r>
      <w:r>
        <w:rPr>
          <w:rFonts w:hint="eastAsia" w:ascii="Times New Roman" w:hAnsi="Times New Roman" w:eastAsiaTheme="minorEastAsia"/>
          <w:snapToGrid w:val="0"/>
          <w:color w:val="auto"/>
          <w:w w:val="99"/>
          <w:highlight w:val="none"/>
          <w:lang w:val="en-US" w:eastAsia="zh-CN"/>
        </w:rPr>
        <w:t>1</w:t>
      </w:r>
      <w:r>
        <w:rPr>
          <w:rFonts w:ascii="Times New Roman" w:hAnsi="Times New Roman" w:eastAsiaTheme="minorEastAsia"/>
          <w:snapToGrid w:val="0"/>
          <w:color w:val="auto"/>
          <w:w w:val="99"/>
          <w:highlight w:val="none"/>
        </w:rPr>
        <w:t>日（大庆油田报）；</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现场张贴公示日期为202</w:t>
      </w:r>
      <w:r>
        <w:rPr>
          <w:rFonts w:hint="eastAsia" w:ascii="Times New Roman" w:hAnsi="Times New Roman" w:eastAsiaTheme="minorEastAsia"/>
          <w:snapToGrid w:val="0"/>
          <w:color w:val="auto"/>
          <w:w w:val="99"/>
          <w:highlight w:val="none"/>
          <w:lang w:val="en-US" w:eastAsia="zh-CN"/>
        </w:rPr>
        <w:t>2</w:t>
      </w:r>
      <w:r>
        <w:rPr>
          <w:rFonts w:ascii="Times New Roman" w:hAnsi="Times New Roman" w:eastAsiaTheme="minorEastAsia"/>
          <w:snapToGrid w:val="0"/>
          <w:color w:val="auto"/>
          <w:w w:val="99"/>
          <w:highlight w:val="none"/>
        </w:rPr>
        <w:t>年</w:t>
      </w:r>
      <w:r>
        <w:rPr>
          <w:rFonts w:hint="eastAsia" w:ascii="Times New Roman" w:hAnsi="Times New Roman" w:eastAsiaTheme="minorEastAsia"/>
          <w:snapToGrid w:val="0"/>
          <w:color w:val="auto"/>
          <w:w w:val="99"/>
          <w:highlight w:val="none"/>
        </w:rPr>
        <w:t>1</w:t>
      </w:r>
      <w:r>
        <w:rPr>
          <w:rFonts w:ascii="Times New Roman" w:hAnsi="Times New Roman" w:eastAsiaTheme="minorEastAsia"/>
          <w:snapToGrid w:val="0"/>
          <w:color w:val="auto"/>
          <w:w w:val="99"/>
          <w:highlight w:val="none"/>
        </w:rPr>
        <w:t>月</w:t>
      </w:r>
      <w:r>
        <w:rPr>
          <w:rFonts w:hint="eastAsia" w:ascii="Times New Roman" w:hAnsi="Times New Roman" w:eastAsiaTheme="minorEastAsia"/>
          <w:snapToGrid w:val="0"/>
          <w:color w:val="auto"/>
          <w:w w:val="99"/>
          <w:highlight w:val="none"/>
          <w:lang w:val="en-US" w:eastAsia="zh-CN"/>
        </w:rPr>
        <w:t>13</w:t>
      </w:r>
      <w:r>
        <w:rPr>
          <w:rFonts w:ascii="Times New Roman" w:hAnsi="Times New Roman" w:eastAsiaTheme="minorEastAsia"/>
          <w:snapToGrid w:val="0"/>
          <w:color w:val="auto"/>
          <w:w w:val="99"/>
          <w:highlight w:val="none"/>
        </w:rPr>
        <w:t>日</w:t>
      </w:r>
      <w:r>
        <w:rPr>
          <w:rFonts w:hint="eastAsia" w:ascii="Times New Roman" w:hAnsi="Times New Roman" w:eastAsiaTheme="minorEastAsia"/>
          <w:snapToGrid w:val="0"/>
          <w:color w:val="auto"/>
          <w:w w:val="99"/>
          <w:highlight w:val="none"/>
        </w:rPr>
        <w:t>至</w:t>
      </w:r>
      <w:r>
        <w:rPr>
          <w:rFonts w:ascii="Times New Roman" w:hAnsi="Times New Roman" w:eastAsiaTheme="minorEastAsia"/>
          <w:snapToGrid w:val="0"/>
          <w:color w:val="auto"/>
          <w:w w:val="99"/>
          <w:highlight w:val="none"/>
          <w:lang w:bidi="zh-CN"/>
        </w:rPr>
        <w:t>202</w:t>
      </w:r>
      <w:r>
        <w:rPr>
          <w:rFonts w:hint="eastAsia" w:ascii="Times New Roman" w:hAnsi="Times New Roman" w:eastAsiaTheme="minorEastAsia"/>
          <w:snapToGrid w:val="0"/>
          <w:color w:val="auto"/>
          <w:w w:val="99"/>
          <w:highlight w:val="none"/>
          <w:lang w:val="en-US" w:bidi="zh-CN"/>
        </w:rPr>
        <w:t>2</w:t>
      </w:r>
      <w:r>
        <w:rPr>
          <w:rFonts w:ascii="Times New Roman" w:hAnsi="Times New Roman" w:eastAsiaTheme="minorEastAsia"/>
          <w:snapToGrid w:val="0"/>
          <w:color w:val="auto"/>
          <w:w w:val="99"/>
          <w:highlight w:val="none"/>
          <w:lang w:bidi="zh-CN"/>
        </w:rPr>
        <w:t>年</w:t>
      </w:r>
      <w:r>
        <w:rPr>
          <w:rFonts w:hint="eastAsia" w:ascii="Times New Roman" w:hAnsi="Times New Roman" w:eastAsiaTheme="minorEastAsia"/>
          <w:snapToGrid w:val="0"/>
          <w:color w:val="auto"/>
          <w:w w:val="99"/>
          <w:highlight w:val="none"/>
          <w:lang w:val="en-US" w:bidi="zh-CN"/>
        </w:rPr>
        <w:t>1</w:t>
      </w:r>
      <w:r>
        <w:rPr>
          <w:rFonts w:ascii="Times New Roman" w:hAnsi="Times New Roman" w:eastAsiaTheme="minorEastAsia"/>
          <w:snapToGrid w:val="0"/>
          <w:color w:val="auto"/>
          <w:w w:val="99"/>
          <w:highlight w:val="none"/>
          <w:lang w:bidi="zh-CN"/>
        </w:rPr>
        <w:t>月</w:t>
      </w:r>
      <w:r>
        <w:rPr>
          <w:rFonts w:hint="eastAsia" w:ascii="Times New Roman" w:hAnsi="Times New Roman" w:eastAsiaTheme="minorEastAsia"/>
          <w:snapToGrid w:val="0"/>
          <w:color w:val="auto"/>
          <w:w w:val="99"/>
          <w:highlight w:val="none"/>
          <w:lang w:val="en-US" w:bidi="zh-CN"/>
        </w:rPr>
        <w:t>26</w:t>
      </w:r>
      <w:r>
        <w:rPr>
          <w:rFonts w:ascii="Times New Roman" w:hAnsi="Times New Roman" w:eastAsiaTheme="minorEastAsia"/>
          <w:snapToGrid w:val="0"/>
          <w:color w:val="auto"/>
          <w:w w:val="99"/>
          <w:highlight w:val="none"/>
        </w:rPr>
        <w:t>日，</w:t>
      </w:r>
      <w:r>
        <w:rPr>
          <w:rFonts w:ascii="Times New Roman" w:hAnsi="Times New Roman" w:eastAsiaTheme="minorEastAsia"/>
          <w:snapToGrid w:val="0"/>
          <w:color w:val="auto"/>
          <w:w w:val="99"/>
          <w:highlight w:val="none"/>
          <w:lang w:bidi="zh-CN"/>
        </w:rPr>
        <w:t>共</w:t>
      </w:r>
      <w:r>
        <w:rPr>
          <w:rFonts w:hint="eastAsia" w:ascii="Times New Roman" w:hAnsi="Times New Roman" w:eastAsiaTheme="minorEastAsia"/>
          <w:snapToGrid w:val="0"/>
          <w:color w:val="auto"/>
          <w:w w:val="99"/>
          <w:highlight w:val="none"/>
          <w:lang w:bidi="zh-CN"/>
        </w:rPr>
        <w:t>10个</w:t>
      </w:r>
      <w:r>
        <w:rPr>
          <w:rFonts w:ascii="Times New Roman" w:hAnsi="Times New Roman" w:eastAsiaTheme="minorEastAsia"/>
          <w:snapToGrid w:val="0"/>
          <w:color w:val="auto"/>
          <w:w w:val="99"/>
          <w:highlight w:val="none"/>
          <w:lang w:bidi="zh-CN"/>
        </w:rPr>
        <w:t>工作日</w:t>
      </w:r>
      <w:r>
        <w:rPr>
          <w:rFonts w:hint="eastAsia" w:ascii="Times New Roman" w:hAnsi="Times New Roman" w:eastAsiaTheme="minorEastAsia"/>
          <w:snapToGrid w:val="0"/>
          <w:color w:val="auto"/>
          <w:w w:val="99"/>
          <w:highlight w:val="none"/>
          <w:lang w:bidi="zh-CN"/>
        </w:rPr>
        <w:t>，</w:t>
      </w:r>
      <w:r>
        <w:rPr>
          <w:rFonts w:ascii="Times New Roman" w:hAnsi="Times New Roman" w:eastAsiaTheme="minorEastAsia"/>
          <w:snapToGrid w:val="0"/>
          <w:color w:val="auto"/>
          <w:w w:val="99"/>
          <w:highlight w:val="none"/>
        </w:rPr>
        <w:t>公示地点为评价范围内村屯。</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至信息公告的截止日期没有收到相关反馈信息。</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网络公示起到了应有的告知作用。在现场公示期间，对居民进行了必要的讲解和说明，让附近居民充分了解本项目的各项情况。选择了黑龙江环保技术服务网和《大庆油田报》进行公示，起到了网络和报纸传播较广，受众广泛的作用。在网上两次公示过程中、公示期间及问卷调查过程中没有接到任何人反映意见或建议的电话和邮件、传真等。</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建设单位的公参调查结果表明，</w:t>
      </w:r>
      <w:r>
        <w:rPr>
          <w:rFonts w:hint="eastAsia" w:ascii="Times New Roman" w:hAnsi="Times New Roman" w:eastAsiaTheme="minorEastAsia"/>
          <w:snapToGrid w:val="0"/>
          <w:color w:val="auto"/>
          <w:w w:val="99"/>
          <w:highlight w:val="none"/>
          <w:lang w:eastAsia="zh-CN"/>
        </w:rPr>
        <w:t>肇源油田源35区块外扩开发钻井工程</w:t>
      </w:r>
      <w:r>
        <w:rPr>
          <w:rFonts w:hint="eastAsia" w:ascii="Times New Roman" w:hAnsi="Times New Roman" w:eastAsiaTheme="minorEastAsia"/>
          <w:snapToGrid w:val="0"/>
          <w:color w:val="auto"/>
          <w:w w:val="99"/>
          <w:highlight w:val="none"/>
        </w:rPr>
        <w:t>项目</w:t>
      </w:r>
      <w:r>
        <w:rPr>
          <w:rFonts w:ascii="Times New Roman" w:hAnsi="Times New Roman" w:eastAsiaTheme="minorEastAsia"/>
          <w:snapToGrid w:val="0"/>
          <w:color w:val="auto"/>
          <w:w w:val="99"/>
          <w:highlight w:val="none"/>
        </w:rPr>
        <w:t>的建设周围民众是支持的。建设单位认真执行环保“三同时”制度，加强环境管理，使环境的负效应降至最低。并对周围环境的影响减至最小程度，达到公众对项目建设的环境要求愿望。</w:t>
      </w:r>
    </w:p>
    <w:p>
      <w:pPr>
        <w:pStyle w:val="5"/>
        <w:widowControl w:val="0"/>
        <w:spacing w:before="120" w:after="120" w:line="500" w:lineRule="atLeast"/>
        <w:rPr>
          <w:rFonts w:ascii="Times New Roman" w:hAnsi="Times New Roman"/>
          <w:b/>
          <w:snapToGrid w:val="0"/>
          <w:color w:val="auto"/>
          <w:w w:val="99"/>
          <w:highlight w:val="none"/>
        </w:rPr>
      </w:pPr>
      <w:bookmarkStart w:id="1658" w:name="_Toc80105324"/>
      <w:r>
        <w:rPr>
          <w:rFonts w:ascii="Times New Roman" w:hAnsi="Times New Roman"/>
          <w:b/>
          <w:snapToGrid w:val="0"/>
          <w:color w:val="auto"/>
          <w:w w:val="99"/>
          <w:highlight w:val="none"/>
        </w:rPr>
        <w:t>9.8环境经济损益分析结论</w:t>
      </w:r>
      <w:bookmarkEnd w:id="1656"/>
      <w:bookmarkEnd w:id="1657"/>
      <w:bookmarkEnd w:id="1658"/>
    </w:p>
    <w:p>
      <w:pPr>
        <w:pStyle w:val="32"/>
        <w:widowControl w:val="0"/>
        <w:autoSpaceDE w:val="0"/>
        <w:autoSpaceDN w:val="0"/>
        <w:spacing w:line="500" w:lineRule="atLeast"/>
        <w:ind w:firstLine="559"/>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该项目的建设，为确保大庆油田的可持续发展、建设百年油田提供了强有力的保证，对保障我国石油供应、发展我国石油化工、繁荣经济、促进改革和社会发展，都将发挥重要的作用。同时，该项目的建设还可以提高项目所在地的税收、增加就业机会、带动当地第三产业的发展，提高当地的生活水平，实现当地经济环境的协调发展。</w:t>
      </w:r>
      <w:r>
        <w:rPr>
          <w:rFonts w:ascii="Times New Roman" w:hAnsi="Times New Roman" w:eastAsiaTheme="minorEastAsia"/>
          <w:snapToGrid w:val="0"/>
          <w:color w:val="auto"/>
          <w:w w:val="99"/>
          <w:highlight w:val="none"/>
        </w:rPr>
        <w:t>因此本项目的建设从环境经济损益的角度分析是可行的。</w:t>
      </w:r>
    </w:p>
    <w:p>
      <w:pPr>
        <w:pStyle w:val="5"/>
        <w:widowControl w:val="0"/>
        <w:spacing w:before="120" w:after="120" w:line="500" w:lineRule="atLeast"/>
        <w:rPr>
          <w:rFonts w:ascii="Times New Roman" w:hAnsi="Times New Roman"/>
          <w:b/>
          <w:snapToGrid w:val="0"/>
          <w:color w:val="auto"/>
          <w:w w:val="99"/>
          <w:highlight w:val="none"/>
        </w:rPr>
      </w:pPr>
      <w:bookmarkStart w:id="1659" w:name="_Toc502736566"/>
      <w:bookmarkStart w:id="1660" w:name="_Toc80105325"/>
      <w:bookmarkStart w:id="1661" w:name="_Toc21522"/>
      <w:r>
        <w:rPr>
          <w:rFonts w:ascii="Times New Roman" w:hAnsi="Times New Roman"/>
          <w:b/>
          <w:snapToGrid w:val="0"/>
          <w:color w:val="auto"/>
          <w:w w:val="99"/>
          <w:highlight w:val="none"/>
        </w:rPr>
        <w:t>9.9环境管理与监测结论</w:t>
      </w:r>
      <w:bookmarkEnd w:id="1659"/>
      <w:bookmarkEnd w:id="1660"/>
      <w:bookmarkEnd w:id="1661"/>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项目通过加强建设期间的环境管理与监控，建立健全安全生产管理制度，制订科学严谨的操作规程，通过职工操作技能培训，提高危险识辨、防护和保护能力，落实责任到人。增强岗位职责和环保、安全意识，保证生产设施和环保治理设施运行的可靠性、稳定性。</w:t>
      </w:r>
    </w:p>
    <w:p>
      <w:pPr>
        <w:pStyle w:val="5"/>
        <w:widowControl w:val="0"/>
        <w:spacing w:before="120" w:after="120" w:line="500" w:lineRule="atLeast"/>
        <w:rPr>
          <w:rFonts w:ascii="Times New Roman" w:hAnsi="Times New Roman"/>
          <w:b/>
          <w:snapToGrid w:val="0"/>
          <w:color w:val="auto"/>
          <w:w w:val="99"/>
          <w:highlight w:val="none"/>
        </w:rPr>
      </w:pPr>
      <w:bookmarkStart w:id="1662" w:name="_Toc80105326"/>
      <w:bookmarkStart w:id="1663" w:name="_Toc502736567"/>
      <w:bookmarkStart w:id="1664" w:name="_Toc22314"/>
      <w:r>
        <w:rPr>
          <w:rFonts w:ascii="Times New Roman" w:hAnsi="Times New Roman"/>
          <w:b/>
          <w:snapToGrid w:val="0"/>
          <w:color w:val="auto"/>
          <w:w w:val="99"/>
          <w:highlight w:val="none"/>
        </w:rPr>
        <w:t>9.10综合评价结论</w:t>
      </w:r>
      <w:bookmarkEnd w:id="1662"/>
      <w:bookmarkEnd w:id="1663"/>
      <w:bookmarkEnd w:id="1664"/>
    </w:p>
    <w:p>
      <w:pPr>
        <w:pStyle w:val="109"/>
        <w:widowControl w:val="0"/>
        <w:spacing w:line="500" w:lineRule="atLeast"/>
        <w:ind w:firstLine="473"/>
        <w:jc w:val="both"/>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lang w:eastAsia="zh-CN"/>
        </w:rPr>
        <w:t>肇源油田源35区块外扩开发钻井工程</w:t>
      </w:r>
      <w:r>
        <w:rPr>
          <w:rFonts w:hint="eastAsia" w:ascii="Times New Roman" w:hAnsi="Times New Roman" w:eastAsiaTheme="minorEastAsia"/>
          <w:snapToGrid w:val="0"/>
          <w:color w:val="auto"/>
          <w:w w:val="99"/>
          <w:highlight w:val="none"/>
        </w:rPr>
        <w:t>项目</w:t>
      </w:r>
      <w:r>
        <w:rPr>
          <w:rFonts w:ascii="Times New Roman" w:hAnsi="Times New Roman" w:eastAsiaTheme="minorEastAsia"/>
          <w:snapToGrid w:val="0"/>
          <w:color w:val="auto"/>
          <w:w w:val="99"/>
          <w:highlight w:val="none"/>
        </w:rPr>
        <w:t>选址于</w:t>
      </w:r>
      <w:r>
        <w:rPr>
          <w:rFonts w:hint="eastAsia" w:ascii="Times New Roman" w:hAnsi="Times New Roman" w:eastAsiaTheme="minorEastAsia"/>
          <w:color w:val="auto"/>
          <w:w w:val="99"/>
          <w:highlight w:val="none"/>
        </w:rPr>
        <w:t>大庆市</w:t>
      </w:r>
      <w:r>
        <w:rPr>
          <w:rFonts w:hint="eastAsia" w:ascii="Times New Roman" w:hAnsi="Times New Roman" w:eastAsiaTheme="minorEastAsia"/>
          <w:color w:val="auto"/>
          <w:w w:val="99"/>
          <w:highlight w:val="none"/>
          <w:lang w:eastAsia="zh-CN"/>
        </w:rPr>
        <w:t>肇源县</w:t>
      </w:r>
      <w:r>
        <w:rPr>
          <w:rFonts w:ascii="Times New Roman" w:hAnsi="Times New Roman" w:eastAsiaTheme="minorEastAsia"/>
          <w:snapToGrid w:val="0"/>
          <w:color w:val="auto"/>
          <w:w w:val="99"/>
          <w:highlight w:val="none"/>
        </w:rPr>
        <w:t>，项目选址合理</w:t>
      </w: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符合现行产业政策</w:t>
      </w: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对产生的污染物采取行之有效的环保措施后，可以做到达标排放，对区域环境影响较小</w:t>
      </w: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公众参与调查结果表明，公众参与对该项目无反对意见。在确保落实好各项环保措施并保证其正常运行的前提下，从环境保护角度分析，本项目的建设可行。</w:t>
      </w:r>
    </w:p>
    <w:bookmarkEnd w:id="1535"/>
    <w:bookmarkEnd w:id="1536"/>
    <w:bookmarkEnd w:id="1537"/>
    <w:bookmarkEnd w:id="1538"/>
    <w:p>
      <w:pPr>
        <w:pStyle w:val="109"/>
        <w:widowControl w:val="0"/>
        <w:spacing w:line="440" w:lineRule="exact"/>
        <w:ind w:firstLine="473"/>
        <w:rPr>
          <w:rFonts w:ascii="Times New Roman" w:hAnsi="Times New Roman" w:eastAsiaTheme="minorEastAsia"/>
          <w:color w:val="auto"/>
          <w:w w:val="99"/>
          <w:highlight w:val="none"/>
        </w:rPr>
      </w:pPr>
    </w:p>
    <w:p>
      <w:pPr>
        <w:pStyle w:val="103"/>
        <w:rPr>
          <w:rFonts w:eastAsiaTheme="minorEastAsia"/>
          <w:color w:val="auto"/>
          <w:w w:val="99"/>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widowControl w:val="0"/>
        <w:adjustRightInd w:val="0"/>
        <w:snapToGrid w:val="0"/>
        <w:spacing w:line="440" w:lineRule="exact"/>
        <w:jc w:val="both"/>
        <w:rPr>
          <w:rFonts w:ascii="Times New Roman" w:hAnsi="Times New Roman" w:cs="Times New Roman" w:eastAsiaTheme="minorEastAsia"/>
          <w:color w:val="auto"/>
          <w:w w:val="99"/>
          <w:kern w:val="21"/>
          <w:highlight w:val="none"/>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bookmarkStart w:id="1665" w:name="_Toc18350"/>
      <w:bookmarkStart w:id="1666" w:name="_Toc15833341"/>
      <w:bookmarkStart w:id="1667" w:name="_Toc13789"/>
      <w:bookmarkStart w:id="1668" w:name="_Toc30449_WPSOffice_Level1"/>
      <w:bookmarkStart w:id="1669" w:name="_Toc6995250"/>
    </w:p>
    <w:p>
      <w:pPr>
        <w:widowControl w:val="0"/>
        <w:adjustRightInd w:val="0"/>
        <w:snapToGrid w:val="0"/>
        <w:spacing w:line="440" w:lineRule="exact"/>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附表1：建设项目大气环境影响评价自查表</w:t>
      </w:r>
      <w:bookmarkEnd w:id="1665"/>
      <w:bookmarkEnd w:id="1666"/>
      <w:bookmarkEnd w:id="1667"/>
      <w:bookmarkEnd w:id="1668"/>
      <w:bookmarkEnd w:id="1669"/>
    </w:p>
    <w:tbl>
      <w:tblPr>
        <w:tblStyle w:val="8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581"/>
        <w:gridCol w:w="1150"/>
        <w:gridCol w:w="488"/>
        <w:gridCol w:w="135"/>
        <w:gridCol w:w="202"/>
        <w:gridCol w:w="194"/>
        <w:gridCol w:w="316"/>
        <w:gridCol w:w="547"/>
        <w:gridCol w:w="443"/>
        <w:gridCol w:w="155"/>
        <w:gridCol w:w="64"/>
        <w:gridCol w:w="584"/>
        <w:gridCol w:w="172"/>
        <w:gridCol w:w="75"/>
        <w:gridCol w:w="203"/>
        <w:gridCol w:w="240"/>
        <w:gridCol w:w="127"/>
        <w:gridCol w:w="645"/>
        <w:gridCol w:w="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1" w:type="dxa"/>
            <w:gridSpan w:val="2"/>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工作内容</w:t>
            </w:r>
          </w:p>
        </w:tc>
        <w:tc>
          <w:tcPr>
            <w:tcW w:w="6390" w:type="dxa"/>
            <w:gridSpan w:val="1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评价等级与范围</w:t>
            </w: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评价等级</w:t>
            </w:r>
          </w:p>
        </w:tc>
        <w:tc>
          <w:tcPr>
            <w:tcW w:w="2169"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一级</w:t>
            </w:r>
            <w:r>
              <w:rPr>
                <w:rFonts w:ascii="Times New Roman" w:hAnsi="Times New Roman" w:cs="Times New Roman" w:eastAsiaTheme="minorEastAsia"/>
                <w:color w:val="auto"/>
                <w:w w:val="99"/>
                <w:kern w:val="21"/>
                <w:sz w:val="21"/>
                <w:szCs w:val="21"/>
                <w:highlight w:val="none"/>
              </w:rPr>
              <w:sym w:font="Wingdings" w:char="00A8"/>
            </w:r>
          </w:p>
        </w:tc>
        <w:tc>
          <w:tcPr>
            <w:tcW w:w="2356" w:type="dxa"/>
            <w:gridSpan w:val="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二级</w:t>
            </w:r>
            <w:r>
              <w:rPr>
                <w:rFonts w:ascii="Times New Roman" w:hAnsi="Times New Roman" w:cs="Times New Roman" w:eastAsiaTheme="minorEastAsia"/>
                <w:color w:val="auto"/>
                <w:w w:val="99"/>
                <w:kern w:val="21"/>
                <w:sz w:val="21"/>
                <w:szCs w:val="21"/>
                <w:highlight w:val="none"/>
              </w:rPr>
              <w:sym w:font="Wingdings" w:char="00A8"/>
            </w:r>
          </w:p>
        </w:tc>
        <w:tc>
          <w:tcPr>
            <w:tcW w:w="1865"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三级</w:t>
            </w:r>
            <w:r>
              <w:rPr>
                <w:rFonts w:ascii="Times New Roman" w:hAnsi="Times New Roman" w:cs="Times New Roman" w:eastAsiaTheme="minorEastAsia"/>
                <w:color w:val="auto"/>
                <w:w w:val="99"/>
                <w:kern w:val="21"/>
                <w:sz w:val="21"/>
                <w:szCs w:val="21"/>
                <w:highlight w:val="none"/>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评价范围</w:t>
            </w:r>
          </w:p>
        </w:tc>
        <w:tc>
          <w:tcPr>
            <w:tcW w:w="2169"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边长=50km</w:t>
            </w:r>
            <w:r>
              <w:rPr>
                <w:rFonts w:ascii="Times New Roman" w:hAnsi="Times New Roman" w:cs="Times New Roman" w:eastAsiaTheme="minorEastAsia"/>
                <w:color w:val="auto"/>
                <w:w w:val="99"/>
                <w:kern w:val="21"/>
                <w:sz w:val="21"/>
                <w:szCs w:val="21"/>
                <w:highlight w:val="none"/>
              </w:rPr>
              <w:sym w:font="Wingdings" w:char="00A8"/>
            </w:r>
          </w:p>
        </w:tc>
        <w:tc>
          <w:tcPr>
            <w:tcW w:w="2356" w:type="dxa"/>
            <w:gridSpan w:val="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边长5~50km</w:t>
            </w:r>
            <w:r>
              <w:rPr>
                <w:rFonts w:ascii="Times New Roman" w:hAnsi="Times New Roman" w:cs="Times New Roman" w:eastAsiaTheme="minorEastAsia"/>
                <w:color w:val="auto"/>
                <w:w w:val="99"/>
                <w:kern w:val="21"/>
                <w:sz w:val="21"/>
                <w:szCs w:val="21"/>
                <w:highlight w:val="none"/>
              </w:rPr>
              <w:sym w:font="Wingdings" w:char="00A8"/>
            </w:r>
          </w:p>
        </w:tc>
        <w:tc>
          <w:tcPr>
            <w:tcW w:w="1865"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边长&lt;5km</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评价因子</w:t>
            </w: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SO</w:t>
            </w:r>
            <w:r>
              <w:rPr>
                <w:rFonts w:ascii="Times New Roman" w:hAnsi="Times New Roman" w:cs="Times New Roman" w:eastAsiaTheme="minorEastAsia"/>
                <w:color w:val="auto"/>
                <w:w w:val="99"/>
                <w:kern w:val="21"/>
                <w:sz w:val="21"/>
                <w:szCs w:val="21"/>
                <w:highlight w:val="none"/>
                <w:vertAlign w:val="subscript"/>
              </w:rPr>
              <w:t>2</w:t>
            </w:r>
            <w:r>
              <w:rPr>
                <w:rFonts w:ascii="Times New Roman" w:hAnsi="Times New Roman" w:cs="Times New Roman" w:eastAsiaTheme="minorEastAsia"/>
                <w:color w:val="auto"/>
                <w:w w:val="99"/>
                <w:kern w:val="21"/>
                <w:sz w:val="21"/>
                <w:szCs w:val="21"/>
                <w:highlight w:val="none"/>
              </w:rPr>
              <w:t>+NO</w:t>
            </w:r>
            <w:r>
              <w:rPr>
                <w:rFonts w:ascii="Times New Roman" w:hAnsi="Times New Roman" w:cs="Times New Roman" w:eastAsiaTheme="minorEastAsia"/>
                <w:color w:val="auto"/>
                <w:w w:val="99"/>
                <w:kern w:val="21"/>
                <w:sz w:val="21"/>
                <w:szCs w:val="21"/>
                <w:highlight w:val="none"/>
                <w:vertAlign w:val="subscript"/>
              </w:rPr>
              <w:t>X</w:t>
            </w:r>
            <w:r>
              <w:rPr>
                <w:rFonts w:ascii="Times New Roman" w:hAnsi="Times New Roman" w:cs="Times New Roman" w:eastAsiaTheme="minorEastAsia"/>
                <w:color w:val="auto"/>
                <w:w w:val="99"/>
                <w:kern w:val="21"/>
                <w:sz w:val="21"/>
                <w:szCs w:val="21"/>
                <w:highlight w:val="none"/>
              </w:rPr>
              <w:t>排放</w:t>
            </w:r>
          </w:p>
        </w:tc>
        <w:tc>
          <w:tcPr>
            <w:tcW w:w="2169"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hint="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2000t/a</w:t>
            </w:r>
            <w:r>
              <w:rPr>
                <w:rFonts w:ascii="Times New Roman" w:hAnsi="Times New Roman" w:cs="Times New Roman" w:eastAsiaTheme="minorEastAsia"/>
                <w:color w:val="auto"/>
                <w:w w:val="99"/>
                <w:kern w:val="21"/>
                <w:sz w:val="21"/>
                <w:szCs w:val="21"/>
                <w:highlight w:val="none"/>
              </w:rPr>
              <w:sym w:font="Wingdings" w:char="00A8"/>
            </w:r>
          </w:p>
        </w:tc>
        <w:tc>
          <w:tcPr>
            <w:tcW w:w="2356" w:type="dxa"/>
            <w:gridSpan w:val="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500~2000t/a</w:t>
            </w:r>
            <w:r>
              <w:rPr>
                <w:rFonts w:ascii="Times New Roman" w:hAnsi="Times New Roman" w:cs="Times New Roman" w:eastAsiaTheme="minorEastAsia"/>
                <w:color w:val="auto"/>
                <w:w w:val="99"/>
                <w:kern w:val="21"/>
                <w:sz w:val="21"/>
                <w:szCs w:val="21"/>
                <w:highlight w:val="none"/>
              </w:rPr>
              <w:sym w:font="Wingdings" w:char="00A8"/>
            </w:r>
          </w:p>
        </w:tc>
        <w:tc>
          <w:tcPr>
            <w:tcW w:w="1865"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&lt;500t/a</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评价因子</w:t>
            </w:r>
          </w:p>
        </w:tc>
        <w:tc>
          <w:tcPr>
            <w:tcW w:w="4525" w:type="dxa"/>
            <w:gridSpan w:val="13"/>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基本污染物（PM</w:t>
            </w:r>
            <w:r>
              <w:rPr>
                <w:rFonts w:ascii="Times New Roman" w:hAnsi="Times New Roman" w:cs="Times New Roman" w:eastAsiaTheme="minorEastAsia"/>
                <w:color w:val="auto"/>
                <w:w w:val="99"/>
                <w:kern w:val="21"/>
                <w:sz w:val="21"/>
                <w:szCs w:val="21"/>
                <w:highlight w:val="none"/>
                <w:vertAlign w:val="subscript"/>
              </w:rPr>
              <w:t>10</w:t>
            </w:r>
            <w:r>
              <w:rPr>
                <w:rFonts w:ascii="Times New Roman" w:hAnsi="Times New Roman" w:cs="Times New Roman" w:eastAsiaTheme="minorEastAsia"/>
                <w:color w:val="auto"/>
                <w:w w:val="99"/>
                <w:kern w:val="21"/>
                <w:sz w:val="21"/>
                <w:szCs w:val="21"/>
                <w:highlight w:val="none"/>
              </w:rPr>
              <w:t>、NO</w:t>
            </w:r>
            <w:r>
              <w:rPr>
                <w:rFonts w:ascii="Times New Roman" w:hAnsi="Times New Roman" w:cs="Times New Roman" w:eastAsiaTheme="minorEastAsia"/>
                <w:color w:val="auto"/>
                <w:w w:val="99"/>
                <w:kern w:val="21"/>
                <w:sz w:val="21"/>
                <w:szCs w:val="21"/>
                <w:highlight w:val="none"/>
                <w:vertAlign w:val="subscript"/>
              </w:rPr>
              <w:t>x</w:t>
            </w:r>
            <w:r>
              <w:rPr>
                <w:rFonts w:ascii="Times New Roman" w:hAnsi="Times New Roman" w:cs="Times New Roman" w:eastAsiaTheme="minorEastAsia"/>
                <w:color w:val="auto"/>
                <w:w w:val="99"/>
                <w:kern w:val="21"/>
                <w:sz w:val="21"/>
                <w:szCs w:val="21"/>
                <w:highlight w:val="none"/>
              </w:rPr>
              <w:t>、SO</w:t>
            </w:r>
            <w:r>
              <w:rPr>
                <w:rFonts w:ascii="Times New Roman" w:hAnsi="Times New Roman" w:cs="Times New Roman" w:eastAsiaTheme="minorEastAsia"/>
                <w:color w:val="auto"/>
                <w:w w:val="99"/>
                <w:kern w:val="21"/>
                <w:sz w:val="21"/>
                <w:szCs w:val="21"/>
                <w:highlight w:val="none"/>
                <w:vertAlign w:val="subscript"/>
              </w:rPr>
              <w:t>2、</w:t>
            </w:r>
            <w:r>
              <w:rPr>
                <w:rFonts w:ascii="Times New Roman" w:hAnsi="Times New Roman" w:cs="Times New Roman" w:eastAsiaTheme="minorEastAsia"/>
                <w:bCs/>
                <w:color w:val="auto"/>
                <w:w w:val="99"/>
                <w:kern w:val="21"/>
                <w:sz w:val="21"/>
                <w:szCs w:val="21"/>
                <w:highlight w:val="none"/>
              </w:rPr>
              <w:t>PM</w:t>
            </w:r>
            <w:r>
              <w:rPr>
                <w:rFonts w:ascii="Times New Roman" w:hAnsi="Times New Roman" w:cs="Times New Roman" w:eastAsiaTheme="minorEastAsia"/>
                <w:bCs/>
                <w:color w:val="auto"/>
                <w:w w:val="99"/>
                <w:kern w:val="21"/>
                <w:sz w:val="21"/>
                <w:szCs w:val="21"/>
                <w:highlight w:val="none"/>
                <w:vertAlign w:val="subscript"/>
              </w:rPr>
              <w:t>2.5</w:t>
            </w:r>
            <w:r>
              <w:rPr>
                <w:rFonts w:ascii="Times New Roman" w:hAnsi="Times New Roman" w:cs="Times New Roman" w:eastAsiaTheme="minorEastAsia"/>
                <w:bCs/>
                <w:color w:val="auto"/>
                <w:w w:val="99"/>
                <w:kern w:val="21"/>
                <w:sz w:val="21"/>
                <w:szCs w:val="21"/>
                <w:highlight w:val="none"/>
              </w:rPr>
              <w:t>、CO、O</w:t>
            </w:r>
            <w:r>
              <w:rPr>
                <w:rFonts w:ascii="Times New Roman" w:hAnsi="Times New Roman" w:cs="Times New Roman" w:eastAsiaTheme="minorEastAsia"/>
                <w:bCs/>
                <w:color w:val="auto"/>
                <w:w w:val="99"/>
                <w:kern w:val="21"/>
                <w:sz w:val="21"/>
                <w:szCs w:val="21"/>
                <w:highlight w:val="none"/>
                <w:vertAlign w:val="subscript"/>
              </w:rPr>
              <w:t>3</w:t>
            </w:r>
            <w:r>
              <w:rPr>
                <w:rFonts w:ascii="Times New Roman" w:hAnsi="Times New Roman" w:cs="Times New Roman" w:eastAsiaTheme="minorEastAsia"/>
                <w:color w:val="auto"/>
                <w:w w:val="99"/>
                <w:kern w:val="21"/>
                <w:sz w:val="21"/>
                <w:szCs w:val="21"/>
                <w:highlight w:val="none"/>
              </w:rPr>
              <w:t>）</w:t>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其他污染物（</w:t>
            </w:r>
            <w:r>
              <w:rPr>
                <w:rFonts w:hint="eastAsia" w:ascii="Times New Roman" w:hAnsi="Times New Roman" w:cs="Times New Roman" w:eastAsiaTheme="minorEastAsia"/>
                <w:color w:val="auto"/>
                <w:w w:val="99"/>
                <w:kern w:val="21"/>
                <w:sz w:val="21"/>
                <w:szCs w:val="21"/>
                <w:highlight w:val="none"/>
              </w:rPr>
              <w:t>TSP</w:t>
            </w:r>
            <w:r>
              <w:rPr>
                <w:rFonts w:ascii="Times New Roman" w:hAnsi="Times New Roman" w:cs="Times New Roman" w:eastAsiaTheme="minorEastAsia"/>
                <w:color w:val="auto"/>
                <w:w w:val="99"/>
                <w:kern w:val="21"/>
                <w:sz w:val="21"/>
                <w:szCs w:val="21"/>
                <w:highlight w:val="none"/>
              </w:rPr>
              <w:t>）</w:t>
            </w:r>
          </w:p>
        </w:tc>
        <w:tc>
          <w:tcPr>
            <w:tcW w:w="1865"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包括二次PM</w:t>
            </w:r>
            <w:r>
              <w:rPr>
                <w:rFonts w:ascii="Times New Roman" w:hAnsi="Times New Roman" w:cs="Times New Roman" w:eastAsiaTheme="minorEastAsia"/>
                <w:color w:val="auto"/>
                <w:w w:val="99"/>
                <w:kern w:val="21"/>
                <w:sz w:val="21"/>
                <w:szCs w:val="21"/>
                <w:highlight w:val="none"/>
                <w:vertAlign w:val="subscript"/>
              </w:rPr>
              <w:t>2.5</w:t>
            </w:r>
            <w:r>
              <w:rPr>
                <w:rFonts w:ascii="Times New Roman" w:hAnsi="Times New Roman" w:cs="Times New Roman" w:eastAsiaTheme="minorEastAsia"/>
                <w:color w:val="auto"/>
                <w:w w:val="99"/>
                <w:kern w:val="21"/>
                <w:sz w:val="21"/>
                <w:szCs w:val="21"/>
                <w:highlight w:val="none"/>
              </w:rPr>
              <w:sym w:font="Wingdings" w:char="00A8"/>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不包括二次PM</w:t>
            </w:r>
            <w:r>
              <w:rPr>
                <w:rFonts w:ascii="Times New Roman" w:hAnsi="Times New Roman" w:cs="Times New Roman" w:eastAsiaTheme="minorEastAsia"/>
                <w:color w:val="auto"/>
                <w:w w:val="99"/>
                <w:kern w:val="21"/>
                <w:sz w:val="21"/>
                <w:szCs w:val="21"/>
                <w:highlight w:val="none"/>
                <w:vertAlign w:val="subscript"/>
              </w:rPr>
              <w:t>2.5</w:t>
            </w:r>
            <w:r>
              <w:rPr>
                <w:rFonts w:ascii="Times New Roman" w:hAnsi="Times New Roman" w:cs="Times New Roman" w:eastAsiaTheme="minorEastAsia"/>
                <w:color w:val="auto"/>
                <w:w w:val="99"/>
                <w:kern w:val="21"/>
                <w:sz w:val="21"/>
                <w:szCs w:val="21"/>
                <w:highlight w:val="none"/>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评价标准</w:t>
            </w: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评价标准</w:t>
            </w:r>
          </w:p>
        </w:tc>
        <w:tc>
          <w:tcPr>
            <w:tcW w:w="2169"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国家标准</w:t>
            </w:r>
            <w:r>
              <w:rPr>
                <w:rFonts w:ascii="Times New Roman" w:hAnsi="Times New Roman" w:cs="Times New Roman" w:eastAsiaTheme="minorEastAsia"/>
                <w:color w:val="auto"/>
                <w:w w:val="99"/>
                <w:kern w:val="21"/>
                <w:sz w:val="21"/>
                <w:szCs w:val="21"/>
                <w:highlight w:val="none"/>
              </w:rPr>
              <w:sym w:font="Wingdings" w:char="00FE"/>
            </w:r>
          </w:p>
        </w:tc>
        <w:tc>
          <w:tcPr>
            <w:tcW w:w="1461" w:type="dxa"/>
            <w:gridSpan w:val="4"/>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地方标准</w:t>
            </w:r>
            <w:r>
              <w:rPr>
                <w:rFonts w:ascii="Times New Roman" w:hAnsi="Times New Roman" w:cs="Times New Roman" w:eastAsiaTheme="minorEastAsia"/>
                <w:color w:val="auto"/>
                <w:w w:val="99"/>
                <w:kern w:val="21"/>
                <w:sz w:val="21"/>
                <w:szCs w:val="21"/>
                <w:highlight w:val="none"/>
              </w:rPr>
              <w:sym w:font="Wingdings" w:char="00A8"/>
            </w:r>
          </w:p>
        </w:tc>
        <w:tc>
          <w:tcPr>
            <w:tcW w:w="1465" w:type="dxa"/>
            <w:gridSpan w:val="7"/>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附录D</w:t>
            </w:r>
          </w:p>
        </w:tc>
        <w:tc>
          <w:tcPr>
            <w:tcW w:w="1295" w:type="dxa"/>
            <w:gridSpan w:val="2"/>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其他标准</w:t>
            </w:r>
            <w:r>
              <w:rPr>
                <w:rFonts w:ascii="Times New Roman" w:hAnsi="Times New Roman" w:cs="Times New Roman" w:eastAsiaTheme="minorEastAsia"/>
                <w:color w:val="auto"/>
                <w:w w:val="99"/>
                <w:kern w:val="21"/>
                <w:sz w:val="21"/>
                <w:szCs w:val="21"/>
                <w:highlight w:val="none"/>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现状评价</w:t>
            </w: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环境功能区</w:t>
            </w:r>
          </w:p>
        </w:tc>
        <w:tc>
          <w:tcPr>
            <w:tcW w:w="2169"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一类区</w:t>
            </w:r>
            <w:r>
              <w:rPr>
                <w:rFonts w:ascii="Times New Roman" w:hAnsi="Times New Roman" w:cs="Times New Roman" w:eastAsiaTheme="minorEastAsia"/>
                <w:color w:val="auto"/>
                <w:w w:val="99"/>
                <w:kern w:val="21"/>
                <w:sz w:val="21"/>
                <w:szCs w:val="21"/>
                <w:highlight w:val="none"/>
              </w:rPr>
              <w:sym w:font="Wingdings" w:char="00A8"/>
            </w:r>
          </w:p>
        </w:tc>
        <w:tc>
          <w:tcPr>
            <w:tcW w:w="2356" w:type="dxa"/>
            <w:gridSpan w:val="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二类区</w:t>
            </w:r>
            <w:r>
              <w:rPr>
                <w:rFonts w:ascii="Times New Roman" w:hAnsi="Times New Roman" w:cs="Times New Roman" w:eastAsiaTheme="minorEastAsia"/>
                <w:color w:val="auto"/>
                <w:w w:val="99"/>
                <w:kern w:val="21"/>
                <w:sz w:val="21"/>
                <w:szCs w:val="21"/>
                <w:highlight w:val="none"/>
              </w:rPr>
              <w:sym w:font="Wingdings" w:char="00FE"/>
            </w:r>
          </w:p>
        </w:tc>
        <w:tc>
          <w:tcPr>
            <w:tcW w:w="1865"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一类区和二类区</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评价基准年</w:t>
            </w:r>
          </w:p>
        </w:tc>
        <w:tc>
          <w:tcPr>
            <w:tcW w:w="6390" w:type="dxa"/>
            <w:gridSpan w:val="1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环境空气质量</w:t>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现状调查数据来源</w:t>
            </w:r>
          </w:p>
        </w:tc>
        <w:tc>
          <w:tcPr>
            <w:tcW w:w="2169"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长期例行监测数据</w:t>
            </w:r>
            <w:r>
              <w:rPr>
                <w:rFonts w:ascii="Times New Roman" w:hAnsi="Times New Roman" w:cs="Times New Roman" w:eastAsiaTheme="minorEastAsia"/>
                <w:color w:val="auto"/>
                <w:w w:val="99"/>
                <w:kern w:val="21"/>
                <w:sz w:val="21"/>
                <w:szCs w:val="21"/>
                <w:highlight w:val="none"/>
              </w:rPr>
              <w:sym w:font="Wingdings" w:char="00A8"/>
            </w:r>
          </w:p>
        </w:tc>
        <w:tc>
          <w:tcPr>
            <w:tcW w:w="2356" w:type="dxa"/>
            <w:gridSpan w:val="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主管部门发布的数据</w:t>
            </w:r>
            <w:r>
              <w:rPr>
                <w:rFonts w:ascii="Times New Roman" w:hAnsi="Times New Roman" w:cs="Times New Roman" w:eastAsiaTheme="minorEastAsia"/>
                <w:color w:val="auto"/>
                <w:w w:val="99"/>
                <w:kern w:val="21"/>
                <w:sz w:val="21"/>
                <w:szCs w:val="21"/>
                <w:highlight w:val="none"/>
              </w:rPr>
              <w:sym w:font="Wingdings" w:char="00FE"/>
            </w:r>
          </w:p>
        </w:tc>
        <w:tc>
          <w:tcPr>
            <w:tcW w:w="1865"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现状补充监测</w:t>
            </w:r>
            <w:r>
              <w:rPr>
                <w:rFonts w:ascii="Times New Roman" w:hAnsi="Times New Roman" w:cs="Times New Roman" w:eastAsiaTheme="minorEastAsia"/>
                <w:color w:val="auto"/>
                <w:w w:val="99"/>
                <w:kern w:val="21"/>
                <w:sz w:val="21"/>
                <w:szCs w:val="21"/>
                <w:highlight w:val="none"/>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现状评价</w:t>
            </w:r>
          </w:p>
        </w:tc>
        <w:tc>
          <w:tcPr>
            <w:tcW w:w="3694" w:type="dxa"/>
            <w:gridSpan w:val="10"/>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达标区</w:t>
            </w:r>
            <w:r>
              <w:rPr>
                <w:rFonts w:ascii="Times New Roman" w:hAnsi="Times New Roman" w:cs="Times New Roman" w:eastAsiaTheme="minorEastAsia"/>
                <w:color w:val="auto"/>
                <w:w w:val="99"/>
                <w:kern w:val="21"/>
                <w:sz w:val="21"/>
                <w:szCs w:val="21"/>
                <w:highlight w:val="none"/>
              </w:rPr>
              <w:sym w:font="Wingdings" w:char="00FE"/>
            </w:r>
          </w:p>
        </w:tc>
        <w:tc>
          <w:tcPr>
            <w:tcW w:w="2696" w:type="dxa"/>
            <w:gridSpan w:val="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不达标区</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污染源</w:t>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调查</w:t>
            </w: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调查内容</w:t>
            </w:r>
          </w:p>
        </w:tc>
        <w:tc>
          <w:tcPr>
            <w:tcW w:w="2485" w:type="dxa"/>
            <w:gridSpan w:val="6"/>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建设项目正常排放源</w:t>
            </w:r>
            <w:r>
              <w:rPr>
                <w:rFonts w:ascii="Times New Roman" w:hAnsi="Times New Roman" w:cs="Times New Roman" w:eastAsiaTheme="minorEastAsia"/>
                <w:color w:val="auto"/>
                <w:w w:val="99"/>
                <w:kern w:val="21"/>
                <w:sz w:val="21"/>
                <w:szCs w:val="21"/>
                <w:highlight w:val="none"/>
              </w:rPr>
              <w:sym w:font="Wingdings" w:char="00FE"/>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建设项目非正常排放源</w:t>
            </w:r>
            <w:r>
              <w:rPr>
                <w:rFonts w:ascii="Times New Roman" w:hAnsi="Times New Roman" w:cs="Times New Roman" w:eastAsiaTheme="minorEastAsia"/>
                <w:color w:val="auto"/>
                <w:w w:val="99"/>
                <w:kern w:val="21"/>
                <w:sz w:val="21"/>
                <w:szCs w:val="21"/>
                <w:highlight w:val="none"/>
              </w:rPr>
              <w:sym w:font="Wingdings" w:char="00A8"/>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现有污染源</w:t>
            </w:r>
            <w:r>
              <w:rPr>
                <w:rFonts w:ascii="Times New Roman" w:hAnsi="Times New Roman" w:cs="Times New Roman" w:eastAsiaTheme="minorEastAsia"/>
                <w:color w:val="auto"/>
                <w:w w:val="99"/>
                <w:kern w:val="21"/>
                <w:sz w:val="21"/>
                <w:szCs w:val="21"/>
                <w:highlight w:val="none"/>
              </w:rPr>
              <w:sym w:font="Wingdings" w:char="00A8"/>
            </w:r>
          </w:p>
        </w:tc>
        <w:tc>
          <w:tcPr>
            <w:tcW w:w="1209" w:type="dxa"/>
            <w:gridSpan w:val="4"/>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拟替代的污染源</w:t>
            </w:r>
            <w:r>
              <w:rPr>
                <w:rFonts w:ascii="Times New Roman" w:hAnsi="Times New Roman" w:cs="Times New Roman" w:eastAsiaTheme="minorEastAsia"/>
                <w:color w:val="auto"/>
                <w:w w:val="99"/>
                <w:kern w:val="21"/>
                <w:sz w:val="21"/>
                <w:szCs w:val="21"/>
                <w:highlight w:val="none"/>
              </w:rPr>
              <w:sym w:font="Wingdings" w:char="00A8"/>
            </w:r>
          </w:p>
        </w:tc>
        <w:tc>
          <w:tcPr>
            <w:tcW w:w="1401" w:type="dxa"/>
            <w:gridSpan w:val="6"/>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其他在建、拟建项目污染源</w:t>
            </w:r>
            <w:r>
              <w:rPr>
                <w:rFonts w:ascii="Times New Roman" w:hAnsi="Times New Roman" w:cs="Times New Roman" w:eastAsiaTheme="minorEastAsia"/>
                <w:color w:val="auto"/>
                <w:w w:val="99"/>
                <w:kern w:val="21"/>
                <w:sz w:val="21"/>
                <w:szCs w:val="21"/>
                <w:highlight w:val="none"/>
              </w:rPr>
              <w:sym w:font="Wingdings" w:char="00A8"/>
            </w:r>
          </w:p>
        </w:tc>
        <w:tc>
          <w:tcPr>
            <w:tcW w:w="1295" w:type="dxa"/>
            <w:gridSpan w:val="2"/>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区域污染源</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大气环境影响预测与评价</w:t>
            </w: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预测模型</w:t>
            </w:r>
          </w:p>
        </w:tc>
        <w:tc>
          <w:tcPr>
            <w:tcW w:w="1150"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AERMOD</w:t>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sym w:font="Wingdings" w:char="00A8"/>
            </w:r>
          </w:p>
        </w:tc>
        <w:tc>
          <w:tcPr>
            <w:tcW w:w="825" w:type="dxa"/>
            <w:gridSpan w:val="3"/>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ADMS</w:t>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sym w:font="Wingdings" w:char="00A8"/>
            </w:r>
          </w:p>
        </w:tc>
        <w:tc>
          <w:tcPr>
            <w:tcW w:w="1500" w:type="dxa"/>
            <w:gridSpan w:val="4"/>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AUSTAL2000</w:t>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sym w:font="Wingdings" w:char="00A8"/>
            </w:r>
          </w:p>
        </w:tc>
        <w:tc>
          <w:tcPr>
            <w:tcW w:w="975" w:type="dxa"/>
            <w:gridSpan w:val="4"/>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EDMS</w:t>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sym w:font="Wingdings" w:char="00A8"/>
            </w:r>
          </w:p>
        </w:tc>
        <w:tc>
          <w:tcPr>
            <w:tcW w:w="1290"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CALPUFF</w:t>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sym w:font="Wingdings" w:char="00A8"/>
            </w:r>
          </w:p>
        </w:tc>
        <w:tc>
          <w:tcPr>
            <w:tcW w:w="650"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其他</w:t>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预测范围</w:t>
            </w:r>
          </w:p>
        </w:tc>
        <w:tc>
          <w:tcPr>
            <w:tcW w:w="2169"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边长</w:t>
            </w:r>
            <w:r>
              <w:rPr>
                <w:rFonts w:hint="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50km</w:t>
            </w:r>
            <w:r>
              <w:rPr>
                <w:rFonts w:ascii="Times New Roman" w:hAnsi="Times New Roman" w:cs="Times New Roman" w:eastAsiaTheme="minorEastAsia"/>
                <w:color w:val="auto"/>
                <w:w w:val="99"/>
                <w:kern w:val="21"/>
                <w:sz w:val="21"/>
                <w:szCs w:val="21"/>
                <w:highlight w:val="none"/>
              </w:rPr>
              <w:sym w:font="Wingdings" w:char="00A8"/>
            </w:r>
          </w:p>
        </w:tc>
        <w:tc>
          <w:tcPr>
            <w:tcW w:w="2281" w:type="dxa"/>
            <w:gridSpan w:val="7"/>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边长5~50km</w:t>
            </w:r>
            <w:r>
              <w:rPr>
                <w:rFonts w:ascii="Times New Roman" w:hAnsi="Times New Roman" w:cs="Times New Roman" w:eastAsiaTheme="minorEastAsia"/>
                <w:color w:val="auto"/>
                <w:w w:val="99"/>
                <w:kern w:val="21"/>
                <w:sz w:val="21"/>
                <w:szCs w:val="21"/>
                <w:highlight w:val="none"/>
              </w:rPr>
              <w:sym w:font="Wingdings" w:char="00A8"/>
            </w:r>
          </w:p>
        </w:tc>
        <w:tc>
          <w:tcPr>
            <w:tcW w:w="1940" w:type="dxa"/>
            <w:gridSpan w:val="6"/>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边长&lt;5km</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预测因子</w:t>
            </w:r>
          </w:p>
        </w:tc>
        <w:tc>
          <w:tcPr>
            <w:tcW w:w="3032" w:type="dxa"/>
            <w:gridSpan w:val="7"/>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预测因子</w:t>
            </w:r>
          </w:p>
        </w:tc>
        <w:tc>
          <w:tcPr>
            <w:tcW w:w="3358" w:type="dxa"/>
            <w:gridSpan w:val="11"/>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包括二次PM</w:t>
            </w:r>
            <w:r>
              <w:rPr>
                <w:rFonts w:ascii="Times New Roman" w:hAnsi="Times New Roman" w:cs="Times New Roman" w:eastAsiaTheme="minorEastAsia"/>
                <w:color w:val="auto"/>
                <w:w w:val="99"/>
                <w:kern w:val="21"/>
                <w:sz w:val="21"/>
                <w:szCs w:val="21"/>
                <w:highlight w:val="none"/>
                <w:vertAlign w:val="subscript"/>
              </w:rPr>
              <w:t>2.5</w:t>
            </w:r>
            <w:r>
              <w:rPr>
                <w:rFonts w:ascii="Times New Roman" w:hAnsi="Times New Roman" w:cs="Times New Roman" w:eastAsiaTheme="minorEastAsia"/>
                <w:color w:val="auto"/>
                <w:w w:val="99"/>
                <w:kern w:val="21"/>
                <w:sz w:val="21"/>
                <w:szCs w:val="21"/>
                <w:highlight w:val="none"/>
              </w:rPr>
              <w:sym w:font="Wingdings" w:char="00A8"/>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不包括二次PM</w:t>
            </w:r>
            <w:r>
              <w:rPr>
                <w:rFonts w:ascii="Times New Roman" w:hAnsi="Times New Roman" w:cs="Times New Roman" w:eastAsiaTheme="minorEastAsia"/>
                <w:color w:val="auto"/>
                <w:w w:val="99"/>
                <w:kern w:val="21"/>
                <w:sz w:val="21"/>
                <w:szCs w:val="21"/>
                <w:highlight w:val="none"/>
                <w:vertAlign w:val="subscript"/>
              </w:rPr>
              <w:t>2.5</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正常排放短期浓度贡献值</w:t>
            </w:r>
          </w:p>
        </w:tc>
        <w:tc>
          <w:tcPr>
            <w:tcW w:w="3032" w:type="dxa"/>
            <w:gridSpan w:val="7"/>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vertAlign w:val="subscript"/>
              </w:rPr>
              <w:t>建设项目</w:t>
            </w:r>
            <w:r>
              <w:rPr>
                <w:rFonts w:ascii="Times New Roman" w:hAnsi="Times New Roman" w:cs="Times New Roman" w:eastAsiaTheme="minorEastAsia"/>
                <w:color w:val="auto"/>
                <w:w w:val="99"/>
                <w:kern w:val="21"/>
                <w:sz w:val="21"/>
                <w:szCs w:val="21"/>
                <w:highlight w:val="none"/>
              </w:rPr>
              <w:t>最大占标率</w:t>
            </w:r>
            <w:r>
              <w:rPr>
                <w:rFonts w:hint="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100%</w:t>
            </w:r>
            <w:r>
              <w:rPr>
                <w:rFonts w:ascii="Times New Roman" w:hAnsi="Times New Roman" w:cs="Times New Roman" w:eastAsiaTheme="minorEastAsia"/>
                <w:color w:val="auto"/>
                <w:w w:val="99"/>
                <w:kern w:val="21"/>
                <w:sz w:val="21"/>
                <w:szCs w:val="21"/>
                <w:highlight w:val="none"/>
              </w:rPr>
              <w:sym w:font="Wingdings" w:char="00A8"/>
            </w:r>
          </w:p>
        </w:tc>
        <w:tc>
          <w:tcPr>
            <w:tcW w:w="3358" w:type="dxa"/>
            <w:gridSpan w:val="11"/>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vertAlign w:val="subscript"/>
              </w:rPr>
              <w:t>建设项目</w:t>
            </w:r>
            <w:r>
              <w:rPr>
                <w:rFonts w:ascii="Times New Roman" w:hAnsi="Times New Roman" w:cs="Times New Roman" w:eastAsiaTheme="minorEastAsia"/>
                <w:color w:val="auto"/>
                <w:w w:val="99"/>
                <w:kern w:val="21"/>
                <w:sz w:val="21"/>
                <w:szCs w:val="21"/>
                <w:highlight w:val="none"/>
              </w:rPr>
              <w:t>最大占标率&gt;100%</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Merge w:val="restart"/>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正常排放年均浓度贡献值</w:t>
            </w:r>
          </w:p>
        </w:tc>
        <w:tc>
          <w:tcPr>
            <w:tcW w:w="1773" w:type="dxa"/>
            <w:gridSpan w:val="3"/>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一类区</w:t>
            </w:r>
          </w:p>
        </w:tc>
        <w:tc>
          <w:tcPr>
            <w:tcW w:w="2505" w:type="dxa"/>
            <w:gridSpan w:val="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vertAlign w:val="subscript"/>
              </w:rPr>
              <w:t>建设项目</w:t>
            </w:r>
            <w:r>
              <w:rPr>
                <w:rFonts w:ascii="Times New Roman" w:hAnsi="Times New Roman" w:cs="Times New Roman" w:eastAsiaTheme="minorEastAsia"/>
                <w:color w:val="auto"/>
                <w:w w:val="99"/>
                <w:kern w:val="21"/>
                <w:sz w:val="21"/>
                <w:szCs w:val="21"/>
                <w:highlight w:val="none"/>
              </w:rPr>
              <w:t>最大占标率</w:t>
            </w:r>
            <w:r>
              <w:rPr>
                <w:rFonts w:hint="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10%</w:t>
            </w:r>
            <w:r>
              <w:rPr>
                <w:rFonts w:ascii="Times New Roman" w:hAnsi="Times New Roman" w:cs="Times New Roman" w:eastAsiaTheme="minorEastAsia"/>
                <w:color w:val="auto"/>
                <w:w w:val="99"/>
                <w:kern w:val="21"/>
                <w:sz w:val="21"/>
                <w:szCs w:val="21"/>
                <w:highlight w:val="none"/>
              </w:rPr>
              <w:sym w:font="Wingdings" w:char="00A8"/>
            </w:r>
          </w:p>
        </w:tc>
        <w:tc>
          <w:tcPr>
            <w:tcW w:w="2112" w:type="dxa"/>
            <w:gridSpan w:val="7"/>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vertAlign w:val="subscript"/>
              </w:rPr>
              <w:t>建设项目</w:t>
            </w:r>
            <w:r>
              <w:rPr>
                <w:rFonts w:ascii="Times New Roman" w:hAnsi="Times New Roman" w:cs="Times New Roman" w:eastAsiaTheme="minorEastAsia"/>
                <w:color w:val="auto"/>
                <w:w w:val="99"/>
                <w:kern w:val="21"/>
                <w:sz w:val="21"/>
                <w:szCs w:val="21"/>
                <w:highlight w:val="none"/>
              </w:rPr>
              <w:t>最大占标率＞10%</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773" w:type="dxa"/>
            <w:gridSpan w:val="3"/>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二类区</w:t>
            </w:r>
          </w:p>
        </w:tc>
        <w:tc>
          <w:tcPr>
            <w:tcW w:w="2505" w:type="dxa"/>
            <w:gridSpan w:val="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vertAlign w:val="subscript"/>
              </w:rPr>
              <w:t>建设项目</w:t>
            </w:r>
            <w:r>
              <w:rPr>
                <w:rFonts w:ascii="Times New Roman" w:hAnsi="Times New Roman" w:cs="Times New Roman" w:eastAsiaTheme="minorEastAsia"/>
                <w:color w:val="auto"/>
                <w:w w:val="99"/>
                <w:kern w:val="21"/>
                <w:sz w:val="21"/>
                <w:szCs w:val="21"/>
                <w:highlight w:val="none"/>
              </w:rPr>
              <w:t>最大占标率</w:t>
            </w:r>
            <w:r>
              <w:rPr>
                <w:rFonts w:hint="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30%</w:t>
            </w:r>
            <w:r>
              <w:rPr>
                <w:rFonts w:ascii="Times New Roman" w:hAnsi="Times New Roman" w:cs="Times New Roman" w:eastAsiaTheme="minorEastAsia"/>
                <w:color w:val="auto"/>
                <w:w w:val="99"/>
                <w:kern w:val="21"/>
                <w:sz w:val="21"/>
                <w:szCs w:val="21"/>
                <w:highlight w:val="none"/>
              </w:rPr>
              <w:sym w:font="Wingdings" w:char="00A8"/>
            </w:r>
          </w:p>
        </w:tc>
        <w:tc>
          <w:tcPr>
            <w:tcW w:w="2112" w:type="dxa"/>
            <w:gridSpan w:val="7"/>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vertAlign w:val="subscript"/>
              </w:rPr>
              <w:t>建设项目</w:t>
            </w:r>
            <w:r>
              <w:rPr>
                <w:rFonts w:ascii="Times New Roman" w:hAnsi="Times New Roman" w:cs="Times New Roman" w:eastAsiaTheme="minorEastAsia"/>
                <w:color w:val="auto"/>
                <w:w w:val="99"/>
                <w:kern w:val="21"/>
                <w:sz w:val="21"/>
                <w:szCs w:val="21"/>
                <w:highlight w:val="none"/>
              </w:rPr>
              <w:t>最大占标率＞30%</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非正常排放1h浓度贡献值</w:t>
            </w:r>
          </w:p>
        </w:tc>
        <w:tc>
          <w:tcPr>
            <w:tcW w:w="2169"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非正常持续时长（）h</w:t>
            </w:r>
          </w:p>
        </w:tc>
        <w:tc>
          <w:tcPr>
            <w:tcW w:w="2356" w:type="dxa"/>
            <w:gridSpan w:val="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C非正常占标率</w:t>
            </w:r>
            <w:r>
              <w:rPr>
                <w:rFonts w:hint="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100%</w:t>
            </w:r>
            <w:r>
              <w:rPr>
                <w:rFonts w:ascii="Times New Roman" w:hAnsi="Times New Roman" w:cs="Times New Roman" w:eastAsiaTheme="minorEastAsia"/>
                <w:color w:val="auto"/>
                <w:w w:val="99"/>
                <w:kern w:val="21"/>
                <w:sz w:val="21"/>
                <w:szCs w:val="21"/>
                <w:highlight w:val="none"/>
              </w:rPr>
              <w:sym w:font="Wingdings" w:char="00A8"/>
            </w:r>
          </w:p>
        </w:tc>
        <w:tc>
          <w:tcPr>
            <w:tcW w:w="1865"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C非正常占标率&gt;100%</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保证率日平均浓度和年评价浓度叠加值</w:t>
            </w:r>
          </w:p>
        </w:tc>
        <w:tc>
          <w:tcPr>
            <w:tcW w:w="3032" w:type="dxa"/>
            <w:gridSpan w:val="7"/>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C叠加达标</w:t>
            </w:r>
            <w:r>
              <w:rPr>
                <w:rFonts w:ascii="Times New Roman" w:hAnsi="Times New Roman" w:cs="Times New Roman" w:eastAsiaTheme="minorEastAsia"/>
                <w:color w:val="auto"/>
                <w:w w:val="99"/>
                <w:kern w:val="21"/>
                <w:sz w:val="21"/>
                <w:szCs w:val="21"/>
                <w:highlight w:val="none"/>
              </w:rPr>
              <w:sym w:font="Wingdings" w:char="00A8"/>
            </w:r>
          </w:p>
        </w:tc>
        <w:tc>
          <w:tcPr>
            <w:tcW w:w="3358" w:type="dxa"/>
            <w:gridSpan w:val="11"/>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C叠加不达标</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区域环境质量的整体变化情况</w:t>
            </w:r>
          </w:p>
        </w:tc>
        <w:tc>
          <w:tcPr>
            <w:tcW w:w="3032" w:type="dxa"/>
            <w:gridSpan w:val="7"/>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k</w:t>
            </w:r>
            <w:r>
              <w:rPr>
                <w:rFonts w:hint="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-20%</w:t>
            </w:r>
            <w:r>
              <w:rPr>
                <w:rFonts w:ascii="Times New Roman" w:hAnsi="Times New Roman" w:cs="Times New Roman" w:eastAsiaTheme="minorEastAsia"/>
                <w:color w:val="auto"/>
                <w:w w:val="99"/>
                <w:kern w:val="21"/>
                <w:sz w:val="21"/>
                <w:szCs w:val="21"/>
                <w:highlight w:val="none"/>
              </w:rPr>
              <w:sym w:font="Wingdings" w:char="00A8"/>
            </w:r>
          </w:p>
        </w:tc>
        <w:tc>
          <w:tcPr>
            <w:tcW w:w="3358" w:type="dxa"/>
            <w:gridSpan w:val="11"/>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K&gt;-20%</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环境监测计划</w:t>
            </w: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污染源监测</w:t>
            </w:r>
          </w:p>
        </w:tc>
        <w:tc>
          <w:tcPr>
            <w:tcW w:w="3032" w:type="dxa"/>
            <w:gridSpan w:val="7"/>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无</w:t>
            </w:r>
          </w:p>
        </w:tc>
        <w:tc>
          <w:tcPr>
            <w:tcW w:w="1936" w:type="dxa"/>
            <w:gridSpan w:val="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有组织废气监测</w:t>
            </w:r>
            <w:r>
              <w:rPr>
                <w:rFonts w:ascii="Times New Roman" w:hAnsi="Times New Roman" w:cs="Times New Roman" w:eastAsiaTheme="minorEastAsia"/>
                <w:color w:val="auto"/>
                <w:w w:val="99"/>
                <w:kern w:val="21"/>
                <w:sz w:val="21"/>
                <w:szCs w:val="21"/>
                <w:highlight w:val="none"/>
              </w:rPr>
              <w:sym w:font="Wingdings" w:char="00A8"/>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无组织废气监测</w:t>
            </w:r>
            <w:r>
              <w:rPr>
                <w:rFonts w:ascii="Times New Roman" w:hAnsi="Times New Roman" w:cs="Times New Roman" w:eastAsiaTheme="minorEastAsia"/>
                <w:color w:val="auto"/>
                <w:w w:val="99"/>
                <w:kern w:val="21"/>
                <w:sz w:val="21"/>
                <w:szCs w:val="21"/>
                <w:highlight w:val="none"/>
              </w:rPr>
              <w:sym w:font="Wingdings" w:char="00A8"/>
            </w:r>
          </w:p>
        </w:tc>
        <w:tc>
          <w:tcPr>
            <w:tcW w:w="1422" w:type="dxa"/>
            <w:gridSpan w:val="3"/>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无监测</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环境质量监测</w:t>
            </w:r>
          </w:p>
        </w:tc>
        <w:tc>
          <w:tcPr>
            <w:tcW w:w="3032" w:type="dxa"/>
            <w:gridSpan w:val="7"/>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监测因子：（）</w:t>
            </w:r>
          </w:p>
        </w:tc>
        <w:tc>
          <w:tcPr>
            <w:tcW w:w="1936" w:type="dxa"/>
            <w:gridSpan w:val="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监测点位数（）</w:t>
            </w:r>
          </w:p>
        </w:tc>
        <w:tc>
          <w:tcPr>
            <w:tcW w:w="1422" w:type="dxa"/>
            <w:gridSpan w:val="3"/>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无监测</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环评结论</w:t>
            </w: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环境影响</w:t>
            </w:r>
          </w:p>
        </w:tc>
        <w:tc>
          <w:tcPr>
            <w:tcW w:w="6390" w:type="dxa"/>
            <w:gridSpan w:val="1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可以接受</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不可以接受</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大气防护距离</w:t>
            </w:r>
          </w:p>
        </w:tc>
        <w:tc>
          <w:tcPr>
            <w:tcW w:w="6390" w:type="dxa"/>
            <w:gridSpan w:val="1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距（）厂界最远（）m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污染源</w:t>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年排放量</w:t>
            </w:r>
          </w:p>
        </w:tc>
        <w:tc>
          <w:tcPr>
            <w:tcW w:w="1638" w:type="dxa"/>
            <w:gridSpan w:val="2"/>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NOx：（）t/a</w:t>
            </w:r>
          </w:p>
        </w:tc>
        <w:tc>
          <w:tcPr>
            <w:tcW w:w="1394"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CO：（）t/a</w:t>
            </w:r>
          </w:p>
        </w:tc>
        <w:tc>
          <w:tcPr>
            <w:tcW w:w="1696" w:type="dxa"/>
            <w:gridSpan w:val="7"/>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颗粒物：（）t/a</w:t>
            </w:r>
          </w:p>
        </w:tc>
        <w:tc>
          <w:tcPr>
            <w:tcW w:w="1662" w:type="dxa"/>
            <w:gridSpan w:val="4"/>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NMHC：（）t/a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gridSpan w:val="20"/>
            <w:vAlign w:val="center"/>
          </w:tcPr>
          <w:p>
            <w:pPr>
              <w:widowControl w:val="0"/>
              <w:spacing w:line="280" w:lineRule="exact"/>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注：“</w:t>
            </w:r>
            <w:r>
              <w:rPr>
                <w:rFonts w:ascii="Times New Roman" w:hAnsi="Times New Roman" w:cs="Times New Roman" w:eastAsiaTheme="minorEastAsia"/>
                <w:color w:val="auto"/>
                <w:w w:val="99"/>
                <w:kern w:val="21"/>
                <w:sz w:val="21"/>
                <w:szCs w:val="21"/>
                <w:highlight w:val="none"/>
              </w:rPr>
              <w:sym w:font="Wingdings" w:char="00A8"/>
            </w:r>
            <w:r>
              <w:rPr>
                <w:rFonts w:ascii="Times New Roman" w:hAnsi="Times New Roman" w:cs="Times New Roman" w:eastAsiaTheme="minorEastAsia"/>
                <w:color w:val="auto"/>
                <w:w w:val="99"/>
                <w:kern w:val="21"/>
                <w:sz w:val="21"/>
                <w:szCs w:val="21"/>
                <w:highlight w:val="none"/>
              </w:rPr>
              <w:t>”为勾选项，填“√”；“（）”为内容填写项</w:t>
            </w:r>
          </w:p>
        </w:tc>
      </w:tr>
    </w:tbl>
    <w:p>
      <w:pPr>
        <w:adjustRightInd w:val="0"/>
        <w:snapToGrid w:val="0"/>
        <w:spacing w:after="200" w:line="360" w:lineRule="auto"/>
        <w:jc w:val="both"/>
        <w:rPr>
          <w:rFonts w:ascii="Times New Roman" w:hAnsi="Times New Roman" w:cs="Times New Roman" w:eastAsiaTheme="minorEastAsia"/>
          <w:bCs/>
          <w:color w:val="auto"/>
          <w:w w:val="99"/>
          <w:kern w:val="21"/>
          <w:highlight w:val="none"/>
          <w:lang w:bidi="ar"/>
        </w:rPr>
      </w:pPr>
      <w:bookmarkStart w:id="1670" w:name="_Toc16217"/>
      <w:bookmarkStart w:id="1671" w:name="_Toc6995251"/>
      <w:bookmarkStart w:id="1672" w:name="_Toc13942_WPSOffice_Level1"/>
      <w:bookmarkStart w:id="1673" w:name="_Toc15833342"/>
    </w:p>
    <w:p>
      <w:pPr>
        <w:widowControl w:val="0"/>
        <w:adjustRightInd w:val="0"/>
        <w:snapToGrid w:val="0"/>
        <w:spacing w:line="440" w:lineRule="exact"/>
        <w:jc w:val="both"/>
        <w:rPr>
          <w:rFonts w:ascii="Times New Roman" w:hAnsi="Times New Roman" w:cs="Times New Roman" w:eastAsiaTheme="minorEastAsia"/>
          <w:color w:val="auto"/>
          <w:w w:val="99"/>
          <w:kern w:val="21"/>
          <w:highlight w:val="none"/>
        </w:rPr>
      </w:pPr>
      <w:bookmarkStart w:id="1674" w:name="_Toc28243"/>
      <w:r>
        <w:rPr>
          <w:rFonts w:ascii="Times New Roman" w:hAnsi="Times New Roman" w:cs="Times New Roman" w:eastAsiaTheme="minorEastAsia"/>
          <w:color w:val="auto"/>
          <w:w w:val="99"/>
          <w:kern w:val="21"/>
          <w:highlight w:val="none"/>
        </w:rPr>
        <w:t>附表2：建设项目环境风险评价自查表</w:t>
      </w:r>
      <w:bookmarkEnd w:id="1670"/>
      <w:bookmarkEnd w:id="1671"/>
      <w:bookmarkEnd w:id="1672"/>
      <w:bookmarkEnd w:id="1673"/>
      <w:bookmarkEnd w:id="1674"/>
    </w:p>
    <w:tbl>
      <w:tblPr>
        <w:tblStyle w:val="8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8"/>
        <w:gridCol w:w="1212"/>
        <w:gridCol w:w="1076"/>
        <w:gridCol w:w="431"/>
        <w:gridCol w:w="634"/>
        <w:gridCol w:w="855"/>
        <w:gridCol w:w="1290"/>
        <w:gridCol w:w="692"/>
        <w:gridCol w:w="808"/>
        <w:gridCol w:w="1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工作内容</w:t>
            </w:r>
          </w:p>
        </w:tc>
        <w:tc>
          <w:tcPr>
            <w:tcW w:w="7291" w:type="dxa"/>
            <w:gridSpan w:val="8"/>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完成情况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restar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风险调查</w:t>
            </w:r>
          </w:p>
        </w:tc>
        <w:tc>
          <w:tcPr>
            <w:tcW w:w="1212" w:type="dxa"/>
            <w:vMerge w:val="restart"/>
            <w:tcBorders>
              <w:top w:val="single" w:color="auto" w:sz="4" w:space="0"/>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危险物质</w:t>
            </w:r>
          </w:p>
        </w:tc>
        <w:tc>
          <w:tcPr>
            <w:tcW w:w="1076"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名称</w:t>
            </w:r>
          </w:p>
        </w:tc>
        <w:tc>
          <w:tcPr>
            <w:tcW w:w="192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KOH</w:t>
            </w:r>
          </w:p>
        </w:tc>
        <w:tc>
          <w:tcPr>
            <w:tcW w:w="1290"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柴油</w:t>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212" w:type="dxa"/>
            <w:vMerge w:val="continue"/>
            <w:tcBorders>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076"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存在总量</w:t>
            </w:r>
          </w:p>
        </w:tc>
        <w:tc>
          <w:tcPr>
            <w:tcW w:w="192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lang w:val="en-US" w:eastAsia="zh-CN"/>
              </w:rPr>
              <w:t>0.00352</w:t>
            </w:r>
            <w:r>
              <w:rPr>
                <w:rFonts w:ascii="Times New Roman" w:hAnsi="Times New Roman" w:cs="Times New Roman" w:eastAsiaTheme="minorEastAsia"/>
                <w:color w:val="auto"/>
                <w:w w:val="99"/>
                <w:kern w:val="21"/>
                <w:sz w:val="21"/>
                <w:szCs w:val="21"/>
                <w:highlight w:val="none"/>
              </w:rPr>
              <w:t>t</w:t>
            </w:r>
          </w:p>
        </w:tc>
        <w:tc>
          <w:tcPr>
            <w:tcW w:w="1290"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lang w:val="en-US" w:eastAsia="zh-CN"/>
              </w:rPr>
              <w:t>4</w:t>
            </w:r>
            <w:r>
              <w:rPr>
                <w:rFonts w:ascii="Times New Roman" w:hAnsi="Times New Roman" w:cs="Times New Roman" w:eastAsiaTheme="minorEastAsia"/>
                <w:color w:val="auto"/>
                <w:w w:val="99"/>
                <w:kern w:val="21"/>
                <w:sz w:val="21"/>
                <w:szCs w:val="21"/>
                <w:highlight w:val="none"/>
              </w:rPr>
              <w:t>0t</w:t>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212" w:type="dxa"/>
            <w:vMerge w:val="restart"/>
            <w:tcBorders>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环境</w:t>
            </w:r>
          </w:p>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敏感性</w:t>
            </w:r>
          </w:p>
        </w:tc>
        <w:tc>
          <w:tcPr>
            <w:tcW w:w="1076" w:type="dxa"/>
            <w:vMerge w:val="restart"/>
            <w:tcBorders>
              <w:top w:val="single" w:color="auto" w:sz="4" w:space="0"/>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大气</w:t>
            </w:r>
          </w:p>
        </w:tc>
        <w:tc>
          <w:tcPr>
            <w:tcW w:w="3210" w:type="dxa"/>
            <w:gridSpan w:val="4"/>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500m范围内人口数</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人</w:t>
            </w:r>
          </w:p>
        </w:tc>
        <w:tc>
          <w:tcPr>
            <w:tcW w:w="3005"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5km范围内人口数</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212" w:type="dxa"/>
            <w:vMerge w:val="continue"/>
            <w:tcBorders>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076" w:type="dxa"/>
            <w:vMerge w:val="continue"/>
            <w:tcBorders>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4710" w:type="dxa"/>
            <w:gridSpan w:val="6"/>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每公里管段周边200m范围内人口数（最大）</w:t>
            </w: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212" w:type="dxa"/>
            <w:vMerge w:val="continue"/>
            <w:tcBorders>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076" w:type="dxa"/>
            <w:vMerge w:val="restart"/>
            <w:tcBorders>
              <w:top w:val="single" w:color="auto" w:sz="4" w:space="0"/>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地表水</w:t>
            </w:r>
          </w:p>
        </w:tc>
        <w:tc>
          <w:tcPr>
            <w:tcW w:w="192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地表水功能敏感性</w:t>
            </w:r>
          </w:p>
        </w:tc>
        <w:tc>
          <w:tcPr>
            <w:tcW w:w="1290"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F1</w:t>
            </w:r>
            <w:r>
              <w:rPr>
                <w:rFonts w:ascii="Times New Roman" w:hAnsi="Times New Roman" w:cs="Times New Roman" w:eastAsiaTheme="minorEastAsia"/>
                <w:color w:val="auto"/>
                <w:w w:val="99"/>
                <w:kern w:val="21"/>
                <w:sz w:val="21"/>
                <w:szCs w:val="21"/>
                <w:highlight w:val="none"/>
              </w:rPr>
              <w:sym w:font="Wingdings" w:char="00A8"/>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F2</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F3</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212" w:type="dxa"/>
            <w:vMerge w:val="continue"/>
            <w:tcBorders>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076" w:type="dxa"/>
            <w:vMerge w:val="continue"/>
            <w:tcBorders>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92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环境敏感目标分级</w:t>
            </w:r>
          </w:p>
        </w:tc>
        <w:tc>
          <w:tcPr>
            <w:tcW w:w="1290"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S1</w:t>
            </w:r>
            <w:r>
              <w:rPr>
                <w:rFonts w:ascii="Times New Roman" w:hAnsi="Times New Roman" w:cs="Times New Roman" w:eastAsiaTheme="minorEastAsia"/>
                <w:color w:val="auto"/>
                <w:w w:val="99"/>
                <w:kern w:val="21"/>
                <w:sz w:val="21"/>
                <w:szCs w:val="21"/>
                <w:highlight w:val="none"/>
              </w:rPr>
              <w:sym w:font="Wingdings" w:char="00A8"/>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S2</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S3</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212" w:type="dxa"/>
            <w:vMerge w:val="continue"/>
            <w:tcBorders>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076" w:type="dxa"/>
            <w:vMerge w:val="restart"/>
            <w:tcBorders>
              <w:top w:val="single" w:color="auto" w:sz="4" w:space="0"/>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地下水</w:t>
            </w:r>
          </w:p>
        </w:tc>
        <w:tc>
          <w:tcPr>
            <w:tcW w:w="192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地下水功能敏感性</w:t>
            </w:r>
          </w:p>
        </w:tc>
        <w:tc>
          <w:tcPr>
            <w:tcW w:w="1290"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G1</w:t>
            </w:r>
            <w:r>
              <w:rPr>
                <w:rFonts w:ascii="Times New Roman" w:hAnsi="Times New Roman" w:cs="Times New Roman" w:eastAsiaTheme="minorEastAsia"/>
                <w:color w:val="auto"/>
                <w:w w:val="99"/>
                <w:kern w:val="21"/>
                <w:sz w:val="21"/>
                <w:szCs w:val="21"/>
                <w:highlight w:val="none"/>
              </w:rPr>
              <w:sym w:font="Wingdings" w:char="00A8"/>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G2</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G3</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212" w:type="dxa"/>
            <w:vMerge w:val="continue"/>
            <w:tcBorders>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076" w:type="dxa"/>
            <w:vMerge w:val="continue"/>
            <w:tcBorders>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92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包气带防污性能</w:t>
            </w:r>
          </w:p>
        </w:tc>
        <w:tc>
          <w:tcPr>
            <w:tcW w:w="1290"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D1</w:t>
            </w:r>
            <w:r>
              <w:rPr>
                <w:rFonts w:ascii="Times New Roman" w:hAnsi="Times New Roman" w:cs="Times New Roman" w:eastAsiaTheme="minorEastAsia"/>
                <w:color w:val="auto"/>
                <w:w w:val="99"/>
                <w:kern w:val="21"/>
                <w:sz w:val="21"/>
                <w:szCs w:val="21"/>
                <w:highlight w:val="none"/>
              </w:rPr>
              <w:sym w:font="Wingdings" w:char="00A8"/>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D2</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D3</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vMerge w:val="restart"/>
            <w:tcBorders>
              <w:top w:val="single" w:color="auto" w:sz="4" w:space="0"/>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物质及工艺系数危险性</w:t>
            </w:r>
          </w:p>
        </w:tc>
        <w:tc>
          <w:tcPr>
            <w:tcW w:w="1076"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Q值</w:t>
            </w:r>
          </w:p>
        </w:tc>
        <w:tc>
          <w:tcPr>
            <w:tcW w:w="192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Q＜1</w:t>
            </w:r>
            <w:r>
              <w:rPr>
                <w:rFonts w:ascii="Times New Roman" w:hAnsi="Times New Roman" w:cs="Times New Roman" w:eastAsiaTheme="minorEastAsia"/>
                <w:color w:val="auto"/>
                <w:w w:val="99"/>
                <w:sz w:val="18"/>
                <w:szCs w:val="18"/>
                <w:highlight w:val="none"/>
              </w:rPr>
              <w:sym w:font="Wingdings" w:char="00FE"/>
            </w:r>
          </w:p>
        </w:tc>
        <w:tc>
          <w:tcPr>
            <w:tcW w:w="1290"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1≤Q＜10</w:t>
            </w:r>
            <w:r>
              <w:rPr>
                <w:rFonts w:ascii="Times New Roman" w:hAnsi="Times New Roman" w:cs="Times New Roman" w:eastAsiaTheme="minorEastAsia"/>
                <w:color w:val="auto"/>
                <w:w w:val="99"/>
                <w:kern w:val="21"/>
                <w:sz w:val="21"/>
                <w:szCs w:val="21"/>
                <w:highlight w:val="none"/>
              </w:rPr>
              <w:sym w:font="Wingdings" w:char="00A8"/>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10≤Q＜100</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Q＞100</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vMerge w:val="continue"/>
            <w:tcBorders>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076"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M值</w:t>
            </w:r>
          </w:p>
        </w:tc>
        <w:tc>
          <w:tcPr>
            <w:tcW w:w="192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M1</w:t>
            </w:r>
            <w:r>
              <w:rPr>
                <w:rFonts w:ascii="Times New Roman" w:hAnsi="Times New Roman" w:cs="Times New Roman" w:eastAsiaTheme="minorEastAsia"/>
                <w:color w:val="auto"/>
                <w:w w:val="99"/>
                <w:kern w:val="21"/>
                <w:sz w:val="21"/>
                <w:szCs w:val="21"/>
                <w:highlight w:val="none"/>
              </w:rPr>
              <w:sym w:font="Wingdings" w:char="00A8"/>
            </w:r>
          </w:p>
        </w:tc>
        <w:tc>
          <w:tcPr>
            <w:tcW w:w="1290"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M2</w:t>
            </w:r>
            <w:r>
              <w:rPr>
                <w:rFonts w:ascii="Times New Roman" w:hAnsi="Times New Roman" w:cs="Times New Roman" w:eastAsiaTheme="minorEastAsia"/>
                <w:color w:val="auto"/>
                <w:w w:val="99"/>
                <w:kern w:val="21"/>
                <w:sz w:val="21"/>
                <w:szCs w:val="21"/>
                <w:highlight w:val="none"/>
              </w:rPr>
              <w:sym w:font="Wingdings" w:char="00A8"/>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M3</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M4</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vMerge w:val="continue"/>
            <w:tcBorders>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076"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P值</w:t>
            </w:r>
          </w:p>
        </w:tc>
        <w:tc>
          <w:tcPr>
            <w:tcW w:w="192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P1</w:t>
            </w:r>
            <w:r>
              <w:rPr>
                <w:rFonts w:ascii="Times New Roman" w:hAnsi="Times New Roman" w:cs="Times New Roman" w:eastAsiaTheme="minorEastAsia"/>
                <w:color w:val="auto"/>
                <w:w w:val="99"/>
                <w:kern w:val="21"/>
                <w:sz w:val="21"/>
                <w:szCs w:val="21"/>
                <w:highlight w:val="none"/>
              </w:rPr>
              <w:sym w:font="Wingdings" w:char="00A8"/>
            </w:r>
          </w:p>
        </w:tc>
        <w:tc>
          <w:tcPr>
            <w:tcW w:w="1290"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P2</w:t>
            </w:r>
            <w:r>
              <w:rPr>
                <w:rFonts w:ascii="Times New Roman" w:hAnsi="Times New Roman" w:cs="Times New Roman" w:eastAsiaTheme="minorEastAsia"/>
                <w:color w:val="auto"/>
                <w:w w:val="99"/>
                <w:kern w:val="21"/>
                <w:sz w:val="21"/>
                <w:szCs w:val="21"/>
                <w:highlight w:val="none"/>
              </w:rPr>
              <w:sym w:font="Wingdings" w:char="00A8"/>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P3</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P4</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环境风险潜势</w:t>
            </w:r>
          </w:p>
        </w:tc>
        <w:tc>
          <w:tcPr>
            <w:tcW w:w="1507"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hint="eastAsia"/>
                <w:color w:val="auto"/>
                <w:w w:val="99"/>
                <w:kern w:val="21"/>
                <w:sz w:val="21"/>
                <w:szCs w:val="21"/>
                <w:highlight w:val="none"/>
              </w:rPr>
              <w:t>Ⅳ</w:t>
            </w:r>
            <w:r>
              <w:rPr>
                <w:rFonts w:ascii="Times New Roman" w:hAnsi="Times New Roman" w:cs="Times New Roman" w:eastAsiaTheme="minor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sym w:font="Wingdings" w:char="00A8"/>
            </w:r>
          </w:p>
        </w:tc>
        <w:tc>
          <w:tcPr>
            <w:tcW w:w="1489"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hint="eastAsia"/>
                <w:color w:val="auto"/>
                <w:w w:val="99"/>
                <w:kern w:val="21"/>
                <w:sz w:val="21"/>
                <w:szCs w:val="21"/>
                <w:highlight w:val="none"/>
              </w:rPr>
              <w:t>Ⅳ</w:t>
            </w:r>
            <w:r>
              <w:rPr>
                <w:rFonts w:ascii="Times New Roman" w:hAnsi="Times New Roman" w:cs="Times New Roman" w:eastAsiaTheme="minorEastAsia"/>
                <w:color w:val="auto"/>
                <w:w w:val="99"/>
                <w:kern w:val="21"/>
                <w:sz w:val="21"/>
                <w:szCs w:val="21"/>
                <w:highlight w:val="none"/>
              </w:rPr>
              <w:sym w:font="Wingdings" w:char="00A8"/>
            </w:r>
          </w:p>
        </w:tc>
        <w:tc>
          <w:tcPr>
            <w:tcW w:w="1290"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hint="eastAsia"/>
                <w:color w:val="auto"/>
                <w:w w:val="99"/>
                <w:kern w:val="21"/>
                <w:sz w:val="21"/>
                <w:szCs w:val="21"/>
                <w:highlight w:val="none"/>
              </w:rPr>
              <w:t>Ⅲ</w:t>
            </w:r>
            <w:r>
              <w:rPr>
                <w:rFonts w:ascii="Times New Roman" w:hAnsi="Times New Roman" w:cs="Times New Roman" w:eastAsiaTheme="minorEastAsia"/>
                <w:color w:val="auto"/>
                <w:w w:val="99"/>
                <w:kern w:val="21"/>
                <w:sz w:val="21"/>
                <w:szCs w:val="21"/>
                <w:highlight w:val="none"/>
              </w:rPr>
              <w:sym w:font="Wingdings" w:char="00A8"/>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hint="eastAsia"/>
                <w:color w:val="auto"/>
                <w:w w:val="99"/>
                <w:kern w:val="21"/>
                <w:sz w:val="21"/>
                <w:szCs w:val="21"/>
                <w:highlight w:val="none"/>
              </w:rPr>
              <w:t>Ⅱ</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hint="eastAsia"/>
                <w:color w:val="auto"/>
                <w:w w:val="99"/>
                <w:kern w:val="21"/>
                <w:sz w:val="21"/>
                <w:szCs w:val="21"/>
                <w:highlight w:val="none"/>
              </w:rPr>
              <w:t>Ⅰ</w:t>
            </w:r>
            <w:r>
              <w:rPr>
                <w:rFonts w:ascii="Times New Roman" w:hAnsi="Times New Roman" w:cs="Times New Roman" w:eastAsiaTheme="minorEastAsia"/>
                <w:color w:val="auto"/>
                <w:w w:val="99"/>
                <w:kern w:val="21"/>
                <w:sz w:val="21"/>
                <w:szCs w:val="21"/>
                <w:highlight w:val="none"/>
              </w:rPr>
              <w:sym w:font="Wingdings" w:char="00FE"/>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评价等级</w:t>
            </w:r>
          </w:p>
        </w:tc>
        <w:tc>
          <w:tcPr>
            <w:tcW w:w="2996" w:type="dxa"/>
            <w:gridSpan w:val="4"/>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一级</w:t>
            </w:r>
            <w:r>
              <w:rPr>
                <w:rFonts w:ascii="Times New Roman" w:hAnsi="Times New Roman" w:cs="Times New Roman" w:eastAsiaTheme="minorEastAsia"/>
                <w:color w:val="auto"/>
                <w:w w:val="99"/>
                <w:kern w:val="21"/>
                <w:sz w:val="21"/>
                <w:szCs w:val="21"/>
                <w:highlight w:val="none"/>
              </w:rPr>
              <w:sym w:font="Wingdings" w:char="00A8"/>
            </w:r>
          </w:p>
        </w:tc>
        <w:tc>
          <w:tcPr>
            <w:tcW w:w="1290"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二级</w:t>
            </w:r>
            <w:r>
              <w:rPr>
                <w:rFonts w:ascii="Times New Roman" w:hAnsi="Times New Roman" w:cs="Times New Roman" w:eastAsiaTheme="minorEastAsia"/>
                <w:color w:val="auto"/>
                <w:w w:val="99"/>
                <w:kern w:val="21"/>
                <w:sz w:val="21"/>
                <w:szCs w:val="21"/>
                <w:highlight w:val="none"/>
              </w:rPr>
              <w:sym w:font="Wingdings" w:char="00A8"/>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三级</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简单分析</w:t>
            </w:r>
            <w:r>
              <w:rPr>
                <w:rFonts w:ascii="Times New Roman" w:hAnsi="Times New Roman" w:cs="Times New Roman" w:eastAsiaTheme="minorEastAsia"/>
                <w:color w:val="auto"/>
                <w:w w:val="99"/>
                <w:kern w:val="21"/>
                <w:sz w:val="21"/>
                <w:szCs w:val="21"/>
                <w:highlight w:val="none"/>
              </w:rPr>
              <w:sym w:font="Wingdings" w:char="00FE"/>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restar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风险识别</w:t>
            </w:r>
          </w:p>
        </w:tc>
        <w:tc>
          <w:tcPr>
            <w:tcW w:w="1212"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物质</w:t>
            </w:r>
          </w:p>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危险性</w:t>
            </w:r>
          </w:p>
        </w:tc>
        <w:tc>
          <w:tcPr>
            <w:tcW w:w="4286" w:type="dxa"/>
            <w:gridSpan w:val="5"/>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有毒有害</w:t>
            </w:r>
            <w:r>
              <w:rPr>
                <w:rFonts w:ascii="Times New Roman" w:hAnsi="Times New Roman" w:cs="Times New Roman" w:eastAsiaTheme="minorEastAsia"/>
                <w:color w:val="auto"/>
                <w:w w:val="99"/>
                <w:kern w:val="21"/>
                <w:sz w:val="21"/>
                <w:szCs w:val="21"/>
                <w:highlight w:val="none"/>
              </w:rPr>
              <w:sym w:font="Wingdings" w:char="00FE"/>
            </w:r>
          </w:p>
        </w:tc>
        <w:tc>
          <w:tcPr>
            <w:tcW w:w="3005"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易燃易爆</w:t>
            </w:r>
            <w:r>
              <w:rPr>
                <w:rFonts w:ascii="Times New Roman" w:hAnsi="Times New Roman" w:cs="Times New Roman" w:eastAsiaTheme="minorEastAsia"/>
                <w:color w:val="auto"/>
                <w:w w:val="99"/>
                <w:kern w:val="21"/>
                <w:sz w:val="21"/>
                <w:szCs w:val="21"/>
                <w:highlight w:val="none"/>
              </w:rPr>
              <w:sym w:font="Wingdings" w:char="00FE"/>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cs="Times New Roman" w:eastAsiaTheme="minorEastAsia"/>
                <w:color w:val="auto"/>
                <w:w w:val="99"/>
                <w:kern w:val="21"/>
                <w:sz w:val="21"/>
                <w:szCs w:val="21"/>
                <w:highlight w:val="none"/>
              </w:rPr>
            </w:pPr>
          </w:p>
        </w:tc>
        <w:tc>
          <w:tcPr>
            <w:tcW w:w="1212"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环境</w:t>
            </w:r>
          </w:p>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风险类型</w:t>
            </w:r>
          </w:p>
        </w:tc>
        <w:tc>
          <w:tcPr>
            <w:tcW w:w="4286" w:type="dxa"/>
            <w:gridSpan w:val="5"/>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泄漏</w:t>
            </w:r>
            <w:r>
              <w:rPr>
                <w:rFonts w:ascii="Times New Roman" w:hAnsi="Times New Roman" w:cs="Times New Roman" w:eastAsiaTheme="minorEastAsia"/>
                <w:color w:val="auto"/>
                <w:w w:val="99"/>
                <w:kern w:val="21"/>
                <w:sz w:val="21"/>
                <w:szCs w:val="21"/>
                <w:highlight w:val="none"/>
              </w:rPr>
              <w:sym w:font="Wingdings" w:char="00FE"/>
            </w:r>
          </w:p>
        </w:tc>
        <w:tc>
          <w:tcPr>
            <w:tcW w:w="3005"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火灾、爆炸引发伴生/次生污染物排放</w:t>
            </w:r>
            <w:r>
              <w:rPr>
                <w:rFonts w:ascii="Times New Roman" w:hAnsi="Times New Roman" w:cs="Times New Roman" w:eastAsiaTheme="minorEastAsia"/>
                <w:color w:val="auto"/>
                <w:w w:val="99"/>
                <w:kern w:val="21"/>
                <w:sz w:val="21"/>
                <w:szCs w:val="21"/>
                <w:highlight w:val="none"/>
              </w:rPr>
              <w:sym w:font="Wingdings" w:char="00FE"/>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cs="Times New Roman" w:eastAsiaTheme="minorEastAsia"/>
                <w:color w:val="auto"/>
                <w:w w:val="99"/>
                <w:kern w:val="21"/>
                <w:sz w:val="21"/>
                <w:szCs w:val="21"/>
                <w:highlight w:val="none"/>
              </w:rPr>
            </w:pPr>
          </w:p>
        </w:tc>
        <w:tc>
          <w:tcPr>
            <w:tcW w:w="1212"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影响途径</w:t>
            </w:r>
          </w:p>
        </w:tc>
        <w:tc>
          <w:tcPr>
            <w:tcW w:w="2141"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大气</w:t>
            </w:r>
            <w:r>
              <w:rPr>
                <w:rFonts w:ascii="Times New Roman" w:hAnsi="Times New Roman" w:cs="Times New Roman" w:eastAsiaTheme="minorEastAsia"/>
                <w:color w:val="auto"/>
                <w:w w:val="99"/>
                <w:kern w:val="21"/>
                <w:sz w:val="21"/>
                <w:szCs w:val="21"/>
                <w:highlight w:val="none"/>
              </w:rPr>
              <w:sym w:font="Wingdings" w:char="00FE"/>
            </w:r>
          </w:p>
        </w:tc>
        <w:tc>
          <w:tcPr>
            <w:tcW w:w="2837"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地表水</w:t>
            </w:r>
            <w:r>
              <w:rPr>
                <w:rFonts w:ascii="Times New Roman" w:hAnsi="Times New Roman" w:cs="Times New Roman" w:eastAsiaTheme="minorEastAsia"/>
                <w:color w:val="auto"/>
                <w:w w:val="99"/>
                <w:kern w:val="21"/>
                <w:sz w:val="21"/>
                <w:szCs w:val="21"/>
                <w:highlight w:val="none"/>
              </w:rPr>
              <w:sym w:font="Wingdings" w:char="00FE"/>
            </w:r>
          </w:p>
        </w:tc>
        <w:tc>
          <w:tcPr>
            <w:tcW w:w="231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地下水</w:t>
            </w:r>
            <w:r>
              <w:rPr>
                <w:rFonts w:ascii="Times New Roman" w:hAnsi="Times New Roman" w:cs="Times New Roman" w:eastAsiaTheme="minorEastAsia"/>
                <w:color w:val="auto"/>
                <w:w w:val="99"/>
                <w:kern w:val="21"/>
                <w:sz w:val="21"/>
                <w:szCs w:val="21"/>
                <w:highlight w:val="none"/>
              </w:rPr>
              <w:sym w:font="Wingdings" w:char="00FE"/>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事故情形分析</w:t>
            </w:r>
          </w:p>
        </w:tc>
        <w:tc>
          <w:tcPr>
            <w:tcW w:w="2141"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源强设定方法</w:t>
            </w:r>
          </w:p>
        </w:tc>
        <w:tc>
          <w:tcPr>
            <w:tcW w:w="2145"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计算法</w:t>
            </w:r>
            <w:r>
              <w:rPr>
                <w:rFonts w:ascii="Times New Roman" w:hAnsi="Times New Roman" w:cs="Times New Roman" w:eastAsiaTheme="minorEastAsia"/>
                <w:color w:val="auto"/>
                <w:w w:val="99"/>
                <w:kern w:val="21"/>
                <w:sz w:val="21"/>
                <w:szCs w:val="21"/>
                <w:highlight w:val="none"/>
              </w:rPr>
              <w:sym w:font="Wingdings" w:char="00A8"/>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经验估算法</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其他估算法</w:t>
            </w:r>
            <w:r>
              <w:rPr>
                <w:rFonts w:ascii="Times New Roman" w:hAnsi="Times New Roman" w:cs="Times New Roman" w:eastAsiaTheme="minorEastAsia"/>
                <w:color w:val="auto"/>
                <w:w w:val="99"/>
                <w:kern w:val="21"/>
                <w:sz w:val="21"/>
                <w:szCs w:val="21"/>
                <w:highlight w:val="none"/>
              </w:rPr>
              <w:sym w:font="Wingdings" w:char="00FE"/>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restar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风险预测与评价</w:t>
            </w:r>
          </w:p>
        </w:tc>
        <w:tc>
          <w:tcPr>
            <w:tcW w:w="1212" w:type="dxa"/>
            <w:vMerge w:val="restart"/>
            <w:tcBorders>
              <w:top w:val="single" w:color="auto" w:sz="4" w:space="0"/>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大气</w:t>
            </w:r>
          </w:p>
        </w:tc>
        <w:tc>
          <w:tcPr>
            <w:tcW w:w="2141"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预测模型</w:t>
            </w:r>
          </w:p>
        </w:tc>
        <w:tc>
          <w:tcPr>
            <w:tcW w:w="2145"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SLAB</w:t>
            </w:r>
            <w:r>
              <w:rPr>
                <w:rFonts w:ascii="Times New Roman" w:hAnsi="Times New Roman" w:cs="Times New Roman" w:eastAsiaTheme="minorEastAsia"/>
                <w:color w:val="auto"/>
                <w:w w:val="99"/>
                <w:kern w:val="21"/>
                <w:sz w:val="21"/>
                <w:szCs w:val="21"/>
                <w:highlight w:val="none"/>
              </w:rPr>
              <w:sym w:font="Wingdings" w:char="00A8"/>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AFTOX</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其他</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212" w:type="dxa"/>
            <w:vMerge w:val="continue"/>
            <w:tcBorders>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2141" w:type="dxa"/>
            <w:gridSpan w:val="3"/>
            <w:vMerge w:val="restart"/>
            <w:tcBorders>
              <w:top w:val="single" w:color="auto" w:sz="4" w:space="0"/>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预测结果</w:t>
            </w:r>
          </w:p>
        </w:tc>
        <w:tc>
          <w:tcPr>
            <w:tcW w:w="5150" w:type="dxa"/>
            <w:gridSpan w:val="5"/>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u w:val="single"/>
              </w:rPr>
            </w:pPr>
            <w:r>
              <w:rPr>
                <w:rFonts w:ascii="Times New Roman" w:hAnsi="Times New Roman" w:cs="Times New Roman" w:eastAsiaTheme="minorEastAsia"/>
                <w:color w:val="auto"/>
                <w:w w:val="99"/>
                <w:kern w:val="21"/>
                <w:sz w:val="21"/>
                <w:szCs w:val="21"/>
                <w:highlight w:val="none"/>
              </w:rPr>
              <w:t>大气毒性终点浓度-1 最大影响范围</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cs="Times New Roman" w:eastAsiaTheme="minorEastAsia"/>
                <w:color w:val="auto"/>
                <w:w w:val="99"/>
                <w:kern w:val="21"/>
                <w:sz w:val="21"/>
                <w:szCs w:val="21"/>
                <w:highlight w:val="none"/>
              </w:rPr>
            </w:pPr>
          </w:p>
        </w:tc>
        <w:tc>
          <w:tcPr>
            <w:tcW w:w="1212" w:type="dxa"/>
            <w:vMerge w:val="continue"/>
            <w:tcBorders>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2141" w:type="dxa"/>
            <w:gridSpan w:val="3"/>
            <w:vMerge w:val="continue"/>
            <w:tcBorders>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5150" w:type="dxa"/>
            <w:gridSpan w:val="5"/>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大气毒性终点浓度-2 最大影响范围</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cs="Times New Roman" w:eastAsiaTheme="minorEastAsia"/>
                <w:color w:val="auto"/>
                <w:w w:val="99"/>
                <w:kern w:val="21"/>
                <w:sz w:val="21"/>
                <w:szCs w:val="21"/>
                <w:highlight w:val="none"/>
              </w:rPr>
            </w:pPr>
          </w:p>
        </w:tc>
        <w:tc>
          <w:tcPr>
            <w:tcW w:w="1212" w:type="dxa"/>
            <w:tcBorders>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地表水</w:t>
            </w:r>
          </w:p>
        </w:tc>
        <w:tc>
          <w:tcPr>
            <w:tcW w:w="7291" w:type="dxa"/>
            <w:gridSpan w:val="8"/>
            <w:tcBorders>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最近敏感目标</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，到达时间</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cs="Times New Roman" w:eastAsiaTheme="minorEastAsia"/>
                <w:color w:val="auto"/>
                <w:w w:val="99"/>
                <w:kern w:val="21"/>
                <w:sz w:val="21"/>
                <w:szCs w:val="21"/>
                <w:highlight w:val="none"/>
              </w:rPr>
            </w:pPr>
          </w:p>
        </w:tc>
        <w:tc>
          <w:tcPr>
            <w:tcW w:w="1212" w:type="dxa"/>
            <w:vMerge w:val="restart"/>
            <w:tcBorders>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地下水</w:t>
            </w:r>
          </w:p>
        </w:tc>
        <w:tc>
          <w:tcPr>
            <w:tcW w:w="7291" w:type="dxa"/>
            <w:gridSpan w:val="8"/>
            <w:tcBorders>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u w:val="single"/>
              </w:rPr>
            </w:pPr>
            <w:r>
              <w:rPr>
                <w:rFonts w:ascii="Times New Roman" w:hAnsi="Times New Roman" w:cs="Times New Roman" w:eastAsiaTheme="minorEastAsia"/>
                <w:color w:val="auto"/>
                <w:w w:val="99"/>
                <w:kern w:val="21"/>
                <w:sz w:val="21"/>
                <w:szCs w:val="21"/>
                <w:highlight w:val="none"/>
              </w:rPr>
              <w:t>下游厂区边界到达时间</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cs="Times New Roman" w:eastAsiaTheme="minorEastAsia"/>
                <w:color w:val="auto"/>
                <w:w w:val="99"/>
                <w:kern w:val="21"/>
                <w:sz w:val="21"/>
                <w:szCs w:val="21"/>
                <w:highlight w:val="none"/>
              </w:rPr>
            </w:pPr>
          </w:p>
        </w:tc>
        <w:tc>
          <w:tcPr>
            <w:tcW w:w="1212" w:type="dxa"/>
            <w:vMerge w:val="continue"/>
            <w:tcBorders>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7291" w:type="dxa"/>
            <w:gridSpan w:val="8"/>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最近环境敏感目标</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，到达时间</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tcBorders>
              <w:top w:val="single" w:color="auto" w:sz="4" w:space="0"/>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重点风险</w:t>
            </w:r>
          </w:p>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防范措施</w:t>
            </w:r>
          </w:p>
        </w:tc>
        <w:tc>
          <w:tcPr>
            <w:tcW w:w="7291" w:type="dxa"/>
            <w:gridSpan w:val="8"/>
            <w:tcBorders>
              <w:top w:val="single" w:color="auto" w:sz="4" w:space="0"/>
              <w:left w:val="single" w:color="auto" w:sz="4" w:space="0"/>
              <w:right w:val="single" w:color="auto" w:sz="4" w:space="0"/>
            </w:tcBorders>
            <w:vAlign w:val="center"/>
          </w:tcPr>
          <w:p>
            <w:pPr>
              <w:widowControl w:val="0"/>
              <w:spacing w:line="32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bCs/>
                <w:color w:val="auto"/>
                <w:w w:val="99"/>
                <w:sz w:val="21"/>
                <w:szCs w:val="21"/>
                <w:highlight w:val="none"/>
              </w:rPr>
              <w:t>提供准确底层孔隙压力资料，合理设计井身结构；严格操作规程，避免产生抽吸作用；合理调整泥浆密度；安装防喷器等井控装置预防井喷事故发生。严格套管质量检查；防止浅层水腐蚀套管及浅层高塑性泥岩层蠕变；保证套管接箍丝扣和密封脂质量及上扣的扭矩值，对井下的套管要定期紧扣。发现井漏现象，立即采取堵漏措施。柴油储罐周围设置围堰，围堰高度约为0.4m，防止柴油泄露污染地下水。加强井场地面工程设施巡回检查，及时发现风险隐患，并采取合理措施消除隐患，避免油、钻井液渗漏及火灾、爆炸事故的发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tcBorders>
              <w:top w:val="single" w:color="auto" w:sz="4" w:space="0"/>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评价结论与建议</w:t>
            </w:r>
          </w:p>
        </w:tc>
        <w:tc>
          <w:tcPr>
            <w:tcW w:w="7291" w:type="dxa"/>
            <w:gridSpan w:val="8"/>
            <w:tcBorders>
              <w:top w:val="single" w:color="auto" w:sz="4" w:space="0"/>
              <w:left w:val="single" w:color="auto" w:sz="4" w:space="0"/>
              <w:right w:val="single" w:color="auto" w:sz="4" w:space="0"/>
            </w:tcBorders>
            <w:vAlign w:val="center"/>
          </w:tcPr>
          <w:p>
            <w:pPr>
              <w:widowControl w:val="0"/>
              <w:spacing w:line="32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本项目的主要环境风险是井喷、套管破损泄漏引发的人员中毒及环境污染事故，一旦出现上述环境风险事故，将对区域内的大气环境、地下水环境、地表水环境、土壤环境和生态环境有潜在危害性。在工程采取一系列风险防范措施、应急措施后，可以降低工程发生环境风险事故概率，达到环境风险可接受水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71" w:type="dxa"/>
            <w:gridSpan w:val="10"/>
            <w:tcBorders>
              <w:top w:val="single" w:color="auto" w:sz="4" w:space="0"/>
              <w:left w:val="single" w:color="auto" w:sz="4" w:space="0"/>
              <w:bottom w:val="single" w:color="auto" w:sz="4" w:space="0"/>
              <w:right w:val="single" w:color="auto" w:sz="4" w:space="0"/>
            </w:tcBorders>
            <w:vAlign w:val="center"/>
          </w:tcPr>
          <w:p>
            <w:pPr>
              <w:widowControl w:val="0"/>
              <w:spacing w:line="320" w:lineRule="exact"/>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注：“</w:t>
            </w:r>
            <w:r>
              <w:rPr>
                <w:rFonts w:ascii="Times New Roman" w:hAnsi="Times New Roman" w:cs="Times New Roman" w:eastAsiaTheme="minorEastAsia"/>
                <w:color w:val="auto"/>
                <w:w w:val="99"/>
                <w:kern w:val="21"/>
                <w:sz w:val="21"/>
                <w:szCs w:val="21"/>
                <w:highlight w:val="none"/>
              </w:rPr>
              <w:sym w:font="Wingdings" w:char="00A8"/>
            </w:r>
            <w:r>
              <w:rPr>
                <w:rFonts w:ascii="Times New Roman" w:hAnsi="Times New Roman" w:cs="Times New Roman" w:eastAsiaTheme="minorEastAsia"/>
                <w:color w:val="auto"/>
                <w:w w:val="99"/>
                <w:kern w:val="21"/>
                <w:sz w:val="21"/>
                <w:szCs w:val="21"/>
                <w:highlight w:val="none"/>
              </w:rPr>
              <w:t>”为勾选项， “</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”为内容填写项</w:t>
            </w:r>
          </w:p>
        </w:tc>
      </w:tr>
    </w:tbl>
    <w:p>
      <w:pPr>
        <w:widowControl w:val="0"/>
        <w:rPr>
          <w:rFonts w:ascii="Times New Roman" w:hAnsi="Times New Roman" w:cs="Times New Roman" w:eastAsiaTheme="minorEastAsia"/>
          <w:color w:val="auto"/>
          <w:w w:val="99"/>
          <w:kern w:val="21"/>
          <w:highlight w:val="none"/>
        </w:rPr>
      </w:pPr>
    </w:p>
    <w:p>
      <w:pPr>
        <w:pStyle w:val="103"/>
        <w:rPr>
          <w:rFonts w:eastAsiaTheme="minorEastAsia"/>
          <w:color w:val="auto"/>
          <w:w w:val="99"/>
          <w:highlight w:val="none"/>
        </w:rPr>
      </w:pPr>
    </w:p>
    <w:p>
      <w:pPr>
        <w:widowControl w:val="0"/>
        <w:adjustRightInd w:val="0"/>
        <w:snapToGrid w:val="0"/>
        <w:spacing w:line="440" w:lineRule="exact"/>
        <w:jc w:val="both"/>
        <w:rPr>
          <w:rFonts w:ascii="Times New Roman" w:hAnsi="Times New Roman" w:cs="Times New Roman" w:eastAsiaTheme="minorEastAsia"/>
          <w:color w:val="auto"/>
          <w:w w:val="99"/>
          <w:kern w:val="21"/>
          <w:highlight w:val="none"/>
        </w:rPr>
      </w:pPr>
      <w:bookmarkStart w:id="1675" w:name="_Toc15833343"/>
      <w:bookmarkStart w:id="1676" w:name="_Toc18781"/>
      <w:bookmarkStart w:id="1677" w:name="_Toc30212_WPSOffice_Level1"/>
      <w:bookmarkStart w:id="1678" w:name="_Toc18979"/>
      <w:r>
        <w:rPr>
          <w:rFonts w:ascii="Times New Roman" w:hAnsi="Times New Roman" w:cs="Times New Roman" w:eastAsiaTheme="minorEastAsia"/>
          <w:color w:val="auto"/>
          <w:w w:val="99"/>
          <w:kern w:val="21"/>
          <w:highlight w:val="none"/>
        </w:rPr>
        <w:t>附表3：建设项目土壤环境影响评价自查表</w:t>
      </w:r>
      <w:bookmarkEnd w:id="1675"/>
      <w:bookmarkEnd w:id="1676"/>
      <w:bookmarkEnd w:id="1677"/>
      <w:bookmarkEnd w:id="1678"/>
    </w:p>
    <w:tbl>
      <w:tblPr>
        <w:tblStyle w:val="8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
        <w:gridCol w:w="1663"/>
        <w:gridCol w:w="1334"/>
        <w:gridCol w:w="620"/>
        <w:gridCol w:w="697"/>
        <w:gridCol w:w="1255"/>
        <w:gridCol w:w="61"/>
        <w:gridCol w:w="1889"/>
        <w:gridCol w:w="1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工作内容</w:t>
            </w:r>
          </w:p>
        </w:tc>
        <w:tc>
          <w:tcPr>
            <w:tcW w:w="5856" w:type="dxa"/>
            <w:gridSpan w:val="6"/>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完成情况</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restart"/>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影</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响</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识</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别</w:t>
            </w: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影响类型</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污染影响型</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；生态影响型□；两种兼有□</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土地利用类型</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建设用地</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；农用地</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；未利用地□</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土地利用类型图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占地规模</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w:t>
            </w:r>
            <w:r>
              <w:rPr>
                <w:rFonts w:hint="eastAsia" w:ascii="Times New Roman" w:hAnsi="Times New Roman" w:cs="Times New Roman" w:eastAsiaTheme="minorEastAsia"/>
                <w:color w:val="auto"/>
                <w:w w:val="99"/>
                <w:kern w:val="21"/>
                <w:sz w:val="21"/>
                <w:szCs w:val="21"/>
                <w:highlight w:val="none"/>
                <w:lang w:val="en-US" w:eastAsia="zh-CN"/>
              </w:rPr>
              <w:t>29.04</w:t>
            </w:r>
            <w:r>
              <w:rPr>
                <w:rFonts w:ascii="Times New Roman" w:hAnsi="Times New Roman" w:cs="Times New Roman" w:eastAsiaTheme="minorEastAsia"/>
                <w:color w:val="auto"/>
                <w:w w:val="99"/>
                <w:kern w:val="21"/>
                <w:sz w:val="21"/>
                <w:szCs w:val="21"/>
                <w:highlight w:val="none"/>
              </w:rPr>
              <w:t>）hm</w:t>
            </w:r>
            <w:r>
              <w:rPr>
                <w:rFonts w:ascii="Times New Roman" w:hAnsi="Times New Roman" w:cs="Times New Roman" w:eastAsiaTheme="minorEastAsia"/>
                <w:color w:val="auto"/>
                <w:w w:val="99"/>
                <w:kern w:val="21"/>
                <w:sz w:val="21"/>
                <w:szCs w:val="21"/>
                <w:highlight w:val="none"/>
                <w:vertAlign w:val="superscript"/>
              </w:rPr>
              <w:t>2</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敏感目标信息</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敏感目标（）、方位（）、距离（）</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影响途径</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大气沉降□；地面漫流□；垂直入渗</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；地下水位□；其他</w:t>
            </w:r>
            <w:r>
              <w:rPr>
                <w:rFonts w:ascii="Times New Roman" w:hAnsi="Times New Roman" w:cs="Times New Roman" w:eastAsiaTheme="minorEastAsia"/>
                <w:color w:val="auto"/>
                <w:w w:val="99"/>
                <w:kern w:val="21"/>
                <w:sz w:val="21"/>
                <w:szCs w:val="21"/>
                <w:highlight w:val="none"/>
              </w:rPr>
              <w:sym w:font="Wingdings" w:char="00A8"/>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特征因子</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石油烃</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土壤环境影响评价项目类别</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hint="eastAsia"/>
                <w:color w:val="auto"/>
                <w:w w:val="99"/>
                <w:kern w:val="21"/>
                <w:sz w:val="21"/>
                <w:szCs w:val="21"/>
                <w:highlight w:val="none"/>
              </w:rPr>
              <w:t>Ⅰ</w:t>
            </w:r>
            <w:r>
              <w:rPr>
                <w:rFonts w:ascii="Times New Roman" w:hAnsi="Times New Roman" w:cs="Times New Roman" w:eastAsiaTheme="minorEastAsia"/>
                <w:color w:val="auto"/>
                <w:w w:val="99"/>
                <w:kern w:val="21"/>
                <w:sz w:val="21"/>
                <w:szCs w:val="21"/>
                <w:highlight w:val="none"/>
              </w:rPr>
              <w:t>类</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w:t>
            </w:r>
            <w:r>
              <w:rPr>
                <w:rFonts w:hint="eastAsia"/>
                <w:color w:val="auto"/>
                <w:w w:val="99"/>
                <w:kern w:val="21"/>
                <w:sz w:val="21"/>
                <w:szCs w:val="21"/>
                <w:highlight w:val="none"/>
              </w:rPr>
              <w:t>Ⅱ</w:t>
            </w:r>
            <w:r>
              <w:rPr>
                <w:rFonts w:ascii="Times New Roman" w:hAnsi="Times New Roman" w:cs="Times New Roman" w:eastAsiaTheme="minorEastAsia"/>
                <w:color w:val="auto"/>
                <w:w w:val="99"/>
                <w:kern w:val="21"/>
                <w:sz w:val="21"/>
                <w:szCs w:val="21"/>
                <w:highlight w:val="none"/>
              </w:rPr>
              <w:t>类□；</w:t>
            </w:r>
            <w:r>
              <w:rPr>
                <w:rFonts w:hint="eastAsia"/>
                <w:color w:val="auto"/>
                <w:w w:val="99"/>
                <w:kern w:val="21"/>
                <w:sz w:val="21"/>
                <w:szCs w:val="21"/>
                <w:highlight w:val="none"/>
              </w:rPr>
              <w:t>Ⅲ</w:t>
            </w:r>
            <w:r>
              <w:rPr>
                <w:rFonts w:ascii="Times New Roman" w:hAnsi="Times New Roman" w:cs="Times New Roman" w:eastAsiaTheme="minorEastAsia"/>
                <w:color w:val="auto"/>
                <w:w w:val="99"/>
                <w:kern w:val="21"/>
                <w:sz w:val="21"/>
                <w:szCs w:val="21"/>
                <w:highlight w:val="none"/>
              </w:rPr>
              <w:t>类□；</w:t>
            </w:r>
            <w:r>
              <w:rPr>
                <w:rFonts w:hint="eastAsia"/>
                <w:color w:val="auto"/>
                <w:w w:val="99"/>
                <w:kern w:val="21"/>
                <w:sz w:val="21"/>
                <w:szCs w:val="21"/>
                <w:highlight w:val="none"/>
              </w:rPr>
              <w:t>Ⅳ</w:t>
            </w:r>
            <w:r>
              <w:rPr>
                <w:rFonts w:ascii="Times New Roman" w:hAnsi="Times New Roman" w:cs="Times New Roman" w:eastAsiaTheme="minorEastAsia"/>
                <w:color w:val="auto"/>
                <w:w w:val="99"/>
                <w:kern w:val="21"/>
                <w:sz w:val="21"/>
                <w:szCs w:val="21"/>
                <w:highlight w:val="none"/>
              </w:rPr>
              <w:t>类□</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敏感程度</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敏感</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；较敏感□；不敏感□</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评价工作等级</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一级</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；二级□；三级□</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restart"/>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状</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调</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查内容</w:t>
            </w: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资料收集</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a）</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；b）</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；d）</w:t>
            </w:r>
            <w:r>
              <w:rPr>
                <w:rFonts w:ascii="Times New Roman" w:hAnsi="Times New Roman" w:cs="Times New Roman" w:eastAsiaTheme="minorEastAsia"/>
                <w:color w:val="auto"/>
                <w:w w:val="99"/>
                <w:kern w:val="21"/>
                <w:sz w:val="21"/>
                <w:szCs w:val="21"/>
                <w:highlight w:val="none"/>
              </w:rPr>
              <w:sym w:font="Wingdings" w:char="00FE"/>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理化特性</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同附录C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Merge w:val="restart"/>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现状监测点位</w:t>
            </w:r>
          </w:p>
        </w:tc>
        <w:tc>
          <w:tcPr>
            <w:tcW w:w="1334"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317"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占地范围内</w:t>
            </w:r>
          </w:p>
        </w:tc>
        <w:tc>
          <w:tcPr>
            <w:tcW w:w="1316"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占地范围外</w:t>
            </w:r>
          </w:p>
        </w:tc>
        <w:tc>
          <w:tcPr>
            <w:tcW w:w="1889"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深度</w:t>
            </w:r>
          </w:p>
        </w:tc>
        <w:tc>
          <w:tcPr>
            <w:tcW w:w="1101" w:type="dxa"/>
            <w:vMerge w:val="restart"/>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点位</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布置图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334"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表层样点数</w:t>
            </w:r>
          </w:p>
        </w:tc>
        <w:tc>
          <w:tcPr>
            <w:tcW w:w="1317"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2</w:t>
            </w:r>
          </w:p>
        </w:tc>
        <w:tc>
          <w:tcPr>
            <w:tcW w:w="1316"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4</w:t>
            </w:r>
          </w:p>
        </w:tc>
        <w:tc>
          <w:tcPr>
            <w:tcW w:w="1889"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0-20cm</w:t>
            </w:r>
          </w:p>
        </w:tc>
        <w:tc>
          <w:tcPr>
            <w:tcW w:w="110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334"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柱状样点数</w:t>
            </w:r>
          </w:p>
        </w:tc>
        <w:tc>
          <w:tcPr>
            <w:tcW w:w="1317"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4</w:t>
            </w:r>
          </w:p>
        </w:tc>
        <w:tc>
          <w:tcPr>
            <w:tcW w:w="1316"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0</w:t>
            </w:r>
          </w:p>
        </w:tc>
        <w:tc>
          <w:tcPr>
            <w:tcW w:w="1889"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0-50cm</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50-150cm</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150-300cm</w:t>
            </w:r>
          </w:p>
        </w:tc>
        <w:tc>
          <w:tcPr>
            <w:tcW w:w="110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现状监测因子</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47项（包括建设用地土壤基本项目45项，其他项目石油烃及pH值）及农用地土壤监测项目（pH、镉、汞、砷、铅、铬、铜、镍、锌、石油烃）</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restart"/>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现状评价</w:t>
            </w: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评价因子</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47项（包括建设用地土壤基本项目45项，其他项目石油烃）及农用地土壤监测项目（pH、镉、汞、砷、铅、铬、铜、镍、锌、石油烃）</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评价标准</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GB 15618</w:t>
            </w:r>
            <w:r>
              <w:rPr>
                <w:rFonts w:ascii="Segoe UI Symbol" w:hAnsi="Segoe UI Symbol" w:cs="Segoe UI Symbol" w:eastAsiaTheme="minor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；GB 36600</w:t>
            </w:r>
            <w:r>
              <w:rPr>
                <w:rFonts w:ascii="Segoe UI Symbol" w:hAnsi="Segoe UI Symbol" w:cs="Segoe UI Symbol" w:eastAsiaTheme="minor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；表D.1□；表D.2□；其他（）</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现状评价结论</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本项目永久占地内土壤及评价范围内村屯土壤满足《土壤环境质量 建设用地土壤污染风险管控标准（试行）》（GB36600-2018）中的标准要求，评价范围内耕地土壤满足《土壤环境质量 农用地土壤污染风险管控标准（试行）》（GB15618-2018）中的标准要求。</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restart"/>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影</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响</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测</w:t>
            </w: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预测方法</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附录E□；附录F□；其他</w:t>
            </w:r>
            <w:r>
              <w:rPr>
                <w:rFonts w:ascii="Segoe UI Symbol" w:hAnsi="Segoe UI Symbol" w:cs="Segoe UI Symbol" w:eastAsiaTheme="minorEastAsia"/>
                <w:color w:val="auto"/>
                <w:w w:val="99"/>
                <w:kern w:val="21"/>
                <w:sz w:val="21"/>
                <w:szCs w:val="21"/>
                <w:highlight w:val="none"/>
              </w:rPr>
              <w:t>☑</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预测分析内容</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影响范围（）影响程度（）</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预测结论</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达标结论：a）</w:t>
            </w:r>
            <w:r>
              <w:rPr>
                <w:rFonts w:ascii="Segoe UI Symbol" w:hAnsi="Segoe UI Symbol" w:cs="Segoe UI Symbol" w:eastAsiaTheme="minor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；b）□；c）□</w:t>
            </w:r>
          </w:p>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不达标结论：a）□；b）□</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restart"/>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防</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治</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措</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施</w:t>
            </w: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防控措施</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土壤环境质量现状保障□；源头控制</w:t>
            </w:r>
            <w:r>
              <w:rPr>
                <w:rFonts w:ascii="Segoe UI Symbol" w:hAnsi="Segoe UI Symbol" w:cs="Segoe UI Symbol" w:eastAsiaTheme="minor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；过程防控</w:t>
            </w:r>
            <w:r>
              <w:rPr>
                <w:rFonts w:ascii="Segoe UI Symbol" w:hAnsi="Segoe UI Symbol" w:cs="Segoe UI Symbol" w:eastAsiaTheme="minor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；其他（跟踪监测）</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p>
        </w:tc>
        <w:tc>
          <w:tcPr>
            <w:tcW w:w="1663" w:type="dxa"/>
            <w:vMerge w:val="restart"/>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跟踪监测</w:t>
            </w:r>
          </w:p>
        </w:tc>
        <w:tc>
          <w:tcPr>
            <w:tcW w:w="1954"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监测点数</w:t>
            </w:r>
          </w:p>
        </w:tc>
        <w:tc>
          <w:tcPr>
            <w:tcW w:w="1952"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监测指标</w:t>
            </w:r>
          </w:p>
        </w:tc>
        <w:tc>
          <w:tcPr>
            <w:tcW w:w="1950"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监测频次</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p>
        </w:tc>
        <w:tc>
          <w:tcPr>
            <w:tcW w:w="1663" w:type="dxa"/>
            <w:vMerge w:val="continue"/>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p>
        </w:tc>
        <w:tc>
          <w:tcPr>
            <w:tcW w:w="1954" w:type="dxa"/>
            <w:gridSpan w:val="2"/>
            <w:vAlign w:val="center"/>
          </w:tcPr>
          <w:p>
            <w:pPr>
              <w:widowControl w:val="0"/>
              <w:spacing w:line="300" w:lineRule="atLeast"/>
              <w:jc w:val="center"/>
              <w:rPr>
                <w:rFonts w:hint="eastAsia" w:ascii="Times New Roman" w:hAnsi="Times New Roman" w:cs="Times New Roman" w:eastAsiaTheme="minorEastAsia"/>
                <w:color w:val="auto"/>
                <w:w w:val="99"/>
                <w:kern w:val="21"/>
                <w:sz w:val="21"/>
                <w:szCs w:val="21"/>
                <w:highlight w:val="none"/>
                <w:lang w:eastAsia="zh-CN"/>
              </w:rPr>
            </w:pPr>
            <w:r>
              <w:rPr>
                <w:rFonts w:hint="eastAsia" w:ascii="Times New Roman" w:hAnsi="Times New Roman" w:cs="Times New Roman" w:eastAsiaTheme="minorEastAsia"/>
                <w:color w:val="auto"/>
                <w:w w:val="99"/>
                <w:kern w:val="21"/>
                <w:sz w:val="21"/>
                <w:szCs w:val="21"/>
                <w:highlight w:val="none"/>
                <w:lang w:val="en-US" w:eastAsia="zh-CN"/>
              </w:rPr>
              <w:t>3</w:t>
            </w:r>
          </w:p>
        </w:tc>
        <w:tc>
          <w:tcPr>
            <w:tcW w:w="1952"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石油烃、pH</w:t>
            </w:r>
          </w:p>
        </w:tc>
        <w:tc>
          <w:tcPr>
            <w:tcW w:w="1950"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3年1次</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信息公开指标</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监测点位和监测值</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评价结论</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采取环评提出的措施，影响可接受</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071" w:type="dxa"/>
            <w:gridSpan w:val="9"/>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注1：“□”为勾选项，可√；“（ ）”为内容填写项；“备注”为其他补充内容。</w:t>
            </w:r>
          </w:p>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注2：需要分别开展土壤环境影响评级工作的，分别填写自查表。</w:t>
            </w:r>
          </w:p>
        </w:tc>
      </w:tr>
    </w:tbl>
    <w:p>
      <w:pPr>
        <w:rPr>
          <w:rFonts w:ascii="Times New Roman" w:hAnsi="Times New Roman" w:cs="Times New Roman"/>
          <w:color w:val="auto"/>
          <w:w w:val="99"/>
          <w:highlight w:val="none"/>
        </w:rPr>
      </w:pPr>
    </w:p>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libri Light">
    <w:altName w:val="Calibri"/>
    <w:panose1 w:val="020F0302020204030204"/>
    <w:charset w:val="00"/>
    <w:family w:val="swiss"/>
    <w:pitch w:val="default"/>
    <w:sig w:usb0="00000000" w:usb1="00000000"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MingLiU">
    <w:panose1 w:val="02020509000000000000"/>
    <w:charset w:val="88"/>
    <w:family w:val="modern"/>
    <w:pitch w:val="default"/>
    <w:sig w:usb0="A00002FF" w:usb1="28CFFCFA" w:usb2="00000016" w:usb3="00000000" w:csb0="00100001" w:csb1="00000000"/>
  </w:font>
  <w:font w:name="Georgia">
    <w:panose1 w:val="02040502050405020303"/>
    <w:charset w:val="00"/>
    <w:family w:val="roman"/>
    <w:pitch w:val="default"/>
    <w:sig w:usb0="00000287" w:usb1="00000000" w:usb2="00000000" w:usb3="00000000" w:csb0="2000009F" w:csb1="00000000"/>
  </w:font>
  <w:font w:name="方正宋三简体">
    <w:altName w:val="宋体"/>
    <w:panose1 w:val="00000000000000000000"/>
    <w:charset w:val="86"/>
    <w:family w:val="auto"/>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隶书">
    <w:altName w:val="微软雅黑"/>
    <w:panose1 w:val="0201050906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AngsanaUPC">
    <w:panose1 w:val="02020603050405020304"/>
    <w:charset w:val="00"/>
    <w:family w:val="roman"/>
    <w:pitch w:val="default"/>
    <w:sig w:usb0="81000003" w:usb1="00000000" w:usb2="00000000" w:usb3="00000000" w:csb0="00010001" w:csb1="00000000"/>
  </w:font>
  <w:font w:name="Arail">
    <w:altName w:val="仿宋"/>
    <w:panose1 w:val="00000000000000000000"/>
    <w:charset w:val="00"/>
    <w:family w:val="auto"/>
    <w:pitch w:val="default"/>
    <w:sig w:usb0="00000000" w:usb1="00000000" w:usb2="00000000" w:usb3="00000000" w:csb0="00040001" w:csb1="00000000"/>
  </w:font>
  <w:font w:name="新宋体">
    <w:panose1 w:val="02010609030101010101"/>
    <w:charset w:val="86"/>
    <w:family w:val="modern"/>
    <w:pitch w:val="default"/>
    <w:sig w:usb0="00000003" w:usb1="288F0000" w:usb2="00000006" w:usb3="00000000" w:csb0="00040001" w:csb1="00000000"/>
  </w:font>
  <w:font w:name="汉鼎简书宋">
    <w:altName w:val="宋体"/>
    <w:panose1 w:val="00000000000000000000"/>
    <w:charset w:val="86"/>
    <w:family w:val="modern"/>
    <w:pitch w:val="default"/>
    <w:sig w:usb0="00000000" w:usb1="00000000" w:usb2="00000010" w:usb3="00000000" w:csb0="00040000" w:csb1="00000000"/>
  </w:font>
  <w:font w:name="BankGothic Lt BT">
    <w:altName w:val="Arial"/>
    <w:panose1 w:val="00000000000000000000"/>
    <w:charset w:val="00"/>
    <w:family w:val="swiss"/>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Verdana">
    <w:panose1 w:val="020B0604030504040204"/>
    <w:charset w:val="00"/>
    <w:family w:val="swiss"/>
    <w:pitch w:val="default"/>
    <w:sig w:usb0="A10006FF" w:usb1="4000205B" w:usb2="00000010"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Arial Narrow">
    <w:altName w:val="Arial"/>
    <w:panose1 w:val="020B0606020202030204"/>
    <w:charset w:val="00"/>
    <w:family w:val="swiss"/>
    <w:pitch w:val="default"/>
    <w:sig w:usb0="00000000" w:usb1="00000000" w:usb2="00000000" w:usb3="00000000" w:csb0="2000009F" w:csb1="DFD70000"/>
  </w:font>
  <w:font w:name="华文楷体">
    <w:altName w:val="宋体"/>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Arial Black">
    <w:panose1 w:val="020B0A04020102020204"/>
    <w:charset w:val="00"/>
    <w:family w:val="swiss"/>
    <w:pitch w:val="default"/>
    <w:sig w:usb0="00000287" w:usb1="00000000" w:usb2="00000000" w:usb3="00000000" w:csb0="2000009F" w:csb1="DFD70000"/>
  </w:font>
  <w:font w:name="经典叠圆体简">
    <w:altName w:val="宋体"/>
    <w:panose1 w:val="00000000000000000000"/>
    <w:charset w:val="86"/>
    <w:family w:val="modern"/>
    <w:pitch w:val="default"/>
    <w:sig w:usb0="00000000" w:usb1="00000000" w:usb2="0000001E"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方正仿宋简体">
    <w:altName w:val="微软雅黑"/>
    <w:panose1 w:val="00000000000000000000"/>
    <w:charset w:val="86"/>
    <w:family w:val="auto"/>
    <w:pitch w:val="default"/>
    <w:sig w:usb0="00000000" w:usb1="00000000" w:usb2="00000012" w:usb3="00000000" w:csb0="00040001" w:csb1="00000000"/>
  </w:font>
  <w:font w:name="”“Times New Roman”“">
    <w:altName w:val="宋体"/>
    <w:panose1 w:val="00000000000000000000"/>
    <w:charset w:val="86"/>
    <w:family w:val="roman"/>
    <w:pitch w:val="default"/>
    <w:sig w:usb0="00000000" w:usb1="00000000" w:usb2="00000010" w:usb3="00000000" w:csb0="00040000" w:csb1="00000000"/>
  </w:font>
  <w:font w:name="Batang">
    <w:panose1 w:val="02030600000101010101"/>
    <w:charset w:val="81"/>
    <w:family w:val="roman"/>
    <w:pitch w:val="default"/>
    <w:sig w:usb0="B00002AF" w:usb1="69D77CFB" w:usb2="00000030" w:usb3="00000000" w:csb0="4008009F" w:csb1="DFD70000"/>
  </w:font>
  <w:font w:name="Times">
    <w:altName w:val="Times New Roman"/>
    <w:panose1 w:val="02020603050405020304"/>
    <w:charset w:val="00"/>
    <w:family w:val="roman"/>
    <w:pitch w:val="default"/>
    <w:sig w:usb0="00000000" w:usb1="00000000" w:usb2="00000000" w:usb3="00000000" w:csb0="00000001" w:csb1="00000000"/>
  </w:font>
  <w:font w:name="华文仿宋">
    <w:altName w:val="仿宋"/>
    <w:panose1 w:val="02010600040101010101"/>
    <w:charset w:val="86"/>
    <w:family w:val="auto"/>
    <w:pitch w:val="default"/>
    <w:sig w:usb0="00000000" w:usb1="00000000" w:usb2="00000000" w:usb3="00000000" w:csb0="0004009F" w:csb1="DFD70000"/>
  </w:font>
  <w:font w:name="????">
    <w:altName w:val="Malgun Gothic"/>
    <w:panose1 w:val="00000000000000000000"/>
    <w:charset w:val="81"/>
    <w:family w:val="auto"/>
    <w:pitch w:val="default"/>
    <w:sig w:usb0="00000000" w:usb1="00000000" w:usb2="00000010" w:usb3="00000000" w:csb0="00080000" w:csb1="00000000"/>
  </w:font>
  <w:font w:name="Malgun Gothic">
    <w:panose1 w:val="020B0503020000020004"/>
    <w:charset w:val="81"/>
    <w:family w:val="auto"/>
    <w:pitch w:val="default"/>
    <w:sig w:usb0="900002AF" w:usb1="01D77CFB" w:usb2="00000012" w:usb3="00000000" w:csb0="00080001" w:csb1="00000000"/>
  </w:font>
  <w:font w:name="TimesNewRomanPSMT">
    <w:altName w:val="Times New Roman"/>
    <w:panose1 w:val="00000000000000000000"/>
    <w:charset w:val="00"/>
    <w:family w:val="swiss"/>
    <w:pitch w:val="default"/>
    <w:sig w:usb0="00000000" w:usb1="00000000" w:usb2="00000010" w:usb3="00000000" w:csb0="00040001" w:csb1="00000000"/>
  </w:font>
  <w:font w:name="方正黑体简体">
    <w:altName w:val="微软雅黑"/>
    <w:panose1 w:val="00000000000000000000"/>
    <w:charset w:val="86"/>
    <w:family w:val="auto"/>
    <w:pitch w:val="default"/>
    <w:sig w:usb0="00000000" w:usb1="00000000" w:usb2="00000010" w:usb3="00000000" w:csb0="00040000" w:csb1="00000000"/>
  </w:font>
  <w:font w:name="Segoe UI Symbol">
    <w:panose1 w:val="020B0502040204020203"/>
    <w:charset w:val="00"/>
    <w:family w:val="swiss"/>
    <w:pitch w:val="default"/>
    <w:sig w:usb0="8000006F" w:usb1="1200FBEF" w:usb2="0004C000" w:usb3="00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tabs>
        <w:tab w:val="left" w:pos="3960"/>
        <w:tab w:val="center" w:pos="4333"/>
        <w:tab w:val="left" w:pos="5049"/>
      </w:tabs>
      <w:jc w:val="center"/>
    </w:pPr>
  </w:p>
  <w:p>
    <w:pPr>
      <w:pStyle w:val="53"/>
      <w:rPr>
        <w:rFonts w:eastAsia="仿宋"/>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tabs>
        <w:tab w:val="left" w:pos="3960"/>
        <w:tab w:val="center" w:pos="4333"/>
        <w:tab w:val="left" w:pos="5049"/>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6205" cy="139700"/>
              <wp:effectExtent l="0" t="0" r="17145" b="12700"/>
              <wp:wrapNone/>
              <wp:docPr id="4" name="文本框 1"/>
              <wp:cNvGraphicFramePr/>
              <a:graphic xmlns:a="http://schemas.openxmlformats.org/drawingml/2006/main">
                <a:graphicData uri="http://schemas.microsoft.com/office/word/2010/wordprocessingShape">
                  <wps:wsp>
                    <wps:cNvSpPr txBox="1"/>
                    <wps:spPr>
                      <a:xfrm>
                        <a:off x="0" y="0"/>
                        <a:ext cx="116205" cy="139700"/>
                      </a:xfrm>
                      <a:prstGeom prst="rect">
                        <a:avLst/>
                      </a:prstGeom>
                      <a:noFill/>
                      <a:ln>
                        <a:noFill/>
                      </a:ln>
                    </wps:spPr>
                    <wps:txbx>
                      <w:txbxContent>
                        <w:p>
                          <w:pPr>
                            <w:pStyle w:val="53"/>
                            <w:tabs>
                              <w:tab w:val="left" w:pos="3960"/>
                              <w:tab w:val="center" w:pos="4333"/>
                              <w:tab w:val="left" w:pos="5049"/>
                            </w:tabs>
                            <w:jc w:val="center"/>
                          </w:pPr>
                          <w:r>
                            <w:fldChar w:fldCharType="begin"/>
                          </w:r>
                          <w:r>
                            <w:instrText xml:space="preserve">PAGE   \* MERGEFORMAT</w:instrText>
                          </w:r>
                          <w:r>
                            <w:fldChar w:fldCharType="separate"/>
                          </w:r>
                          <w:r>
                            <w:rPr>
                              <w:lang w:val="zh-CN"/>
                            </w:rPr>
                            <w:t>3</w:t>
                          </w:r>
                          <w:r>
                            <w:rPr>
                              <w:lang w:val="zh-CN"/>
                            </w:rP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1pt;width:9.15pt;mso-position-horizontal:center;mso-position-horizontal-relative:margin;mso-wrap-style:none;z-index:251663360;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NNXCQ/GAQAAiwMAAA4AAABkcnMvZTJvRG9jLnhtbK1TzY7TMBC+I/EO&#10;lu/USYEFoqYrULUICQHSwgO4jt1Y8p88bpO+ALwBJy7cea4+B2Mn7cJy2QMXZzwz/ma+byar69Ea&#10;cpARtHctrRcVJdIJ32m3a+mXzzdPXlICibuOG+9kS48S6PX68aPVEBq59L03nYwEQRw0Q2hpn1Jo&#10;GAPRS8th4YN0GFQ+Wp7wGnesi3xAdGvYsqqu2OBjF6IXEgC9mylIZ8T4EECvlBZy48XeSpcm1CgN&#10;T0gJeh2Arku3SkmRPioFMhHTUmSayolF0N7mk61XvNlFHnot5hb4Q1q4x8ly7bDoBWrDEyf7qP+B&#10;slpED16lhfCWTUSKIsiiru5pc9vzIAsXlBrCRXT4f7Diw+FTJLpr6TNKHLc48NP3b6cfv04/v5I6&#10;yzMEaDDrNmBeGt/4EZfm7Ad0ZtajijZ/kQ/BOIp7vIgrx0REflRfLavnlAgM1U9fvaiK+OzucYiQ&#10;3kpvSTZaGnF2RVJ+eA8JG8HUc0qu5fyNNqbMz7i/HJiYPSx3PnWYrTRux5nO1ndHZDPg2FvqcMsp&#10;Me8cqpo35GzEs7GdjVwDwut9wsKln4w6Qc3FcEalzXmf8hL8eS9Zd//Q+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GLpYU0AAAAAMBAAAPAAAAAAAAAAEAIAAAACIAAABkcnMvZG93bnJldi54bWxQ&#10;SwECFAAUAAAACACHTuJA01cJD8YBAACLAwAADgAAAAAAAAABACAAAAAfAQAAZHJzL2Uyb0RvYy54&#10;bWxQSwUGAAAAAAYABgBZAQAAVwUAAAAA&#10;">
              <v:fill on="f" focussize="0,0"/>
              <v:stroke on="f"/>
              <v:imagedata o:title=""/>
              <o:lock v:ext="edit" aspectratio="f"/>
              <v:textbox inset="0mm,0mm,0mm,0mm" style="mso-fit-shape-to-text:t;">
                <w:txbxContent>
                  <w:p>
                    <w:pPr>
                      <w:pStyle w:val="53"/>
                      <w:tabs>
                        <w:tab w:val="left" w:pos="3960"/>
                        <w:tab w:val="center" w:pos="4333"/>
                        <w:tab w:val="left" w:pos="5049"/>
                      </w:tabs>
                      <w:jc w:val="center"/>
                    </w:pPr>
                    <w:r>
                      <w:fldChar w:fldCharType="begin"/>
                    </w:r>
                    <w:r>
                      <w:instrText xml:space="preserve">PAGE   \* MERGEFORMAT</w:instrText>
                    </w:r>
                    <w:r>
                      <w:fldChar w:fldCharType="separate"/>
                    </w:r>
                    <w:r>
                      <w:rPr>
                        <w:lang w:val="zh-CN"/>
                      </w:rPr>
                      <w:t>3</w:t>
                    </w:r>
                    <w:r>
                      <w:rPr>
                        <w:lang w:val="zh-CN"/>
                      </w:rPr>
                      <w:fldChar w:fldCharType="end"/>
                    </w:r>
                  </w:p>
                </w:txbxContent>
              </v:textbox>
            </v:shape>
          </w:pict>
        </mc:Fallback>
      </mc:AlternateContent>
    </w:r>
  </w:p>
  <w:p>
    <w:pPr>
      <w:pStyle w:val="53"/>
      <w:rPr>
        <w:rFonts w:eastAsia="仿宋"/>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tabs>
        <w:tab w:val="left" w:pos="3960"/>
        <w:tab w:val="center" w:pos="4333"/>
        <w:tab w:val="left" w:pos="5049"/>
      </w:tabs>
      <w:rPr>
        <w:b/>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6205" cy="139700"/>
              <wp:effectExtent l="0" t="0" r="17145" b="12700"/>
              <wp:wrapNone/>
              <wp:docPr id="6" name="文本框 6"/>
              <wp:cNvGraphicFramePr/>
              <a:graphic xmlns:a="http://schemas.openxmlformats.org/drawingml/2006/main">
                <a:graphicData uri="http://schemas.microsoft.com/office/word/2010/wordprocessingShape">
                  <wps:wsp>
                    <wps:cNvSpPr txBox="1"/>
                    <wps:spPr>
                      <a:xfrm>
                        <a:off x="0" y="0"/>
                        <a:ext cx="116205" cy="139700"/>
                      </a:xfrm>
                      <a:prstGeom prst="rect">
                        <a:avLst/>
                      </a:prstGeom>
                      <a:noFill/>
                      <a:ln>
                        <a:noFill/>
                      </a:ln>
                    </wps:spPr>
                    <wps:txbx>
                      <w:txbxContent>
                        <w:p>
                          <w:pPr>
                            <w:pStyle w:val="53"/>
                          </w:pPr>
                          <w:r>
                            <w:fldChar w:fldCharType="begin"/>
                          </w:r>
                          <w:r>
                            <w:instrText xml:space="preserve"> PAGE  \* MERGEFORMAT </w:instrText>
                          </w:r>
                          <w:r>
                            <w:fldChar w:fldCharType="separate"/>
                          </w:r>
                          <w:r>
                            <w:t>102</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1pt;width:9.15pt;mso-position-horizontal:center;mso-position-horizontal-relative:margin;mso-wrap-style:none;z-index:251662336;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OF+f3HHAQAAiwMAAA4AAABkcnMvZTJvRG9jLnhtbK1TzY7TMBC+I/EO&#10;lu/UaREFoqYrULUICQHSwgO4jt1Y8p88bpO+ALwBJy7cea4+x46dtMvuXvbAxRnPjL+Z75vJ6mqw&#10;hhxkBO1dQ+ezihLphG+12zX0+7frF28ogcRdy413sqFHCfRq/fzZqg+1XPjOm1ZGgiAO6j40tEsp&#10;1IyB6KTlMPNBOgwqHy1PeI071kbeI7o1bFFVS9b72IbohQRA72YM0gkxPgXQK6WF3Hixt9KlETVK&#10;wxNSgk4HoOvSrVJSpC9KgUzENBSZpnJiEbS3+WTrFa93kYdOi6kF/pQWHnCyXDsseoHa8MTJPupH&#10;UFaL6MGrNBPespFIUQRZzKsH2tx0PMjCBaWGcBEd/h+s+Hz4GoluG7qkxHGLAz/9+nn6/ff05wdZ&#10;Znn6ADVm3QTMS8N7P+DSnP2Azsx6UNHmL/IhGEdxjxdx5ZCIyI/my0X1ihKBofnLt6+rIj67exwi&#10;pA/SW5KNhkacXZGUHz5BwkYw9ZySazl/rY0p8zPungMTs4flzscOs5WG7TDR2fr2iGx6HHtDHW45&#10;JeajQ1XzhpyNeDa2k5FrQHi3T1i49JNRR6ipGM6otDntU16Cf+8l6+4fWt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i6WFNAAAAADAQAADwAAAAAAAAABACAAAAAiAAAAZHJzL2Rvd25yZXYueG1s&#10;UEsBAhQAFAAAAAgAh07iQOF+f3HHAQAAiwMAAA4AAAAAAAAAAQAgAAAAHwEAAGRycy9lMm9Eb2Mu&#10;eG1sUEsFBgAAAAAGAAYAWQEAAFgFAAAAAA==&#10;">
              <v:fill on="f" focussize="0,0"/>
              <v:stroke on="f"/>
              <v:imagedata o:title=""/>
              <o:lock v:ext="edit" aspectratio="f"/>
              <v:textbox inset="0mm,0mm,0mm,0mm" style="mso-fit-shape-to-text:t;">
                <w:txbxContent>
                  <w:p>
                    <w:pPr>
                      <w:pStyle w:val="53"/>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89622880"/>
    </w:sdtPr>
    <w:sdtContent>
      <w:p>
        <w:pPr>
          <w:pStyle w:val="53"/>
          <w:jc w:val="center"/>
        </w:pPr>
        <w:r>
          <w:fldChar w:fldCharType="begin"/>
        </w:r>
        <w:r>
          <w:instrText xml:space="preserve">PAGE   \* MERGEFORMAT</w:instrText>
        </w:r>
        <w:r>
          <w:fldChar w:fldCharType="separate"/>
        </w:r>
        <w:r>
          <w:rPr>
            <w:lang w:val="zh-CN"/>
          </w:rPr>
          <w:t>238</w:t>
        </w:r>
        <w:r>
          <w:fldChar w:fldCharType="end"/>
        </w:r>
      </w:p>
    </w:sdtContent>
  </w:sdt>
  <w:p>
    <w:pPr>
      <w:pStyle w:val="5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3183763"/>
    </w:sdtPr>
    <w:sdtContent>
      <w:p>
        <w:pPr>
          <w:pStyle w:val="53"/>
          <w:jc w:val="center"/>
        </w:pPr>
        <w:r>
          <w:fldChar w:fldCharType="begin"/>
        </w:r>
        <w:r>
          <w:instrText xml:space="preserve">PAGE   \* MERGEFORMAT</w:instrText>
        </w:r>
        <w:r>
          <w:fldChar w:fldCharType="separate"/>
        </w:r>
        <w:r>
          <w:rPr>
            <w:lang w:val="zh-CN"/>
          </w:rPr>
          <w:t>249</w:t>
        </w:r>
        <w:r>
          <w:fldChar w:fldCharType="end"/>
        </w:r>
      </w:p>
    </w:sdtContent>
  </w:sdt>
  <w:p>
    <w:pPr>
      <w:pStyle w:val="5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rPr>
        <w:rFonts w:ascii="华文仿宋" w:hAnsi="华文仿宋" w:eastAsia="华文仿宋"/>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8EA3CF"/>
    <w:multiLevelType w:val="singleLevel"/>
    <w:tmpl w:val="B58EA3CF"/>
    <w:lvl w:ilvl="0" w:tentative="0">
      <w:start w:val="2"/>
      <w:numFmt w:val="decimal"/>
      <w:pStyle w:val="1683"/>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789"/>
    <w:rsid w:val="00003DFD"/>
    <w:rsid w:val="000045D0"/>
    <w:rsid w:val="00004DB2"/>
    <w:rsid w:val="000053EA"/>
    <w:rsid w:val="000062EE"/>
    <w:rsid w:val="00006459"/>
    <w:rsid w:val="00006B6B"/>
    <w:rsid w:val="00007790"/>
    <w:rsid w:val="00007F86"/>
    <w:rsid w:val="00010DA3"/>
    <w:rsid w:val="00010EB9"/>
    <w:rsid w:val="00011C81"/>
    <w:rsid w:val="000139F5"/>
    <w:rsid w:val="00014921"/>
    <w:rsid w:val="00014C8A"/>
    <w:rsid w:val="00014F7A"/>
    <w:rsid w:val="0001608C"/>
    <w:rsid w:val="00020006"/>
    <w:rsid w:val="00021A1E"/>
    <w:rsid w:val="00023C5D"/>
    <w:rsid w:val="000242A6"/>
    <w:rsid w:val="000244CE"/>
    <w:rsid w:val="0002569E"/>
    <w:rsid w:val="0002597E"/>
    <w:rsid w:val="0002604F"/>
    <w:rsid w:val="00027A67"/>
    <w:rsid w:val="00027C31"/>
    <w:rsid w:val="00027F8B"/>
    <w:rsid w:val="0003049C"/>
    <w:rsid w:val="00030E5E"/>
    <w:rsid w:val="00034136"/>
    <w:rsid w:val="0003558F"/>
    <w:rsid w:val="00035641"/>
    <w:rsid w:val="000361C0"/>
    <w:rsid w:val="000376E8"/>
    <w:rsid w:val="00041CA0"/>
    <w:rsid w:val="0004215D"/>
    <w:rsid w:val="0004272A"/>
    <w:rsid w:val="00044CD1"/>
    <w:rsid w:val="00044DB7"/>
    <w:rsid w:val="000455F6"/>
    <w:rsid w:val="00045AF3"/>
    <w:rsid w:val="00046C82"/>
    <w:rsid w:val="000470C8"/>
    <w:rsid w:val="00047191"/>
    <w:rsid w:val="00047575"/>
    <w:rsid w:val="0004799C"/>
    <w:rsid w:val="00047A93"/>
    <w:rsid w:val="000502E1"/>
    <w:rsid w:val="00050317"/>
    <w:rsid w:val="0005275E"/>
    <w:rsid w:val="000535F7"/>
    <w:rsid w:val="0005493E"/>
    <w:rsid w:val="00055EC0"/>
    <w:rsid w:val="0005613D"/>
    <w:rsid w:val="00056A49"/>
    <w:rsid w:val="00056B9B"/>
    <w:rsid w:val="00060156"/>
    <w:rsid w:val="000659A5"/>
    <w:rsid w:val="00065C71"/>
    <w:rsid w:val="000660DA"/>
    <w:rsid w:val="000669F3"/>
    <w:rsid w:val="00067418"/>
    <w:rsid w:val="000676CC"/>
    <w:rsid w:val="00070D64"/>
    <w:rsid w:val="00071CC3"/>
    <w:rsid w:val="00072071"/>
    <w:rsid w:val="00072DA4"/>
    <w:rsid w:val="00073D77"/>
    <w:rsid w:val="00075DC5"/>
    <w:rsid w:val="00080370"/>
    <w:rsid w:val="000846A6"/>
    <w:rsid w:val="00086C8B"/>
    <w:rsid w:val="00086D74"/>
    <w:rsid w:val="00087BA4"/>
    <w:rsid w:val="00087C99"/>
    <w:rsid w:val="0009199D"/>
    <w:rsid w:val="0009274C"/>
    <w:rsid w:val="00093122"/>
    <w:rsid w:val="00095B25"/>
    <w:rsid w:val="00096C02"/>
    <w:rsid w:val="00096C0E"/>
    <w:rsid w:val="000A048C"/>
    <w:rsid w:val="000A270A"/>
    <w:rsid w:val="000A3C79"/>
    <w:rsid w:val="000A3EAF"/>
    <w:rsid w:val="000A3F52"/>
    <w:rsid w:val="000A40AC"/>
    <w:rsid w:val="000A464B"/>
    <w:rsid w:val="000A4905"/>
    <w:rsid w:val="000A73AE"/>
    <w:rsid w:val="000B09EC"/>
    <w:rsid w:val="000B0CE3"/>
    <w:rsid w:val="000B2CDF"/>
    <w:rsid w:val="000B34AB"/>
    <w:rsid w:val="000B50AA"/>
    <w:rsid w:val="000B5CA8"/>
    <w:rsid w:val="000B6116"/>
    <w:rsid w:val="000C04E7"/>
    <w:rsid w:val="000C14FE"/>
    <w:rsid w:val="000C1BB5"/>
    <w:rsid w:val="000C2FFD"/>
    <w:rsid w:val="000C38EF"/>
    <w:rsid w:val="000D12F6"/>
    <w:rsid w:val="000D16AC"/>
    <w:rsid w:val="000D1AE6"/>
    <w:rsid w:val="000D2939"/>
    <w:rsid w:val="000D342E"/>
    <w:rsid w:val="000D34CB"/>
    <w:rsid w:val="000D3518"/>
    <w:rsid w:val="000D7511"/>
    <w:rsid w:val="000D7547"/>
    <w:rsid w:val="000D7D46"/>
    <w:rsid w:val="000E06BA"/>
    <w:rsid w:val="000E1333"/>
    <w:rsid w:val="000E16E1"/>
    <w:rsid w:val="000E242C"/>
    <w:rsid w:val="000E551D"/>
    <w:rsid w:val="000E5E48"/>
    <w:rsid w:val="000E6762"/>
    <w:rsid w:val="000E7351"/>
    <w:rsid w:val="000F0ECC"/>
    <w:rsid w:val="000F1711"/>
    <w:rsid w:val="000F172F"/>
    <w:rsid w:val="000F18B3"/>
    <w:rsid w:val="000F2A95"/>
    <w:rsid w:val="000F36D5"/>
    <w:rsid w:val="000F3791"/>
    <w:rsid w:val="000F3DF9"/>
    <w:rsid w:val="000F4FF1"/>
    <w:rsid w:val="000F569F"/>
    <w:rsid w:val="000F65A9"/>
    <w:rsid w:val="000F6682"/>
    <w:rsid w:val="000F6D13"/>
    <w:rsid w:val="000F74E0"/>
    <w:rsid w:val="00101158"/>
    <w:rsid w:val="00101E5C"/>
    <w:rsid w:val="0010323D"/>
    <w:rsid w:val="00103A12"/>
    <w:rsid w:val="00103C91"/>
    <w:rsid w:val="0010584D"/>
    <w:rsid w:val="00106BA6"/>
    <w:rsid w:val="00106E06"/>
    <w:rsid w:val="00107A5B"/>
    <w:rsid w:val="0011009F"/>
    <w:rsid w:val="00114471"/>
    <w:rsid w:val="001153CD"/>
    <w:rsid w:val="0011558C"/>
    <w:rsid w:val="00115C65"/>
    <w:rsid w:val="0011627D"/>
    <w:rsid w:val="0011713A"/>
    <w:rsid w:val="00121A31"/>
    <w:rsid w:val="00121B9F"/>
    <w:rsid w:val="00121BDE"/>
    <w:rsid w:val="001220E2"/>
    <w:rsid w:val="00123159"/>
    <w:rsid w:val="00123488"/>
    <w:rsid w:val="00123545"/>
    <w:rsid w:val="00123D63"/>
    <w:rsid w:val="00124781"/>
    <w:rsid w:val="00126185"/>
    <w:rsid w:val="00126E5E"/>
    <w:rsid w:val="00127CE1"/>
    <w:rsid w:val="00130448"/>
    <w:rsid w:val="00130AA4"/>
    <w:rsid w:val="00131828"/>
    <w:rsid w:val="00131B76"/>
    <w:rsid w:val="001325E3"/>
    <w:rsid w:val="00132C72"/>
    <w:rsid w:val="0013389B"/>
    <w:rsid w:val="001359F8"/>
    <w:rsid w:val="00136681"/>
    <w:rsid w:val="001368E5"/>
    <w:rsid w:val="00137588"/>
    <w:rsid w:val="0013787D"/>
    <w:rsid w:val="00137E75"/>
    <w:rsid w:val="001401BB"/>
    <w:rsid w:val="00142D02"/>
    <w:rsid w:val="00144E33"/>
    <w:rsid w:val="00144FCC"/>
    <w:rsid w:val="0014681D"/>
    <w:rsid w:val="00146D6B"/>
    <w:rsid w:val="001503AA"/>
    <w:rsid w:val="00150BB6"/>
    <w:rsid w:val="001517AA"/>
    <w:rsid w:val="0015181B"/>
    <w:rsid w:val="001518BC"/>
    <w:rsid w:val="00151F01"/>
    <w:rsid w:val="00152468"/>
    <w:rsid w:val="00154027"/>
    <w:rsid w:val="001556F5"/>
    <w:rsid w:val="00156584"/>
    <w:rsid w:val="00156612"/>
    <w:rsid w:val="00156918"/>
    <w:rsid w:val="0015748F"/>
    <w:rsid w:val="00157E5B"/>
    <w:rsid w:val="001607F7"/>
    <w:rsid w:val="00160EBB"/>
    <w:rsid w:val="00161B84"/>
    <w:rsid w:val="001638AE"/>
    <w:rsid w:val="00165BBB"/>
    <w:rsid w:val="00166674"/>
    <w:rsid w:val="001668B0"/>
    <w:rsid w:val="00166D6B"/>
    <w:rsid w:val="00167009"/>
    <w:rsid w:val="00167DA7"/>
    <w:rsid w:val="00170546"/>
    <w:rsid w:val="00170E73"/>
    <w:rsid w:val="00171A21"/>
    <w:rsid w:val="00172A27"/>
    <w:rsid w:val="00172CE5"/>
    <w:rsid w:val="0017305D"/>
    <w:rsid w:val="00173414"/>
    <w:rsid w:val="00173678"/>
    <w:rsid w:val="00174D6E"/>
    <w:rsid w:val="00176D3E"/>
    <w:rsid w:val="00180202"/>
    <w:rsid w:val="001802BF"/>
    <w:rsid w:val="00181D29"/>
    <w:rsid w:val="00181FC1"/>
    <w:rsid w:val="00182381"/>
    <w:rsid w:val="00182B4A"/>
    <w:rsid w:val="001836FF"/>
    <w:rsid w:val="001839E9"/>
    <w:rsid w:val="001842AD"/>
    <w:rsid w:val="0018462D"/>
    <w:rsid w:val="00184708"/>
    <w:rsid w:val="00185131"/>
    <w:rsid w:val="00187ADC"/>
    <w:rsid w:val="001903C4"/>
    <w:rsid w:val="00190924"/>
    <w:rsid w:val="0019111C"/>
    <w:rsid w:val="0019308C"/>
    <w:rsid w:val="00193726"/>
    <w:rsid w:val="00194063"/>
    <w:rsid w:val="00194143"/>
    <w:rsid w:val="00194619"/>
    <w:rsid w:val="0019547E"/>
    <w:rsid w:val="00195A11"/>
    <w:rsid w:val="00195E2D"/>
    <w:rsid w:val="00196556"/>
    <w:rsid w:val="0019703E"/>
    <w:rsid w:val="00197BDF"/>
    <w:rsid w:val="00197CF2"/>
    <w:rsid w:val="00197FB3"/>
    <w:rsid w:val="001A003C"/>
    <w:rsid w:val="001A07EA"/>
    <w:rsid w:val="001A09E6"/>
    <w:rsid w:val="001A15C0"/>
    <w:rsid w:val="001A18FE"/>
    <w:rsid w:val="001A24F7"/>
    <w:rsid w:val="001A41F9"/>
    <w:rsid w:val="001A445D"/>
    <w:rsid w:val="001A52A2"/>
    <w:rsid w:val="001A7E53"/>
    <w:rsid w:val="001B09AC"/>
    <w:rsid w:val="001B1DEC"/>
    <w:rsid w:val="001B2419"/>
    <w:rsid w:val="001B2DEC"/>
    <w:rsid w:val="001B4165"/>
    <w:rsid w:val="001B4E15"/>
    <w:rsid w:val="001B5365"/>
    <w:rsid w:val="001B5BB9"/>
    <w:rsid w:val="001B6646"/>
    <w:rsid w:val="001B6CA3"/>
    <w:rsid w:val="001B6CFB"/>
    <w:rsid w:val="001B7036"/>
    <w:rsid w:val="001B71C8"/>
    <w:rsid w:val="001B73B4"/>
    <w:rsid w:val="001C25D6"/>
    <w:rsid w:val="001C2986"/>
    <w:rsid w:val="001C4625"/>
    <w:rsid w:val="001C5619"/>
    <w:rsid w:val="001C5A3A"/>
    <w:rsid w:val="001C6985"/>
    <w:rsid w:val="001C69FE"/>
    <w:rsid w:val="001C7A1A"/>
    <w:rsid w:val="001D048C"/>
    <w:rsid w:val="001D189F"/>
    <w:rsid w:val="001D25E6"/>
    <w:rsid w:val="001D2673"/>
    <w:rsid w:val="001D2B46"/>
    <w:rsid w:val="001D3031"/>
    <w:rsid w:val="001D41F4"/>
    <w:rsid w:val="001D4460"/>
    <w:rsid w:val="001D4B83"/>
    <w:rsid w:val="001E052A"/>
    <w:rsid w:val="001E090D"/>
    <w:rsid w:val="001E0C2D"/>
    <w:rsid w:val="001E2B27"/>
    <w:rsid w:val="001E2F16"/>
    <w:rsid w:val="001E56B6"/>
    <w:rsid w:val="001E56FA"/>
    <w:rsid w:val="001E7C94"/>
    <w:rsid w:val="001E7FC6"/>
    <w:rsid w:val="001F01E9"/>
    <w:rsid w:val="001F0558"/>
    <w:rsid w:val="001F1EC2"/>
    <w:rsid w:val="001F3769"/>
    <w:rsid w:val="001F6F9F"/>
    <w:rsid w:val="001F70B1"/>
    <w:rsid w:val="001F7D8B"/>
    <w:rsid w:val="00200032"/>
    <w:rsid w:val="00200826"/>
    <w:rsid w:val="00200D56"/>
    <w:rsid w:val="00202D22"/>
    <w:rsid w:val="00203575"/>
    <w:rsid w:val="00203FAD"/>
    <w:rsid w:val="00204AE0"/>
    <w:rsid w:val="00206B2F"/>
    <w:rsid w:val="0020735C"/>
    <w:rsid w:val="002078EA"/>
    <w:rsid w:val="00207ECE"/>
    <w:rsid w:val="002103BD"/>
    <w:rsid w:val="00211B9B"/>
    <w:rsid w:val="00211E5A"/>
    <w:rsid w:val="00212585"/>
    <w:rsid w:val="00213B94"/>
    <w:rsid w:val="002148CF"/>
    <w:rsid w:val="00214F64"/>
    <w:rsid w:val="00215A08"/>
    <w:rsid w:val="00216551"/>
    <w:rsid w:val="002178B6"/>
    <w:rsid w:val="00217DF4"/>
    <w:rsid w:val="00220BCE"/>
    <w:rsid w:val="002220A5"/>
    <w:rsid w:val="00222C7D"/>
    <w:rsid w:val="0022335E"/>
    <w:rsid w:val="00223DB6"/>
    <w:rsid w:val="00224008"/>
    <w:rsid w:val="00225546"/>
    <w:rsid w:val="002304E2"/>
    <w:rsid w:val="00230AA4"/>
    <w:rsid w:val="00230C4F"/>
    <w:rsid w:val="00230EAB"/>
    <w:rsid w:val="00231A19"/>
    <w:rsid w:val="00231B48"/>
    <w:rsid w:val="00233F31"/>
    <w:rsid w:val="002367DA"/>
    <w:rsid w:val="00237A24"/>
    <w:rsid w:val="00241DB6"/>
    <w:rsid w:val="002421D0"/>
    <w:rsid w:val="00242571"/>
    <w:rsid w:val="00242B36"/>
    <w:rsid w:val="00242B6E"/>
    <w:rsid w:val="002451AA"/>
    <w:rsid w:val="00245872"/>
    <w:rsid w:val="002514C3"/>
    <w:rsid w:val="00252A02"/>
    <w:rsid w:val="00253CAC"/>
    <w:rsid w:val="0025590A"/>
    <w:rsid w:val="00256A85"/>
    <w:rsid w:val="00260833"/>
    <w:rsid w:val="00261063"/>
    <w:rsid w:val="002614B6"/>
    <w:rsid w:val="002617DB"/>
    <w:rsid w:val="0026225E"/>
    <w:rsid w:val="0026252E"/>
    <w:rsid w:val="00262753"/>
    <w:rsid w:val="00264218"/>
    <w:rsid w:val="00264B27"/>
    <w:rsid w:val="00266E5C"/>
    <w:rsid w:val="00266EC9"/>
    <w:rsid w:val="00270D9B"/>
    <w:rsid w:val="002713BA"/>
    <w:rsid w:val="002725FA"/>
    <w:rsid w:val="00272B62"/>
    <w:rsid w:val="00273533"/>
    <w:rsid w:val="00273C8B"/>
    <w:rsid w:val="0027544A"/>
    <w:rsid w:val="00275658"/>
    <w:rsid w:val="0027587D"/>
    <w:rsid w:val="00277F11"/>
    <w:rsid w:val="00282DF3"/>
    <w:rsid w:val="00285E23"/>
    <w:rsid w:val="002878BF"/>
    <w:rsid w:val="00287DB5"/>
    <w:rsid w:val="00290824"/>
    <w:rsid w:val="00291893"/>
    <w:rsid w:val="002923E0"/>
    <w:rsid w:val="002955C4"/>
    <w:rsid w:val="00295FD3"/>
    <w:rsid w:val="00296F3E"/>
    <w:rsid w:val="00297605"/>
    <w:rsid w:val="002979CC"/>
    <w:rsid w:val="002A06BE"/>
    <w:rsid w:val="002A074E"/>
    <w:rsid w:val="002A10BE"/>
    <w:rsid w:val="002A1AD7"/>
    <w:rsid w:val="002A1DEC"/>
    <w:rsid w:val="002A34F0"/>
    <w:rsid w:val="002A37F2"/>
    <w:rsid w:val="002A4D3E"/>
    <w:rsid w:val="002A5781"/>
    <w:rsid w:val="002B243C"/>
    <w:rsid w:val="002B453B"/>
    <w:rsid w:val="002B465D"/>
    <w:rsid w:val="002B47D9"/>
    <w:rsid w:val="002B64D3"/>
    <w:rsid w:val="002C003E"/>
    <w:rsid w:val="002C0977"/>
    <w:rsid w:val="002C10FE"/>
    <w:rsid w:val="002C18B5"/>
    <w:rsid w:val="002C1C23"/>
    <w:rsid w:val="002C28A7"/>
    <w:rsid w:val="002C373E"/>
    <w:rsid w:val="002C405B"/>
    <w:rsid w:val="002C4794"/>
    <w:rsid w:val="002C4EDC"/>
    <w:rsid w:val="002C4F0F"/>
    <w:rsid w:val="002C5E49"/>
    <w:rsid w:val="002C6224"/>
    <w:rsid w:val="002C66E4"/>
    <w:rsid w:val="002C6AE8"/>
    <w:rsid w:val="002C7578"/>
    <w:rsid w:val="002C7E21"/>
    <w:rsid w:val="002D1627"/>
    <w:rsid w:val="002D3751"/>
    <w:rsid w:val="002D3AB4"/>
    <w:rsid w:val="002D417B"/>
    <w:rsid w:val="002D45F2"/>
    <w:rsid w:val="002D4751"/>
    <w:rsid w:val="002D5165"/>
    <w:rsid w:val="002D583F"/>
    <w:rsid w:val="002D7082"/>
    <w:rsid w:val="002E00AA"/>
    <w:rsid w:val="002E0D64"/>
    <w:rsid w:val="002E17EF"/>
    <w:rsid w:val="002E1EBF"/>
    <w:rsid w:val="002E2BBE"/>
    <w:rsid w:val="002E36AB"/>
    <w:rsid w:val="002E3D94"/>
    <w:rsid w:val="002E4643"/>
    <w:rsid w:val="002E4AA5"/>
    <w:rsid w:val="002E51F0"/>
    <w:rsid w:val="002E5303"/>
    <w:rsid w:val="002E59FD"/>
    <w:rsid w:val="002E6017"/>
    <w:rsid w:val="002E646F"/>
    <w:rsid w:val="002E78D5"/>
    <w:rsid w:val="002E7DB4"/>
    <w:rsid w:val="002F0301"/>
    <w:rsid w:val="002F030C"/>
    <w:rsid w:val="002F1B3A"/>
    <w:rsid w:val="002F276C"/>
    <w:rsid w:val="002F7575"/>
    <w:rsid w:val="002F7980"/>
    <w:rsid w:val="003001B6"/>
    <w:rsid w:val="00301691"/>
    <w:rsid w:val="00305524"/>
    <w:rsid w:val="00305CA9"/>
    <w:rsid w:val="00306BDB"/>
    <w:rsid w:val="003073E0"/>
    <w:rsid w:val="003075A3"/>
    <w:rsid w:val="00310067"/>
    <w:rsid w:val="0031075E"/>
    <w:rsid w:val="00311233"/>
    <w:rsid w:val="00311DEA"/>
    <w:rsid w:val="0031203C"/>
    <w:rsid w:val="00313EF5"/>
    <w:rsid w:val="003153DF"/>
    <w:rsid w:val="0031584A"/>
    <w:rsid w:val="00317399"/>
    <w:rsid w:val="00317504"/>
    <w:rsid w:val="003175F7"/>
    <w:rsid w:val="003207BD"/>
    <w:rsid w:val="00321641"/>
    <w:rsid w:val="003229B5"/>
    <w:rsid w:val="003238C1"/>
    <w:rsid w:val="0032519F"/>
    <w:rsid w:val="0032653D"/>
    <w:rsid w:val="003267FF"/>
    <w:rsid w:val="0033006D"/>
    <w:rsid w:val="003301EE"/>
    <w:rsid w:val="003304B9"/>
    <w:rsid w:val="00330C61"/>
    <w:rsid w:val="00330FA7"/>
    <w:rsid w:val="003319B6"/>
    <w:rsid w:val="00332081"/>
    <w:rsid w:val="00332C7A"/>
    <w:rsid w:val="00332F10"/>
    <w:rsid w:val="00334765"/>
    <w:rsid w:val="00334A11"/>
    <w:rsid w:val="0033592F"/>
    <w:rsid w:val="00335B6A"/>
    <w:rsid w:val="003361E9"/>
    <w:rsid w:val="003365FD"/>
    <w:rsid w:val="00336DB6"/>
    <w:rsid w:val="00337796"/>
    <w:rsid w:val="003407F7"/>
    <w:rsid w:val="003409F8"/>
    <w:rsid w:val="0034140E"/>
    <w:rsid w:val="0034338F"/>
    <w:rsid w:val="00343A98"/>
    <w:rsid w:val="003440CD"/>
    <w:rsid w:val="00344D44"/>
    <w:rsid w:val="00344D58"/>
    <w:rsid w:val="00347669"/>
    <w:rsid w:val="00350D96"/>
    <w:rsid w:val="00351760"/>
    <w:rsid w:val="003517EF"/>
    <w:rsid w:val="00352723"/>
    <w:rsid w:val="0035283C"/>
    <w:rsid w:val="00352F08"/>
    <w:rsid w:val="00354E42"/>
    <w:rsid w:val="0035542F"/>
    <w:rsid w:val="003557A4"/>
    <w:rsid w:val="0035606C"/>
    <w:rsid w:val="00356E3A"/>
    <w:rsid w:val="003602BF"/>
    <w:rsid w:val="0036037B"/>
    <w:rsid w:val="00362F85"/>
    <w:rsid w:val="00364550"/>
    <w:rsid w:val="003649C8"/>
    <w:rsid w:val="00365807"/>
    <w:rsid w:val="00366317"/>
    <w:rsid w:val="003668A8"/>
    <w:rsid w:val="0036723C"/>
    <w:rsid w:val="003709F7"/>
    <w:rsid w:val="00372297"/>
    <w:rsid w:val="003722B5"/>
    <w:rsid w:val="0037231F"/>
    <w:rsid w:val="00374DC8"/>
    <w:rsid w:val="00375156"/>
    <w:rsid w:val="003752DF"/>
    <w:rsid w:val="00375E36"/>
    <w:rsid w:val="00375FCD"/>
    <w:rsid w:val="003764D5"/>
    <w:rsid w:val="00376AEE"/>
    <w:rsid w:val="00376D51"/>
    <w:rsid w:val="00377075"/>
    <w:rsid w:val="00377CF6"/>
    <w:rsid w:val="00377F66"/>
    <w:rsid w:val="00381A3C"/>
    <w:rsid w:val="00382BB6"/>
    <w:rsid w:val="003849F7"/>
    <w:rsid w:val="00386947"/>
    <w:rsid w:val="00391A0D"/>
    <w:rsid w:val="00392395"/>
    <w:rsid w:val="003924BB"/>
    <w:rsid w:val="003944B1"/>
    <w:rsid w:val="00395AF4"/>
    <w:rsid w:val="00395DF2"/>
    <w:rsid w:val="003A03FC"/>
    <w:rsid w:val="003A05AA"/>
    <w:rsid w:val="003A0819"/>
    <w:rsid w:val="003A09DF"/>
    <w:rsid w:val="003A0CD2"/>
    <w:rsid w:val="003A135F"/>
    <w:rsid w:val="003A3776"/>
    <w:rsid w:val="003A40ED"/>
    <w:rsid w:val="003A4E86"/>
    <w:rsid w:val="003A5AB3"/>
    <w:rsid w:val="003A6978"/>
    <w:rsid w:val="003A69CE"/>
    <w:rsid w:val="003B0248"/>
    <w:rsid w:val="003B114B"/>
    <w:rsid w:val="003B1207"/>
    <w:rsid w:val="003B2828"/>
    <w:rsid w:val="003B33F0"/>
    <w:rsid w:val="003B34B7"/>
    <w:rsid w:val="003B3BD1"/>
    <w:rsid w:val="003B4452"/>
    <w:rsid w:val="003B44B1"/>
    <w:rsid w:val="003B483C"/>
    <w:rsid w:val="003B4EC6"/>
    <w:rsid w:val="003B6D6B"/>
    <w:rsid w:val="003B7892"/>
    <w:rsid w:val="003B7EDC"/>
    <w:rsid w:val="003C12D3"/>
    <w:rsid w:val="003C1BE6"/>
    <w:rsid w:val="003C2874"/>
    <w:rsid w:val="003C37E3"/>
    <w:rsid w:val="003C49C5"/>
    <w:rsid w:val="003C6314"/>
    <w:rsid w:val="003C791F"/>
    <w:rsid w:val="003C7F83"/>
    <w:rsid w:val="003D114F"/>
    <w:rsid w:val="003D1E2F"/>
    <w:rsid w:val="003D203D"/>
    <w:rsid w:val="003D2A97"/>
    <w:rsid w:val="003D3336"/>
    <w:rsid w:val="003D3CA0"/>
    <w:rsid w:val="003D44FD"/>
    <w:rsid w:val="003D4C60"/>
    <w:rsid w:val="003D535B"/>
    <w:rsid w:val="003D5369"/>
    <w:rsid w:val="003D5B60"/>
    <w:rsid w:val="003D750F"/>
    <w:rsid w:val="003E1D76"/>
    <w:rsid w:val="003E28D4"/>
    <w:rsid w:val="003E6D3E"/>
    <w:rsid w:val="003E7DD6"/>
    <w:rsid w:val="003F1968"/>
    <w:rsid w:val="003F1F91"/>
    <w:rsid w:val="003F2B2F"/>
    <w:rsid w:val="003F3D7D"/>
    <w:rsid w:val="003F4250"/>
    <w:rsid w:val="003F45C7"/>
    <w:rsid w:val="003F4C83"/>
    <w:rsid w:val="003F50F0"/>
    <w:rsid w:val="003F6DD2"/>
    <w:rsid w:val="003F700C"/>
    <w:rsid w:val="003F7D85"/>
    <w:rsid w:val="00400300"/>
    <w:rsid w:val="0040038A"/>
    <w:rsid w:val="00400457"/>
    <w:rsid w:val="004004A9"/>
    <w:rsid w:val="00400751"/>
    <w:rsid w:val="0040192A"/>
    <w:rsid w:val="00401E37"/>
    <w:rsid w:val="004025F8"/>
    <w:rsid w:val="00406346"/>
    <w:rsid w:val="004075C2"/>
    <w:rsid w:val="00407DD9"/>
    <w:rsid w:val="00410E48"/>
    <w:rsid w:val="00411293"/>
    <w:rsid w:val="00411421"/>
    <w:rsid w:val="00411FF4"/>
    <w:rsid w:val="00413AB2"/>
    <w:rsid w:val="004146CF"/>
    <w:rsid w:val="00416BDA"/>
    <w:rsid w:val="0041720C"/>
    <w:rsid w:val="00417521"/>
    <w:rsid w:val="00420740"/>
    <w:rsid w:val="00420F65"/>
    <w:rsid w:val="0042112A"/>
    <w:rsid w:val="004217D6"/>
    <w:rsid w:val="004235B5"/>
    <w:rsid w:val="00424C65"/>
    <w:rsid w:val="0042695E"/>
    <w:rsid w:val="00426BC0"/>
    <w:rsid w:val="00426EA3"/>
    <w:rsid w:val="00427378"/>
    <w:rsid w:val="00431D12"/>
    <w:rsid w:val="00433BD8"/>
    <w:rsid w:val="00433CCC"/>
    <w:rsid w:val="00433FC1"/>
    <w:rsid w:val="004343DF"/>
    <w:rsid w:val="00436122"/>
    <w:rsid w:val="004400D0"/>
    <w:rsid w:val="0044078E"/>
    <w:rsid w:val="00440BFE"/>
    <w:rsid w:val="004415DF"/>
    <w:rsid w:val="00441660"/>
    <w:rsid w:val="004420F8"/>
    <w:rsid w:val="00442588"/>
    <w:rsid w:val="00443B60"/>
    <w:rsid w:val="00443DC5"/>
    <w:rsid w:val="004443CF"/>
    <w:rsid w:val="0044457A"/>
    <w:rsid w:val="004449B8"/>
    <w:rsid w:val="00445679"/>
    <w:rsid w:val="00446D9A"/>
    <w:rsid w:val="00447ACE"/>
    <w:rsid w:val="00447F99"/>
    <w:rsid w:val="00450750"/>
    <w:rsid w:val="00451B78"/>
    <w:rsid w:val="00452443"/>
    <w:rsid w:val="00452624"/>
    <w:rsid w:val="004532AF"/>
    <w:rsid w:val="00454DB3"/>
    <w:rsid w:val="0045552F"/>
    <w:rsid w:val="00456AF4"/>
    <w:rsid w:val="00456B68"/>
    <w:rsid w:val="00456D39"/>
    <w:rsid w:val="004574C6"/>
    <w:rsid w:val="00460D4A"/>
    <w:rsid w:val="0046213C"/>
    <w:rsid w:val="00464F76"/>
    <w:rsid w:val="004655F7"/>
    <w:rsid w:val="0046592C"/>
    <w:rsid w:val="00465EC7"/>
    <w:rsid w:val="00466962"/>
    <w:rsid w:val="00466EF8"/>
    <w:rsid w:val="0046730E"/>
    <w:rsid w:val="0046747C"/>
    <w:rsid w:val="004679FC"/>
    <w:rsid w:val="00467B40"/>
    <w:rsid w:val="00470FF4"/>
    <w:rsid w:val="00471008"/>
    <w:rsid w:val="004713E5"/>
    <w:rsid w:val="00471819"/>
    <w:rsid w:val="004718B8"/>
    <w:rsid w:val="004727BC"/>
    <w:rsid w:val="00473938"/>
    <w:rsid w:val="00474472"/>
    <w:rsid w:val="00474771"/>
    <w:rsid w:val="00474BCA"/>
    <w:rsid w:val="00477347"/>
    <w:rsid w:val="00480C3C"/>
    <w:rsid w:val="00480FE0"/>
    <w:rsid w:val="00481062"/>
    <w:rsid w:val="00483547"/>
    <w:rsid w:val="004840F2"/>
    <w:rsid w:val="004842D0"/>
    <w:rsid w:val="0048480E"/>
    <w:rsid w:val="004848E8"/>
    <w:rsid w:val="004850A1"/>
    <w:rsid w:val="004858EF"/>
    <w:rsid w:val="004870F9"/>
    <w:rsid w:val="00487497"/>
    <w:rsid w:val="00490D2E"/>
    <w:rsid w:val="00490DC8"/>
    <w:rsid w:val="00490EF5"/>
    <w:rsid w:val="00491D70"/>
    <w:rsid w:val="00492AFA"/>
    <w:rsid w:val="00492D50"/>
    <w:rsid w:val="0049350D"/>
    <w:rsid w:val="00493C28"/>
    <w:rsid w:val="0049405F"/>
    <w:rsid w:val="004960FB"/>
    <w:rsid w:val="00496DA8"/>
    <w:rsid w:val="004971C3"/>
    <w:rsid w:val="004A10BA"/>
    <w:rsid w:val="004A19C2"/>
    <w:rsid w:val="004A1E13"/>
    <w:rsid w:val="004A26D9"/>
    <w:rsid w:val="004A3E6E"/>
    <w:rsid w:val="004A4037"/>
    <w:rsid w:val="004A44C3"/>
    <w:rsid w:val="004A5694"/>
    <w:rsid w:val="004A6628"/>
    <w:rsid w:val="004A7BED"/>
    <w:rsid w:val="004B0D60"/>
    <w:rsid w:val="004B1C4E"/>
    <w:rsid w:val="004B1FFE"/>
    <w:rsid w:val="004B229F"/>
    <w:rsid w:val="004B3767"/>
    <w:rsid w:val="004B4323"/>
    <w:rsid w:val="004B458F"/>
    <w:rsid w:val="004B4CE5"/>
    <w:rsid w:val="004B4FA0"/>
    <w:rsid w:val="004B5449"/>
    <w:rsid w:val="004B57A1"/>
    <w:rsid w:val="004B686B"/>
    <w:rsid w:val="004B6BD9"/>
    <w:rsid w:val="004B78F0"/>
    <w:rsid w:val="004C0C9A"/>
    <w:rsid w:val="004C4576"/>
    <w:rsid w:val="004C482A"/>
    <w:rsid w:val="004C616D"/>
    <w:rsid w:val="004C62ED"/>
    <w:rsid w:val="004C6EBD"/>
    <w:rsid w:val="004D004C"/>
    <w:rsid w:val="004D0FA7"/>
    <w:rsid w:val="004D1D5C"/>
    <w:rsid w:val="004D20AA"/>
    <w:rsid w:val="004D2574"/>
    <w:rsid w:val="004D2576"/>
    <w:rsid w:val="004D2E98"/>
    <w:rsid w:val="004D4499"/>
    <w:rsid w:val="004D470C"/>
    <w:rsid w:val="004D4F12"/>
    <w:rsid w:val="004D626F"/>
    <w:rsid w:val="004D66FA"/>
    <w:rsid w:val="004E0416"/>
    <w:rsid w:val="004E0DC7"/>
    <w:rsid w:val="004E1F3B"/>
    <w:rsid w:val="004E2CCD"/>
    <w:rsid w:val="004E33D6"/>
    <w:rsid w:val="004E3969"/>
    <w:rsid w:val="004E3D13"/>
    <w:rsid w:val="004E48F7"/>
    <w:rsid w:val="004E5918"/>
    <w:rsid w:val="004E59AD"/>
    <w:rsid w:val="004E5C92"/>
    <w:rsid w:val="004F0CA9"/>
    <w:rsid w:val="004F1038"/>
    <w:rsid w:val="004F2E95"/>
    <w:rsid w:val="004F3EF9"/>
    <w:rsid w:val="004F4A09"/>
    <w:rsid w:val="004F57E4"/>
    <w:rsid w:val="00500171"/>
    <w:rsid w:val="0050133C"/>
    <w:rsid w:val="0050165E"/>
    <w:rsid w:val="00501B0B"/>
    <w:rsid w:val="00501D51"/>
    <w:rsid w:val="00503844"/>
    <w:rsid w:val="00504A48"/>
    <w:rsid w:val="00505852"/>
    <w:rsid w:val="00505E2D"/>
    <w:rsid w:val="00507874"/>
    <w:rsid w:val="00507A75"/>
    <w:rsid w:val="00507DFC"/>
    <w:rsid w:val="00510670"/>
    <w:rsid w:val="005126DE"/>
    <w:rsid w:val="00512A8B"/>
    <w:rsid w:val="0051342E"/>
    <w:rsid w:val="005146F4"/>
    <w:rsid w:val="0051515C"/>
    <w:rsid w:val="005152C8"/>
    <w:rsid w:val="00515408"/>
    <w:rsid w:val="00516BC9"/>
    <w:rsid w:val="0051785E"/>
    <w:rsid w:val="005179A3"/>
    <w:rsid w:val="00521451"/>
    <w:rsid w:val="005217EC"/>
    <w:rsid w:val="00521978"/>
    <w:rsid w:val="00522B88"/>
    <w:rsid w:val="00523A2B"/>
    <w:rsid w:val="00523CE4"/>
    <w:rsid w:val="00524E3E"/>
    <w:rsid w:val="0052532E"/>
    <w:rsid w:val="005254BB"/>
    <w:rsid w:val="00525E2A"/>
    <w:rsid w:val="005270A0"/>
    <w:rsid w:val="00527484"/>
    <w:rsid w:val="0052794D"/>
    <w:rsid w:val="00527C3D"/>
    <w:rsid w:val="00527F74"/>
    <w:rsid w:val="00530CD6"/>
    <w:rsid w:val="0053174F"/>
    <w:rsid w:val="005318AA"/>
    <w:rsid w:val="00531AEA"/>
    <w:rsid w:val="00531DF1"/>
    <w:rsid w:val="00532011"/>
    <w:rsid w:val="00532E7A"/>
    <w:rsid w:val="0053339D"/>
    <w:rsid w:val="00533695"/>
    <w:rsid w:val="005356F3"/>
    <w:rsid w:val="005356FE"/>
    <w:rsid w:val="00535B09"/>
    <w:rsid w:val="00535CA8"/>
    <w:rsid w:val="00536322"/>
    <w:rsid w:val="0053666E"/>
    <w:rsid w:val="00536876"/>
    <w:rsid w:val="00537BAF"/>
    <w:rsid w:val="00541691"/>
    <w:rsid w:val="00541BBC"/>
    <w:rsid w:val="00544CA5"/>
    <w:rsid w:val="00546846"/>
    <w:rsid w:val="00547F57"/>
    <w:rsid w:val="00550296"/>
    <w:rsid w:val="00550C85"/>
    <w:rsid w:val="00550F27"/>
    <w:rsid w:val="005512CA"/>
    <w:rsid w:val="005522AA"/>
    <w:rsid w:val="005549EC"/>
    <w:rsid w:val="00555E45"/>
    <w:rsid w:val="00557F58"/>
    <w:rsid w:val="00561799"/>
    <w:rsid w:val="005621E0"/>
    <w:rsid w:val="005626D1"/>
    <w:rsid w:val="005638CE"/>
    <w:rsid w:val="005639EE"/>
    <w:rsid w:val="00563E4F"/>
    <w:rsid w:val="00563FBA"/>
    <w:rsid w:val="00565400"/>
    <w:rsid w:val="0056541C"/>
    <w:rsid w:val="00567271"/>
    <w:rsid w:val="0056790C"/>
    <w:rsid w:val="00567DC9"/>
    <w:rsid w:val="00573346"/>
    <w:rsid w:val="00575D06"/>
    <w:rsid w:val="00575D76"/>
    <w:rsid w:val="005760C5"/>
    <w:rsid w:val="00576FA2"/>
    <w:rsid w:val="0058105B"/>
    <w:rsid w:val="0058127E"/>
    <w:rsid w:val="00581B04"/>
    <w:rsid w:val="00581E01"/>
    <w:rsid w:val="00581F46"/>
    <w:rsid w:val="00582099"/>
    <w:rsid w:val="00582B75"/>
    <w:rsid w:val="0058439B"/>
    <w:rsid w:val="00584437"/>
    <w:rsid w:val="00585D64"/>
    <w:rsid w:val="0058744A"/>
    <w:rsid w:val="0058752B"/>
    <w:rsid w:val="00590DAF"/>
    <w:rsid w:val="0059149B"/>
    <w:rsid w:val="005927CB"/>
    <w:rsid w:val="005927E9"/>
    <w:rsid w:val="00592D42"/>
    <w:rsid w:val="00593879"/>
    <w:rsid w:val="005941D3"/>
    <w:rsid w:val="00594E76"/>
    <w:rsid w:val="005959B6"/>
    <w:rsid w:val="00596156"/>
    <w:rsid w:val="005A02F4"/>
    <w:rsid w:val="005A0B02"/>
    <w:rsid w:val="005A1C8C"/>
    <w:rsid w:val="005A38F8"/>
    <w:rsid w:val="005A3F39"/>
    <w:rsid w:val="005A4AC8"/>
    <w:rsid w:val="005A506E"/>
    <w:rsid w:val="005A64D3"/>
    <w:rsid w:val="005A6BBA"/>
    <w:rsid w:val="005A6EF1"/>
    <w:rsid w:val="005A6F0D"/>
    <w:rsid w:val="005A7C0B"/>
    <w:rsid w:val="005A7F4E"/>
    <w:rsid w:val="005B04DC"/>
    <w:rsid w:val="005B0C8A"/>
    <w:rsid w:val="005B0DE1"/>
    <w:rsid w:val="005B1F1A"/>
    <w:rsid w:val="005B3A34"/>
    <w:rsid w:val="005B3D2B"/>
    <w:rsid w:val="005B3FC2"/>
    <w:rsid w:val="005B49FD"/>
    <w:rsid w:val="005B6E5B"/>
    <w:rsid w:val="005B7057"/>
    <w:rsid w:val="005B7D2A"/>
    <w:rsid w:val="005C07C1"/>
    <w:rsid w:val="005C28FC"/>
    <w:rsid w:val="005C3AB8"/>
    <w:rsid w:val="005C3F39"/>
    <w:rsid w:val="005C53C1"/>
    <w:rsid w:val="005C63F0"/>
    <w:rsid w:val="005C6C75"/>
    <w:rsid w:val="005C6F78"/>
    <w:rsid w:val="005C71DB"/>
    <w:rsid w:val="005C73D2"/>
    <w:rsid w:val="005C761D"/>
    <w:rsid w:val="005D02E1"/>
    <w:rsid w:val="005D38FF"/>
    <w:rsid w:val="005D5BE7"/>
    <w:rsid w:val="005D7195"/>
    <w:rsid w:val="005D784D"/>
    <w:rsid w:val="005E129C"/>
    <w:rsid w:val="005E1DC5"/>
    <w:rsid w:val="005E3125"/>
    <w:rsid w:val="005E42DD"/>
    <w:rsid w:val="005E52B6"/>
    <w:rsid w:val="005E58CF"/>
    <w:rsid w:val="005F0883"/>
    <w:rsid w:val="005F0E8D"/>
    <w:rsid w:val="005F0E9E"/>
    <w:rsid w:val="005F3E1D"/>
    <w:rsid w:val="005F523B"/>
    <w:rsid w:val="005F6AA1"/>
    <w:rsid w:val="005F76D7"/>
    <w:rsid w:val="00603A3E"/>
    <w:rsid w:val="00605044"/>
    <w:rsid w:val="00605E24"/>
    <w:rsid w:val="0061070C"/>
    <w:rsid w:val="00612E52"/>
    <w:rsid w:val="00614BCE"/>
    <w:rsid w:val="00615074"/>
    <w:rsid w:val="006151A7"/>
    <w:rsid w:val="00617016"/>
    <w:rsid w:val="0061788F"/>
    <w:rsid w:val="00620591"/>
    <w:rsid w:val="0062128A"/>
    <w:rsid w:val="0062130B"/>
    <w:rsid w:val="00623158"/>
    <w:rsid w:val="006249E0"/>
    <w:rsid w:val="00624AA6"/>
    <w:rsid w:val="00625D0B"/>
    <w:rsid w:val="00626D3B"/>
    <w:rsid w:val="0062778E"/>
    <w:rsid w:val="00630D9F"/>
    <w:rsid w:val="006317B5"/>
    <w:rsid w:val="00632DD2"/>
    <w:rsid w:val="00633048"/>
    <w:rsid w:val="006349F8"/>
    <w:rsid w:val="00635070"/>
    <w:rsid w:val="00635E6C"/>
    <w:rsid w:val="006366C4"/>
    <w:rsid w:val="00637403"/>
    <w:rsid w:val="00637896"/>
    <w:rsid w:val="00637BEC"/>
    <w:rsid w:val="00637D42"/>
    <w:rsid w:val="00640212"/>
    <w:rsid w:val="00641911"/>
    <w:rsid w:val="00641A03"/>
    <w:rsid w:val="00641B69"/>
    <w:rsid w:val="00642207"/>
    <w:rsid w:val="00642633"/>
    <w:rsid w:val="006426F7"/>
    <w:rsid w:val="006449AA"/>
    <w:rsid w:val="00645F9E"/>
    <w:rsid w:val="0064618A"/>
    <w:rsid w:val="00647181"/>
    <w:rsid w:val="00650593"/>
    <w:rsid w:val="00651745"/>
    <w:rsid w:val="0065271C"/>
    <w:rsid w:val="00652F36"/>
    <w:rsid w:val="006540BD"/>
    <w:rsid w:val="00655197"/>
    <w:rsid w:val="0065652C"/>
    <w:rsid w:val="0065678B"/>
    <w:rsid w:val="006576AB"/>
    <w:rsid w:val="00657911"/>
    <w:rsid w:val="00660145"/>
    <w:rsid w:val="00661591"/>
    <w:rsid w:val="00661907"/>
    <w:rsid w:val="006632E9"/>
    <w:rsid w:val="006646A9"/>
    <w:rsid w:val="00666109"/>
    <w:rsid w:val="00666485"/>
    <w:rsid w:val="0066685E"/>
    <w:rsid w:val="006709C5"/>
    <w:rsid w:val="00671B55"/>
    <w:rsid w:val="006735BF"/>
    <w:rsid w:val="00673662"/>
    <w:rsid w:val="006745A2"/>
    <w:rsid w:val="00675203"/>
    <w:rsid w:val="00675912"/>
    <w:rsid w:val="00675C86"/>
    <w:rsid w:val="0067751F"/>
    <w:rsid w:val="006777A2"/>
    <w:rsid w:val="00677B85"/>
    <w:rsid w:val="00677EA7"/>
    <w:rsid w:val="00677ED0"/>
    <w:rsid w:val="00680FF8"/>
    <w:rsid w:val="00681309"/>
    <w:rsid w:val="00682D50"/>
    <w:rsid w:val="0068341F"/>
    <w:rsid w:val="00684BD5"/>
    <w:rsid w:val="00684E19"/>
    <w:rsid w:val="00685059"/>
    <w:rsid w:val="00685BBF"/>
    <w:rsid w:val="006860C2"/>
    <w:rsid w:val="00687017"/>
    <w:rsid w:val="0068795A"/>
    <w:rsid w:val="006907ED"/>
    <w:rsid w:val="00692265"/>
    <w:rsid w:val="006922E1"/>
    <w:rsid w:val="006926E8"/>
    <w:rsid w:val="006932B1"/>
    <w:rsid w:val="006933D2"/>
    <w:rsid w:val="006934BD"/>
    <w:rsid w:val="006935D2"/>
    <w:rsid w:val="006937B1"/>
    <w:rsid w:val="006941C0"/>
    <w:rsid w:val="006945BA"/>
    <w:rsid w:val="00694A56"/>
    <w:rsid w:val="00694D25"/>
    <w:rsid w:val="006951D6"/>
    <w:rsid w:val="00695330"/>
    <w:rsid w:val="00696DE5"/>
    <w:rsid w:val="006976D0"/>
    <w:rsid w:val="006978C8"/>
    <w:rsid w:val="006A04EC"/>
    <w:rsid w:val="006A124D"/>
    <w:rsid w:val="006A1603"/>
    <w:rsid w:val="006A1FE1"/>
    <w:rsid w:val="006A229C"/>
    <w:rsid w:val="006A4145"/>
    <w:rsid w:val="006A7D3C"/>
    <w:rsid w:val="006A7EE6"/>
    <w:rsid w:val="006B1B1A"/>
    <w:rsid w:val="006B1F2F"/>
    <w:rsid w:val="006B24E8"/>
    <w:rsid w:val="006B2F38"/>
    <w:rsid w:val="006B3469"/>
    <w:rsid w:val="006B3F56"/>
    <w:rsid w:val="006B5735"/>
    <w:rsid w:val="006B6096"/>
    <w:rsid w:val="006B61A0"/>
    <w:rsid w:val="006C1204"/>
    <w:rsid w:val="006C17EE"/>
    <w:rsid w:val="006C3517"/>
    <w:rsid w:val="006C4171"/>
    <w:rsid w:val="006C45BF"/>
    <w:rsid w:val="006C45C9"/>
    <w:rsid w:val="006C505A"/>
    <w:rsid w:val="006C535F"/>
    <w:rsid w:val="006C6853"/>
    <w:rsid w:val="006C6E20"/>
    <w:rsid w:val="006D10C6"/>
    <w:rsid w:val="006D13F7"/>
    <w:rsid w:val="006D2591"/>
    <w:rsid w:val="006D2F63"/>
    <w:rsid w:val="006D3738"/>
    <w:rsid w:val="006D59AC"/>
    <w:rsid w:val="006D7478"/>
    <w:rsid w:val="006E00CD"/>
    <w:rsid w:val="006E10C8"/>
    <w:rsid w:val="006E24E8"/>
    <w:rsid w:val="006E479C"/>
    <w:rsid w:val="006E4B43"/>
    <w:rsid w:val="006E5272"/>
    <w:rsid w:val="006E6A91"/>
    <w:rsid w:val="006E700E"/>
    <w:rsid w:val="006E78E2"/>
    <w:rsid w:val="006E7C42"/>
    <w:rsid w:val="006F0274"/>
    <w:rsid w:val="006F0D44"/>
    <w:rsid w:val="006F1686"/>
    <w:rsid w:val="006F4C4A"/>
    <w:rsid w:val="006F69E1"/>
    <w:rsid w:val="006F75A0"/>
    <w:rsid w:val="006F78D1"/>
    <w:rsid w:val="006F7E1D"/>
    <w:rsid w:val="00700959"/>
    <w:rsid w:val="00701835"/>
    <w:rsid w:val="007025CC"/>
    <w:rsid w:val="00702A7C"/>
    <w:rsid w:val="00702D54"/>
    <w:rsid w:val="00702D92"/>
    <w:rsid w:val="00702E0D"/>
    <w:rsid w:val="00704536"/>
    <w:rsid w:val="007049C0"/>
    <w:rsid w:val="007051A2"/>
    <w:rsid w:val="0070523E"/>
    <w:rsid w:val="00706B70"/>
    <w:rsid w:val="00706FB9"/>
    <w:rsid w:val="00707010"/>
    <w:rsid w:val="00707FEA"/>
    <w:rsid w:val="007107CF"/>
    <w:rsid w:val="0071414E"/>
    <w:rsid w:val="007150E2"/>
    <w:rsid w:val="00717B77"/>
    <w:rsid w:val="007204C3"/>
    <w:rsid w:val="00721790"/>
    <w:rsid w:val="0072254F"/>
    <w:rsid w:val="00723E5B"/>
    <w:rsid w:val="00724FBF"/>
    <w:rsid w:val="0073022F"/>
    <w:rsid w:val="007307A9"/>
    <w:rsid w:val="0073101C"/>
    <w:rsid w:val="00732290"/>
    <w:rsid w:val="00733414"/>
    <w:rsid w:val="00734389"/>
    <w:rsid w:val="007345C8"/>
    <w:rsid w:val="00734CCE"/>
    <w:rsid w:val="00734D21"/>
    <w:rsid w:val="0073520F"/>
    <w:rsid w:val="00735756"/>
    <w:rsid w:val="00735827"/>
    <w:rsid w:val="007370A7"/>
    <w:rsid w:val="00737B89"/>
    <w:rsid w:val="00740866"/>
    <w:rsid w:val="00741B02"/>
    <w:rsid w:val="00744670"/>
    <w:rsid w:val="00745DB9"/>
    <w:rsid w:val="00747092"/>
    <w:rsid w:val="007475DE"/>
    <w:rsid w:val="0075197A"/>
    <w:rsid w:val="00751AD3"/>
    <w:rsid w:val="00751E89"/>
    <w:rsid w:val="007523EE"/>
    <w:rsid w:val="0075272D"/>
    <w:rsid w:val="007527E3"/>
    <w:rsid w:val="00752A87"/>
    <w:rsid w:val="00753615"/>
    <w:rsid w:val="00754365"/>
    <w:rsid w:val="00754F9A"/>
    <w:rsid w:val="007558C8"/>
    <w:rsid w:val="00760E5A"/>
    <w:rsid w:val="00762803"/>
    <w:rsid w:val="00762CF6"/>
    <w:rsid w:val="007639B9"/>
    <w:rsid w:val="007644EA"/>
    <w:rsid w:val="00766B7D"/>
    <w:rsid w:val="007675DF"/>
    <w:rsid w:val="0077341C"/>
    <w:rsid w:val="0077599F"/>
    <w:rsid w:val="007766DA"/>
    <w:rsid w:val="00776C18"/>
    <w:rsid w:val="00777622"/>
    <w:rsid w:val="0078099B"/>
    <w:rsid w:val="0078165B"/>
    <w:rsid w:val="00781AD6"/>
    <w:rsid w:val="00782554"/>
    <w:rsid w:val="00782D3A"/>
    <w:rsid w:val="007850D2"/>
    <w:rsid w:val="00785754"/>
    <w:rsid w:val="007865A0"/>
    <w:rsid w:val="00786718"/>
    <w:rsid w:val="007914C7"/>
    <w:rsid w:val="00791C4A"/>
    <w:rsid w:val="00792056"/>
    <w:rsid w:val="0079206C"/>
    <w:rsid w:val="0079307A"/>
    <w:rsid w:val="00793746"/>
    <w:rsid w:val="00794C11"/>
    <w:rsid w:val="007952BF"/>
    <w:rsid w:val="00796142"/>
    <w:rsid w:val="00796ACC"/>
    <w:rsid w:val="007A303F"/>
    <w:rsid w:val="007A4430"/>
    <w:rsid w:val="007A585E"/>
    <w:rsid w:val="007A6D5D"/>
    <w:rsid w:val="007A77C6"/>
    <w:rsid w:val="007A7E1F"/>
    <w:rsid w:val="007B086B"/>
    <w:rsid w:val="007B17CC"/>
    <w:rsid w:val="007B1885"/>
    <w:rsid w:val="007B1B4E"/>
    <w:rsid w:val="007B2B84"/>
    <w:rsid w:val="007B2CBD"/>
    <w:rsid w:val="007B2DAB"/>
    <w:rsid w:val="007B3F9F"/>
    <w:rsid w:val="007B5198"/>
    <w:rsid w:val="007B52DD"/>
    <w:rsid w:val="007B5477"/>
    <w:rsid w:val="007B5ADE"/>
    <w:rsid w:val="007B5DD4"/>
    <w:rsid w:val="007B683E"/>
    <w:rsid w:val="007B7E9B"/>
    <w:rsid w:val="007C157B"/>
    <w:rsid w:val="007C2234"/>
    <w:rsid w:val="007C35AB"/>
    <w:rsid w:val="007C35EC"/>
    <w:rsid w:val="007C55FB"/>
    <w:rsid w:val="007C564B"/>
    <w:rsid w:val="007C64E7"/>
    <w:rsid w:val="007D0F06"/>
    <w:rsid w:val="007D12B5"/>
    <w:rsid w:val="007D12D0"/>
    <w:rsid w:val="007D45B6"/>
    <w:rsid w:val="007D471F"/>
    <w:rsid w:val="007D4EC1"/>
    <w:rsid w:val="007D536F"/>
    <w:rsid w:val="007D574E"/>
    <w:rsid w:val="007D5D5E"/>
    <w:rsid w:val="007D6311"/>
    <w:rsid w:val="007D7202"/>
    <w:rsid w:val="007D7FD1"/>
    <w:rsid w:val="007E037C"/>
    <w:rsid w:val="007E040D"/>
    <w:rsid w:val="007E0CC8"/>
    <w:rsid w:val="007E0FD8"/>
    <w:rsid w:val="007E1D2C"/>
    <w:rsid w:val="007E261F"/>
    <w:rsid w:val="007E27B5"/>
    <w:rsid w:val="007E309E"/>
    <w:rsid w:val="007E42FB"/>
    <w:rsid w:val="007E5953"/>
    <w:rsid w:val="007E6655"/>
    <w:rsid w:val="007E777D"/>
    <w:rsid w:val="007F25A4"/>
    <w:rsid w:val="007F2C87"/>
    <w:rsid w:val="007F4495"/>
    <w:rsid w:val="007F6DF9"/>
    <w:rsid w:val="007F7AB0"/>
    <w:rsid w:val="00801983"/>
    <w:rsid w:val="008029A2"/>
    <w:rsid w:val="00802BAB"/>
    <w:rsid w:val="00802E39"/>
    <w:rsid w:val="00803349"/>
    <w:rsid w:val="008054AD"/>
    <w:rsid w:val="00805E3D"/>
    <w:rsid w:val="00806AA6"/>
    <w:rsid w:val="00807A1A"/>
    <w:rsid w:val="00811578"/>
    <w:rsid w:val="008145F7"/>
    <w:rsid w:val="00815784"/>
    <w:rsid w:val="00817B8D"/>
    <w:rsid w:val="008219C9"/>
    <w:rsid w:val="00822DF3"/>
    <w:rsid w:val="0082458C"/>
    <w:rsid w:val="00824AD3"/>
    <w:rsid w:val="00825EA6"/>
    <w:rsid w:val="00826353"/>
    <w:rsid w:val="00826377"/>
    <w:rsid w:val="0082674B"/>
    <w:rsid w:val="00826AE5"/>
    <w:rsid w:val="00826E97"/>
    <w:rsid w:val="00827322"/>
    <w:rsid w:val="008279BC"/>
    <w:rsid w:val="00827FB7"/>
    <w:rsid w:val="00832B2C"/>
    <w:rsid w:val="00833209"/>
    <w:rsid w:val="0083405A"/>
    <w:rsid w:val="008358B3"/>
    <w:rsid w:val="00836205"/>
    <w:rsid w:val="008365E3"/>
    <w:rsid w:val="00836C2F"/>
    <w:rsid w:val="00837944"/>
    <w:rsid w:val="00837D86"/>
    <w:rsid w:val="008402D7"/>
    <w:rsid w:val="0084207D"/>
    <w:rsid w:val="00842F18"/>
    <w:rsid w:val="008461B2"/>
    <w:rsid w:val="00846317"/>
    <w:rsid w:val="00846C62"/>
    <w:rsid w:val="00846FC9"/>
    <w:rsid w:val="00847B1E"/>
    <w:rsid w:val="0085140B"/>
    <w:rsid w:val="00852274"/>
    <w:rsid w:val="00854A29"/>
    <w:rsid w:val="00856622"/>
    <w:rsid w:val="008572BC"/>
    <w:rsid w:val="00857B36"/>
    <w:rsid w:val="00860760"/>
    <w:rsid w:val="0086421A"/>
    <w:rsid w:val="00864CF5"/>
    <w:rsid w:val="008659A9"/>
    <w:rsid w:val="008711CC"/>
    <w:rsid w:val="00873D27"/>
    <w:rsid w:val="008744A2"/>
    <w:rsid w:val="00875480"/>
    <w:rsid w:val="00875ACF"/>
    <w:rsid w:val="00875D45"/>
    <w:rsid w:val="008760BB"/>
    <w:rsid w:val="00876A9F"/>
    <w:rsid w:val="00877257"/>
    <w:rsid w:val="0088038A"/>
    <w:rsid w:val="0088189F"/>
    <w:rsid w:val="0088212B"/>
    <w:rsid w:val="00882492"/>
    <w:rsid w:val="00882744"/>
    <w:rsid w:val="00882B88"/>
    <w:rsid w:val="00883D8E"/>
    <w:rsid w:val="00884A60"/>
    <w:rsid w:val="008854FC"/>
    <w:rsid w:val="008857AB"/>
    <w:rsid w:val="00887019"/>
    <w:rsid w:val="00892487"/>
    <w:rsid w:val="00893638"/>
    <w:rsid w:val="00893F22"/>
    <w:rsid w:val="008941DE"/>
    <w:rsid w:val="00895BB5"/>
    <w:rsid w:val="0089602C"/>
    <w:rsid w:val="008975AD"/>
    <w:rsid w:val="008A0D83"/>
    <w:rsid w:val="008A2A98"/>
    <w:rsid w:val="008A305F"/>
    <w:rsid w:val="008A3BFD"/>
    <w:rsid w:val="008A41BD"/>
    <w:rsid w:val="008A438E"/>
    <w:rsid w:val="008A5657"/>
    <w:rsid w:val="008A57BE"/>
    <w:rsid w:val="008A7103"/>
    <w:rsid w:val="008A7998"/>
    <w:rsid w:val="008B0D1F"/>
    <w:rsid w:val="008B29D6"/>
    <w:rsid w:val="008B37C8"/>
    <w:rsid w:val="008B4885"/>
    <w:rsid w:val="008B73C5"/>
    <w:rsid w:val="008C0AD5"/>
    <w:rsid w:val="008C1EE2"/>
    <w:rsid w:val="008C2071"/>
    <w:rsid w:val="008C27E4"/>
    <w:rsid w:val="008D04A5"/>
    <w:rsid w:val="008D05C5"/>
    <w:rsid w:val="008D1683"/>
    <w:rsid w:val="008D2064"/>
    <w:rsid w:val="008D2D58"/>
    <w:rsid w:val="008D4AFB"/>
    <w:rsid w:val="008D4BB4"/>
    <w:rsid w:val="008D56B6"/>
    <w:rsid w:val="008D6306"/>
    <w:rsid w:val="008D639D"/>
    <w:rsid w:val="008D793D"/>
    <w:rsid w:val="008E0B32"/>
    <w:rsid w:val="008E0F59"/>
    <w:rsid w:val="008E34D7"/>
    <w:rsid w:val="008E425A"/>
    <w:rsid w:val="008E4B4C"/>
    <w:rsid w:val="008E720D"/>
    <w:rsid w:val="008E722D"/>
    <w:rsid w:val="008F0381"/>
    <w:rsid w:val="008F0A12"/>
    <w:rsid w:val="008F0F86"/>
    <w:rsid w:val="008F3754"/>
    <w:rsid w:val="008F38B3"/>
    <w:rsid w:val="008F4320"/>
    <w:rsid w:val="008F5482"/>
    <w:rsid w:val="009010F5"/>
    <w:rsid w:val="00901F05"/>
    <w:rsid w:val="00902B2D"/>
    <w:rsid w:val="00903303"/>
    <w:rsid w:val="00903309"/>
    <w:rsid w:val="00903AC6"/>
    <w:rsid w:val="00906561"/>
    <w:rsid w:val="00906D43"/>
    <w:rsid w:val="00907F6B"/>
    <w:rsid w:val="00907FB7"/>
    <w:rsid w:val="00910BA6"/>
    <w:rsid w:val="009112BD"/>
    <w:rsid w:val="009113D2"/>
    <w:rsid w:val="00912D06"/>
    <w:rsid w:val="009130B6"/>
    <w:rsid w:val="0091499B"/>
    <w:rsid w:val="0091575C"/>
    <w:rsid w:val="009157DD"/>
    <w:rsid w:val="00916044"/>
    <w:rsid w:val="0091736B"/>
    <w:rsid w:val="00917CF1"/>
    <w:rsid w:val="009212C0"/>
    <w:rsid w:val="009222CF"/>
    <w:rsid w:val="0092237E"/>
    <w:rsid w:val="00922B07"/>
    <w:rsid w:val="00923865"/>
    <w:rsid w:val="00924508"/>
    <w:rsid w:val="0092463D"/>
    <w:rsid w:val="00924952"/>
    <w:rsid w:val="00924A4B"/>
    <w:rsid w:val="00925480"/>
    <w:rsid w:val="00926B0B"/>
    <w:rsid w:val="0092719B"/>
    <w:rsid w:val="009279BD"/>
    <w:rsid w:val="009306FC"/>
    <w:rsid w:val="009317DC"/>
    <w:rsid w:val="0093520A"/>
    <w:rsid w:val="00935E50"/>
    <w:rsid w:val="009367A5"/>
    <w:rsid w:val="00936EDA"/>
    <w:rsid w:val="009403CF"/>
    <w:rsid w:val="00940A9A"/>
    <w:rsid w:val="00940C12"/>
    <w:rsid w:val="009438AB"/>
    <w:rsid w:val="00943A34"/>
    <w:rsid w:val="00943DC8"/>
    <w:rsid w:val="00944FDA"/>
    <w:rsid w:val="00946572"/>
    <w:rsid w:val="00946C54"/>
    <w:rsid w:val="00947B37"/>
    <w:rsid w:val="00947EBB"/>
    <w:rsid w:val="00950263"/>
    <w:rsid w:val="00950385"/>
    <w:rsid w:val="00950DCC"/>
    <w:rsid w:val="0095101F"/>
    <w:rsid w:val="00952623"/>
    <w:rsid w:val="00952D95"/>
    <w:rsid w:val="0095421A"/>
    <w:rsid w:val="009559D6"/>
    <w:rsid w:val="00955FEC"/>
    <w:rsid w:val="0095788E"/>
    <w:rsid w:val="00957AC4"/>
    <w:rsid w:val="00957AE5"/>
    <w:rsid w:val="00960115"/>
    <w:rsid w:val="009601C7"/>
    <w:rsid w:val="0096123B"/>
    <w:rsid w:val="00961740"/>
    <w:rsid w:val="00962FC1"/>
    <w:rsid w:val="009631FE"/>
    <w:rsid w:val="00963354"/>
    <w:rsid w:val="00963B0F"/>
    <w:rsid w:val="009647B9"/>
    <w:rsid w:val="009654DE"/>
    <w:rsid w:val="009672AE"/>
    <w:rsid w:val="00970243"/>
    <w:rsid w:val="00971816"/>
    <w:rsid w:val="009728CD"/>
    <w:rsid w:val="00974AF5"/>
    <w:rsid w:val="00974E04"/>
    <w:rsid w:val="0097536A"/>
    <w:rsid w:val="009759D4"/>
    <w:rsid w:val="00975F32"/>
    <w:rsid w:val="00977822"/>
    <w:rsid w:val="009809EA"/>
    <w:rsid w:val="00980A8F"/>
    <w:rsid w:val="00981D89"/>
    <w:rsid w:val="00981D9C"/>
    <w:rsid w:val="00984082"/>
    <w:rsid w:val="009868B2"/>
    <w:rsid w:val="009876F5"/>
    <w:rsid w:val="00991AF5"/>
    <w:rsid w:val="00991BDE"/>
    <w:rsid w:val="009923DA"/>
    <w:rsid w:val="00992595"/>
    <w:rsid w:val="00992BAE"/>
    <w:rsid w:val="0099363F"/>
    <w:rsid w:val="00993645"/>
    <w:rsid w:val="0099450E"/>
    <w:rsid w:val="0099460B"/>
    <w:rsid w:val="009947B1"/>
    <w:rsid w:val="009968D5"/>
    <w:rsid w:val="009A0A0C"/>
    <w:rsid w:val="009A0A7A"/>
    <w:rsid w:val="009A1972"/>
    <w:rsid w:val="009A27F1"/>
    <w:rsid w:val="009A3546"/>
    <w:rsid w:val="009A3763"/>
    <w:rsid w:val="009A4CE2"/>
    <w:rsid w:val="009A533B"/>
    <w:rsid w:val="009A59EE"/>
    <w:rsid w:val="009A5FC8"/>
    <w:rsid w:val="009A61F4"/>
    <w:rsid w:val="009A66CD"/>
    <w:rsid w:val="009A6DDD"/>
    <w:rsid w:val="009A7C83"/>
    <w:rsid w:val="009B0AA2"/>
    <w:rsid w:val="009B1696"/>
    <w:rsid w:val="009B1E52"/>
    <w:rsid w:val="009B2044"/>
    <w:rsid w:val="009B2E34"/>
    <w:rsid w:val="009B33FA"/>
    <w:rsid w:val="009B7C95"/>
    <w:rsid w:val="009C19A2"/>
    <w:rsid w:val="009C32B3"/>
    <w:rsid w:val="009C45A3"/>
    <w:rsid w:val="009C5176"/>
    <w:rsid w:val="009C5ECB"/>
    <w:rsid w:val="009C7736"/>
    <w:rsid w:val="009C7922"/>
    <w:rsid w:val="009C7F32"/>
    <w:rsid w:val="009D0FE3"/>
    <w:rsid w:val="009D122F"/>
    <w:rsid w:val="009D1D4A"/>
    <w:rsid w:val="009D280C"/>
    <w:rsid w:val="009D2BB3"/>
    <w:rsid w:val="009D2CCD"/>
    <w:rsid w:val="009D69AE"/>
    <w:rsid w:val="009D72B0"/>
    <w:rsid w:val="009D7C70"/>
    <w:rsid w:val="009E05B1"/>
    <w:rsid w:val="009E2AD3"/>
    <w:rsid w:val="009E4443"/>
    <w:rsid w:val="009E5F3E"/>
    <w:rsid w:val="009E76ED"/>
    <w:rsid w:val="009F02DD"/>
    <w:rsid w:val="009F174C"/>
    <w:rsid w:val="009F2C94"/>
    <w:rsid w:val="009F3100"/>
    <w:rsid w:val="009F3C43"/>
    <w:rsid w:val="009F4B7F"/>
    <w:rsid w:val="009F5675"/>
    <w:rsid w:val="009F6FC4"/>
    <w:rsid w:val="009F7A9A"/>
    <w:rsid w:val="00A000AF"/>
    <w:rsid w:val="00A0171C"/>
    <w:rsid w:val="00A02C9A"/>
    <w:rsid w:val="00A033BC"/>
    <w:rsid w:val="00A036DC"/>
    <w:rsid w:val="00A0378D"/>
    <w:rsid w:val="00A03D41"/>
    <w:rsid w:val="00A04C8F"/>
    <w:rsid w:val="00A05851"/>
    <w:rsid w:val="00A05B17"/>
    <w:rsid w:val="00A06834"/>
    <w:rsid w:val="00A07EE1"/>
    <w:rsid w:val="00A107D9"/>
    <w:rsid w:val="00A10BC5"/>
    <w:rsid w:val="00A11775"/>
    <w:rsid w:val="00A11D72"/>
    <w:rsid w:val="00A11DD7"/>
    <w:rsid w:val="00A12278"/>
    <w:rsid w:val="00A1395D"/>
    <w:rsid w:val="00A14CC4"/>
    <w:rsid w:val="00A14CD5"/>
    <w:rsid w:val="00A15654"/>
    <w:rsid w:val="00A1570F"/>
    <w:rsid w:val="00A161F2"/>
    <w:rsid w:val="00A16785"/>
    <w:rsid w:val="00A16ED8"/>
    <w:rsid w:val="00A21AF7"/>
    <w:rsid w:val="00A225EA"/>
    <w:rsid w:val="00A2296B"/>
    <w:rsid w:val="00A22FC0"/>
    <w:rsid w:val="00A24B09"/>
    <w:rsid w:val="00A24FD7"/>
    <w:rsid w:val="00A27642"/>
    <w:rsid w:val="00A27EED"/>
    <w:rsid w:val="00A303B8"/>
    <w:rsid w:val="00A3092D"/>
    <w:rsid w:val="00A316F6"/>
    <w:rsid w:val="00A32D28"/>
    <w:rsid w:val="00A35606"/>
    <w:rsid w:val="00A363CF"/>
    <w:rsid w:val="00A36DE6"/>
    <w:rsid w:val="00A374C8"/>
    <w:rsid w:val="00A40D13"/>
    <w:rsid w:val="00A412CD"/>
    <w:rsid w:val="00A42E10"/>
    <w:rsid w:val="00A44505"/>
    <w:rsid w:val="00A461EE"/>
    <w:rsid w:val="00A4641C"/>
    <w:rsid w:val="00A46C4E"/>
    <w:rsid w:val="00A470B1"/>
    <w:rsid w:val="00A5006F"/>
    <w:rsid w:val="00A50A51"/>
    <w:rsid w:val="00A50A97"/>
    <w:rsid w:val="00A50BEA"/>
    <w:rsid w:val="00A50DFC"/>
    <w:rsid w:val="00A51164"/>
    <w:rsid w:val="00A512FC"/>
    <w:rsid w:val="00A52263"/>
    <w:rsid w:val="00A524B1"/>
    <w:rsid w:val="00A52F8C"/>
    <w:rsid w:val="00A53BA3"/>
    <w:rsid w:val="00A53D0E"/>
    <w:rsid w:val="00A54B05"/>
    <w:rsid w:val="00A57655"/>
    <w:rsid w:val="00A57DA1"/>
    <w:rsid w:val="00A60142"/>
    <w:rsid w:val="00A608DF"/>
    <w:rsid w:val="00A61007"/>
    <w:rsid w:val="00A629A3"/>
    <w:rsid w:val="00A640A9"/>
    <w:rsid w:val="00A64100"/>
    <w:rsid w:val="00A67B22"/>
    <w:rsid w:val="00A708EB"/>
    <w:rsid w:val="00A713DE"/>
    <w:rsid w:val="00A71BEA"/>
    <w:rsid w:val="00A72279"/>
    <w:rsid w:val="00A723B1"/>
    <w:rsid w:val="00A72657"/>
    <w:rsid w:val="00A7273A"/>
    <w:rsid w:val="00A729E3"/>
    <w:rsid w:val="00A72E84"/>
    <w:rsid w:val="00A75A41"/>
    <w:rsid w:val="00A8069F"/>
    <w:rsid w:val="00A80FFF"/>
    <w:rsid w:val="00A81516"/>
    <w:rsid w:val="00A82005"/>
    <w:rsid w:val="00A82771"/>
    <w:rsid w:val="00A82822"/>
    <w:rsid w:val="00A82845"/>
    <w:rsid w:val="00A82AA7"/>
    <w:rsid w:val="00A847DF"/>
    <w:rsid w:val="00A857DD"/>
    <w:rsid w:val="00A8685C"/>
    <w:rsid w:val="00A87270"/>
    <w:rsid w:val="00A872CD"/>
    <w:rsid w:val="00A879BA"/>
    <w:rsid w:val="00A87CB2"/>
    <w:rsid w:val="00A902CF"/>
    <w:rsid w:val="00A91E6D"/>
    <w:rsid w:val="00A92B5C"/>
    <w:rsid w:val="00A93E1A"/>
    <w:rsid w:val="00A94941"/>
    <w:rsid w:val="00A949F7"/>
    <w:rsid w:val="00A94F06"/>
    <w:rsid w:val="00A94F5C"/>
    <w:rsid w:val="00A953C0"/>
    <w:rsid w:val="00A979F1"/>
    <w:rsid w:val="00AA009F"/>
    <w:rsid w:val="00AA0403"/>
    <w:rsid w:val="00AA0CEA"/>
    <w:rsid w:val="00AA127F"/>
    <w:rsid w:val="00AA13D3"/>
    <w:rsid w:val="00AA1A96"/>
    <w:rsid w:val="00AA3357"/>
    <w:rsid w:val="00AA38EC"/>
    <w:rsid w:val="00AA40DE"/>
    <w:rsid w:val="00AA531B"/>
    <w:rsid w:val="00AA5451"/>
    <w:rsid w:val="00AA5FBA"/>
    <w:rsid w:val="00AA6100"/>
    <w:rsid w:val="00AA65EF"/>
    <w:rsid w:val="00AB0362"/>
    <w:rsid w:val="00AB1C8E"/>
    <w:rsid w:val="00AB2F2F"/>
    <w:rsid w:val="00AB46D6"/>
    <w:rsid w:val="00AB52EC"/>
    <w:rsid w:val="00AB713F"/>
    <w:rsid w:val="00AB745E"/>
    <w:rsid w:val="00AC0458"/>
    <w:rsid w:val="00AC244C"/>
    <w:rsid w:val="00AC2E32"/>
    <w:rsid w:val="00AC2F75"/>
    <w:rsid w:val="00AC3D27"/>
    <w:rsid w:val="00AC4408"/>
    <w:rsid w:val="00AC460E"/>
    <w:rsid w:val="00AC6D00"/>
    <w:rsid w:val="00AC73FB"/>
    <w:rsid w:val="00AC7C2F"/>
    <w:rsid w:val="00AD45AA"/>
    <w:rsid w:val="00AD4966"/>
    <w:rsid w:val="00AD5485"/>
    <w:rsid w:val="00AD651B"/>
    <w:rsid w:val="00AD6970"/>
    <w:rsid w:val="00AD7500"/>
    <w:rsid w:val="00AE07DF"/>
    <w:rsid w:val="00AE6B50"/>
    <w:rsid w:val="00AE7AA6"/>
    <w:rsid w:val="00AF1D63"/>
    <w:rsid w:val="00AF2016"/>
    <w:rsid w:val="00AF239F"/>
    <w:rsid w:val="00AF3CFB"/>
    <w:rsid w:val="00AF3E3E"/>
    <w:rsid w:val="00AF46BC"/>
    <w:rsid w:val="00AF47B4"/>
    <w:rsid w:val="00AF62E3"/>
    <w:rsid w:val="00AF631A"/>
    <w:rsid w:val="00AF68BF"/>
    <w:rsid w:val="00AF6DB8"/>
    <w:rsid w:val="00AF734A"/>
    <w:rsid w:val="00B01E54"/>
    <w:rsid w:val="00B02A8E"/>
    <w:rsid w:val="00B03F6F"/>
    <w:rsid w:val="00B06927"/>
    <w:rsid w:val="00B06934"/>
    <w:rsid w:val="00B072B0"/>
    <w:rsid w:val="00B0731D"/>
    <w:rsid w:val="00B074E3"/>
    <w:rsid w:val="00B07BA1"/>
    <w:rsid w:val="00B1041A"/>
    <w:rsid w:val="00B10F3A"/>
    <w:rsid w:val="00B11BE8"/>
    <w:rsid w:val="00B12788"/>
    <w:rsid w:val="00B13365"/>
    <w:rsid w:val="00B1463F"/>
    <w:rsid w:val="00B149EB"/>
    <w:rsid w:val="00B153E0"/>
    <w:rsid w:val="00B15F03"/>
    <w:rsid w:val="00B179AB"/>
    <w:rsid w:val="00B206E2"/>
    <w:rsid w:val="00B21298"/>
    <w:rsid w:val="00B21B36"/>
    <w:rsid w:val="00B21F12"/>
    <w:rsid w:val="00B23D9D"/>
    <w:rsid w:val="00B244C4"/>
    <w:rsid w:val="00B2596D"/>
    <w:rsid w:val="00B262E0"/>
    <w:rsid w:val="00B27AD3"/>
    <w:rsid w:val="00B3109A"/>
    <w:rsid w:val="00B31526"/>
    <w:rsid w:val="00B31600"/>
    <w:rsid w:val="00B31FFA"/>
    <w:rsid w:val="00B32A62"/>
    <w:rsid w:val="00B32C01"/>
    <w:rsid w:val="00B3354E"/>
    <w:rsid w:val="00B34372"/>
    <w:rsid w:val="00B34950"/>
    <w:rsid w:val="00B34FA5"/>
    <w:rsid w:val="00B352AB"/>
    <w:rsid w:val="00B35815"/>
    <w:rsid w:val="00B3667F"/>
    <w:rsid w:val="00B36CB8"/>
    <w:rsid w:val="00B370D7"/>
    <w:rsid w:val="00B40561"/>
    <w:rsid w:val="00B40587"/>
    <w:rsid w:val="00B40E9A"/>
    <w:rsid w:val="00B42BFA"/>
    <w:rsid w:val="00B4456A"/>
    <w:rsid w:val="00B44667"/>
    <w:rsid w:val="00B4514D"/>
    <w:rsid w:val="00B45482"/>
    <w:rsid w:val="00B45DE8"/>
    <w:rsid w:val="00B478B1"/>
    <w:rsid w:val="00B47ABB"/>
    <w:rsid w:val="00B501BA"/>
    <w:rsid w:val="00B515A7"/>
    <w:rsid w:val="00B515C4"/>
    <w:rsid w:val="00B5346C"/>
    <w:rsid w:val="00B53845"/>
    <w:rsid w:val="00B54499"/>
    <w:rsid w:val="00B553E1"/>
    <w:rsid w:val="00B575A4"/>
    <w:rsid w:val="00B57869"/>
    <w:rsid w:val="00B603D1"/>
    <w:rsid w:val="00B636ED"/>
    <w:rsid w:val="00B65C10"/>
    <w:rsid w:val="00B65F09"/>
    <w:rsid w:val="00B66491"/>
    <w:rsid w:val="00B664CF"/>
    <w:rsid w:val="00B66B7B"/>
    <w:rsid w:val="00B67CCB"/>
    <w:rsid w:val="00B707DE"/>
    <w:rsid w:val="00B70F61"/>
    <w:rsid w:val="00B7136E"/>
    <w:rsid w:val="00B714B6"/>
    <w:rsid w:val="00B71582"/>
    <w:rsid w:val="00B7162E"/>
    <w:rsid w:val="00B71C74"/>
    <w:rsid w:val="00B72BE8"/>
    <w:rsid w:val="00B7507B"/>
    <w:rsid w:val="00B756B9"/>
    <w:rsid w:val="00B7677D"/>
    <w:rsid w:val="00B7679A"/>
    <w:rsid w:val="00B77167"/>
    <w:rsid w:val="00B77D43"/>
    <w:rsid w:val="00B8037C"/>
    <w:rsid w:val="00B809F7"/>
    <w:rsid w:val="00B81E4D"/>
    <w:rsid w:val="00B81F0E"/>
    <w:rsid w:val="00B825E7"/>
    <w:rsid w:val="00B839A3"/>
    <w:rsid w:val="00B83A8F"/>
    <w:rsid w:val="00B8606B"/>
    <w:rsid w:val="00B869F7"/>
    <w:rsid w:val="00B91134"/>
    <w:rsid w:val="00B9230B"/>
    <w:rsid w:val="00B92479"/>
    <w:rsid w:val="00B9302F"/>
    <w:rsid w:val="00B930BA"/>
    <w:rsid w:val="00B93586"/>
    <w:rsid w:val="00B96C44"/>
    <w:rsid w:val="00BA0462"/>
    <w:rsid w:val="00BA0E82"/>
    <w:rsid w:val="00BA0FBD"/>
    <w:rsid w:val="00BA1DAC"/>
    <w:rsid w:val="00BA2626"/>
    <w:rsid w:val="00BA2D1B"/>
    <w:rsid w:val="00BA2F97"/>
    <w:rsid w:val="00BA3583"/>
    <w:rsid w:val="00BA40EA"/>
    <w:rsid w:val="00BA4313"/>
    <w:rsid w:val="00BA460B"/>
    <w:rsid w:val="00BA5F92"/>
    <w:rsid w:val="00BA5FB8"/>
    <w:rsid w:val="00BA717E"/>
    <w:rsid w:val="00BB0A90"/>
    <w:rsid w:val="00BB1D74"/>
    <w:rsid w:val="00BB280A"/>
    <w:rsid w:val="00BB38D9"/>
    <w:rsid w:val="00BB3F4A"/>
    <w:rsid w:val="00BB4C24"/>
    <w:rsid w:val="00BB545C"/>
    <w:rsid w:val="00BB67AD"/>
    <w:rsid w:val="00BB7F86"/>
    <w:rsid w:val="00BC13FE"/>
    <w:rsid w:val="00BC24F9"/>
    <w:rsid w:val="00BC2521"/>
    <w:rsid w:val="00BC2AB4"/>
    <w:rsid w:val="00BC2C61"/>
    <w:rsid w:val="00BC3217"/>
    <w:rsid w:val="00BC44A3"/>
    <w:rsid w:val="00BC4AEF"/>
    <w:rsid w:val="00BC5439"/>
    <w:rsid w:val="00BC6903"/>
    <w:rsid w:val="00BC7620"/>
    <w:rsid w:val="00BD1169"/>
    <w:rsid w:val="00BD1EB7"/>
    <w:rsid w:val="00BD2F1E"/>
    <w:rsid w:val="00BD4993"/>
    <w:rsid w:val="00BD4F93"/>
    <w:rsid w:val="00BD592D"/>
    <w:rsid w:val="00BD5CAD"/>
    <w:rsid w:val="00BD733D"/>
    <w:rsid w:val="00BD76B5"/>
    <w:rsid w:val="00BD7A53"/>
    <w:rsid w:val="00BE0737"/>
    <w:rsid w:val="00BE1936"/>
    <w:rsid w:val="00BE1F44"/>
    <w:rsid w:val="00BE2599"/>
    <w:rsid w:val="00BE2798"/>
    <w:rsid w:val="00BE2D08"/>
    <w:rsid w:val="00BE3AC5"/>
    <w:rsid w:val="00BE5076"/>
    <w:rsid w:val="00BE5578"/>
    <w:rsid w:val="00BE5C93"/>
    <w:rsid w:val="00BE708D"/>
    <w:rsid w:val="00BE72EE"/>
    <w:rsid w:val="00BE733D"/>
    <w:rsid w:val="00BF073B"/>
    <w:rsid w:val="00BF1969"/>
    <w:rsid w:val="00BF24C0"/>
    <w:rsid w:val="00BF32AF"/>
    <w:rsid w:val="00BF5BBD"/>
    <w:rsid w:val="00BF6BC3"/>
    <w:rsid w:val="00BF6E54"/>
    <w:rsid w:val="00C0060D"/>
    <w:rsid w:val="00C00BC4"/>
    <w:rsid w:val="00C056D5"/>
    <w:rsid w:val="00C05F8D"/>
    <w:rsid w:val="00C06753"/>
    <w:rsid w:val="00C077A6"/>
    <w:rsid w:val="00C07B10"/>
    <w:rsid w:val="00C07CDB"/>
    <w:rsid w:val="00C07D59"/>
    <w:rsid w:val="00C1069E"/>
    <w:rsid w:val="00C10B7B"/>
    <w:rsid w:val="00C11DA7"/>
    <w:rsid w:val="00C145D3"/>
    <w:rsid w:val="00C158A5"/>
    <w:rsid w:val="00C165D1"/>
    <w:rsid w:val="00C16728"/>
    <w:rsid w:val="00C16DC6"/>
    <w:rsid w:val="00C17639"/>
    <w:rsid w:val="00C20649"/>
    <w:rsid w:val="00C207CA"/>
    <w:rsid w:val="00C21024"/>
    <w:rsid w:val="00C2121E"/>
    <w:rsid w:val="00C2317A"/>
    <w:rsid w:val="00C243CA"/>
    <w:rsid w:val="00C24A6A"/>
    <w:rsid w:val="00C25712"/>
    <w:rsid w:val="00C26F2C"/>
    <w:rsid w:val="00C27FF3"/>
    <w:rsid w:val="00C30215"/>
    <w:rsid w:val="00C34A89"/>
    <w:rsid w:val="00C37064"/>
    <w:rsid w:val="00C3718F"/>
    <w:rsid w:val="00C4202F"/>
    <w:rsid w:val="00C43967"/>
    <w:rsid w:val="00C439C5"/>
    <w:rsid w:val="00C456F7"/>
    <w:rsid w:val="00C47610"/>
    <w:rsid w:val="00C51E55"/>
    <w:rsid w:val="00C532F6"/>
    <w:rsid w:val="00C53526"/>
    <w:rsid w:val="00C54346"/>
    <w:rsid w:val="00C54BD2"/>
    <w:rsid w:val="00C55092"/>
    <w:rsid w:val="00C55D31"/>
    <w:rsid w:val="00C56154"/>
    <w:rsid w:val="00C574FA"/>
    <w:rsid w:val="00C57A4E"/>
    <w:rsid w:val="00C57BCC"/>
    <w:rsid w:val="00C605B2"/>
    <w:rsid w:val="00C60814"/>
    <w:rsid w:val="00C616A6"/>
    <w:rsid w:val="00C635AE"/>
    <w:rsid w:val="00C63B29"/>
    <w:rsid w:val="00C65205"/>
    <w:rsid w:val="00C659A6"/>
    <w:rsid w:val="00C65BF9"/>
    <w:rsid w:val="00C65D15"/>
    <w:rsid w:val="00C70238"/>
    <w:rsid w:val="00C706D4"/>
    <w:rsid w:val="00C71F2F"/>
    <w:rsid w:val="00C71FBA"/>
    <w:rsid w:val="00C73107"/>
    <w:rsid w:val="00C74A49"/>
    <w:rsid w:val="00C75B40"/>
    <w:rsid w:val="00C76ECD"/>
    <w:rsid w:val="00C7794A"/>
    <w:rsid w:val="00C77CEB"/>
    <w:rsid w:val="00C80093"/>
    <w:rsid w:val="00C805A7"/>
    <w:rsid w:val="00C808DA"/>
    <w:rsid w:val="00C81FC5"/>
    <w:rsid w:val="00C82195"/>
    <w:rsid w:val="00C82653"/>
    <w:rsid w:val="00C84015"/>
    <w:rsid w:val="00C84D9E"/>
    <w:rsid w:val="00C84F68"/>
    <w:rsid w:val="00C8506E"/>
    <w:rsid w:val="00C857FD"/>
    <w:rsid w:val="00C86509"/>
    <w:rsid w:val="00C872B9"/>
    <w:rsid w:val="00C87606"/>
    <w:rsid w:val="00C87D2D"/>
    <w:rsid w:val="00C90AF4"/>
    <w:rsid w:val="00C90ED9"/>
    <w:rsid w:val="00C93251"/>
    <w:rsid w:val="00C93E1B"/>
    <w:rsid w:val="00C95724"/>
    <w:rsid w:val="00C96651"/>
    <w:rsid w:val="00C96FD4"/>
    <w:rsid w:val="00C9727F"/>
    <w:rsid w:val="00CA10A1"/>
    <w:rsid w:val="00CA1D3D"/>
    <w:rsid w:val="00CA20EE"/>
    <w:rsid w:val="00CA2E92"/>
    <w:rsid w:val="00CA3586"/>
    <w:rsid w:val="00CA45C5"/>
    <w:rsid w:val="00CA4655"/>
    <w:rsid w:val="00CA5724"/>
    <w:rsid w:val="00CA6CCE"/>
    <w:rsid w:val="00CB0982"/>
    <w:rsid w:val="00CB1C44"/>
    <w:rsid w:val="00CB23DB"/>
    <w:rsid w:val="00CB2840"/>
    <w:rsid w:val="00CB4381"/>
    <w:rsid w:val="00CB47F4"/>
    <w:rsid w:val="00CB4858"/>
    <w:rsid w:val="00CB6D58"/>
    <w:rsid w:val="00CC022F"/>
    <w:rsid w:val="00CC203C"/>
    <w:rsid w:val="00CC26D1"/>
    <w:rsid w:val="00CC297A"/>
    <w:rsid w:val="00CC29C8"/>
    <w:rsid w:val="00CC3196"/>
    <w:rsid w:val="00CC583C"/>
    <w:rsid w:val="00CC6FAE"/>
    <w:rsid w:val="00CC7665"/>
    <w:rsid w:val="00CD0A2E"/>
    <w:rsid w:val="00CD1982"/>
    <w:rsid w:val="00CD1FEC"/>
    <w:rsid w:val="00CD2327"/>
    <w:rsid w:val="00CD25C2"/>
    <w:rsid w:val="00CD585A"/>
    <w:rsid w:val="00CD70B7"/>
    <w:rsid w:val="00CE1216"/>
    <w:rsid w:val="00CE1F71"/>
    <w:rsid w:val="00CE2DD2"/>
    <w:rsid w:val="00CE34A3"/>
    <w:rsid w:val="00CE390D"/>
    <w:rsid w:val="00CE48BD"/>
    <w:rsid w:val="00CE4B99"/>
    <w:rsid w:val="00CE4FDB"/>
    <w:rsid w:val="00CE639D"/>
    <w:rsid w:val="00CE6933"/>
    <w:rsid w:val="00CE7884"/>
    <w:rsid w:val="00CF1760"/>
    <w:rsid w:val="00CF4091"/>
    <w:rsid w:val="00CF41B5"/>
    <w:rsid w:val="00CF4941"/>
    <w:rsid w:val="00CF6694"/>
    <w:rsid w:val="00D000DF"/>
    <w:rsid w:val="00D006C6"/>
    <w:rsid w:val="00D00F4C"/>
    <w:rsid w:val="00D011C7"/>
    <w:rsid w:val="00D01733"/>
    <w:rsid w:val="00D01FAA"/>
    <w:rsid w:val="00D02694"/>
    <w:rsid w:val="00D03BC0"/>
    <w:rsid w:val="00D03D6E"/>
    <w:rsid w:val="00D045E9"/>
    <w:rsid w:val="00D049EA"/>
    <w:rsid w:val="00D04C6D"/>
    <w:rsid w:val="00D05638"/>
    <w:rsid w:val="00D05CEA"/>
    <w:rsid w:val="00D05E3D"/>
    <w:rsid w:val="00D06C70"/>
    <w:rsid w:val="00D07477"/>
    <w:rsid w:val="00D10B56"/>
    <w:rsid w:val="00D11566"/>
    <w:rsid w:val="00D123CE"/>
    <w:rsid w:val="00D137F9"/>
    <w:rsid w:val="00D1389A"/>
    <w:rsid w:val="00D13AED"/>
    <w:rsid w:val="00D13D0C"/>
    <w:rsid w:val="00D13F71"/>
    <w:rsid w:val="00D14093"/>
    <w:rsid w:val="00D16766"/>
    <w:rsid w:val="00D1790C"/>
    <w:rsid w:val="00D17C17"/>
    <w:rsid w:val="00D20DAA"/>
    <w:rsid w:val="00D21511"/>
    <w:rsid w:val="00D215D7"/>
    <w:rsid w:val="00D22B3A"/>
    <w:rsid w:val="00D22B6A"/>
    <w:rsid w:val="00D24A17"/>
    <w:rsid w:val="00D25303"/>
    <w:rsid w:val="00D2724F"/>
    <w:rsid w:val="00D304DB"/>
    <w:rsid w:val="00D309F5"/>
    <w:rsid w:val="00D313BE"/>
    <w:rsid w:val="00D32240"/>
    <w:rsid w:val="00D3260E"/>
    <w:rsid w:val="00D338FE"/>
    <w:rsid w:val="00D33A42"/>
    <w:rsid w:val="00D33B31"/>
    <w:rsid w:val="00D34DC7"/>
    <w:rsid w:val="00D35464"/>
    <w:rsid w:val="00D360F1"/>
    <w:rsid w:val="00D36564"/>
    <w:rsid w:val="00D45FAA"/>
    <w:rsid w:val="00D46750"/>
    <w:rsid w:val="00D46991"/>
    <w:rsid w:val="00D469A6"/>
    <w:rsid w:val="00D47095"/>
    <w:rsid w:val="00D47757"/>
    <w:rsid w:val="00D50A22"/>
    <w:rsid w:val="00D5348F"/>
    <w:rsid w:val="00D535A1"/>
    <w:rsid w:val="00D544EB"/>
    <w:rsid w:val="00D547DD"/>
    <w:rsid w:val="00D5512F"/>
    <w:rsid w:val="00D55616"/>
    <w:rsid w:val="00D60737"/>
    <w:rsid w:val="00D619CB"/>
    <w:rsid w:val="00D61BDA"/>
    <w:rsid w:val="00D61FEE"/>
    <w:rsid w:val="00D644FD"/>
    <w:rsid w:val="00D64D0D"/>
    <w:rsid w:val="00D66210"/>
    <w:rsid w:val="00D66E32"/>
    <w:rsid w:val="00D70589"/>
    <w:rsid w:val="00D7081B"/>
    <w:rsid w:val="00D71332"/>
    <w:rsid w:val="00D7164E"/>
    <w:rsid w:val="00D71AEF"/>
    <w:rsid w:val="00D71BBB"/>
    <w:rsid w:val="00D72501"/>
    <w:rsid w:val="00D7265B"/>
    <w:rsid w:val="00D72EBE"/>
    <w:rsid w:val="00D75036"/>
    <w:rsid w:val="00D76522"/>
    <w:rsid w:val="00D779FE"/>
    <w:rsid w:val="00D816FC"/>
    <w:rsid w:val="00D82071"/>
    <w:rsid w:val="00D82144"/>
    <w:rsid w:val="00D82EBA"/>
    <w:rsid w:val="00D853B3"/>
    <w:rsid w:val="00D8570D"/>
    <w:rsid w:val="00D85CDC"/>
    <w:rsid w:val="00D8616A"/>
    <w:rsid w:val="00D86B13"/>
    <w:rsid w:val="00D87C86"/>
    <w:rsid w:val="00D938BF"/>
    <w:rsid w:val="00D9422F"/>
    <w:rsid w:val="00D94C5A"/>
    <w:rsid w:val="00D94DE7"/>
    <w:rsid w:val="00D94F66"/>
    <w:rsid w:val="00D95125"/>
    <w:rsid w:val="00D95A3E"/>
    <w:rsid w:val="00D97741"/>
    <w:rsid w:val="00D97D27"/>
    <w:rsid w:val="00DA01FB"/>
    <w:rsid w:val="00DA0454"/>
    <w:rsid w:val="00DA2C7E"/>
    <w:rsid w:val="00DA38CF"/>
    <w:rsid w:val="00DA4ACB"/>
    <w:rsid w:val="00DA711C"/>
    <w:rsid w:val="00DA7B5E"/>
    <w:rsid w:val="00DB191C"/>
    <w:rsid w:val="00DB1C76"/>
    <w:rsid w:val="00DB20FF"/>
    <w:rsid w:val="00DB367E"/>
    <w:rsid w:val="00DB3AF4"/>
    <w:rsid w:val="00DB4301"/>
    <w:rsid w:val="00DB5CF3"/>
    <w:rsid w:val="00DB755B"/>
    <w:rsid w:val="00DB7FB8"/>
    <w:rsid w:val="00DC00F8"/>
    <w:rsid w:val="00DC06F8"/>
    <w:rsid w:val="00DC1160"/>
    <w:rsid w:val="00DC1408"/>
    <w:rsid w:val="00DC146A"/>
    <w:rsid w:val="00DC1988"/>
    <w:rsid w:val="00DC1F68"/>
    <w:rsid w:val="00DC373E"/>
    <w:rsid w:val="00DC4447"/>
    <w:rsid w:val="00DC476F"/>
    <w:rsid w:val="00DC6216"/>
    <w:rsid w:val="00DC67B1"/>
    <w:rsid w:val="00DC71FB"/>
    <w:rsid w:val="00DD1397"/>
    <w:rsid w:val="00DD2031"/>
    <w:rsid w:val="00DD2112"/>
    <w:rsid w:val="00DD241B"/>
    <w:rsid w:val="00DD2801"/>
    <w:rsid w:val="00DD4185"/>
    <w:rsid w:val="00DD42AC"/>
    <w:rsid w:val="00DD5024"/>
    <w:rsid w:val="00DD5371"/>
    <w:rsid w:val="00DD6409"/>
    <w:rsid w:val="00DD6DC5"/>
    <w:rsid w:val="00DD7095"/>
    <w:rsid w:val="00DE00CB"/>
    <w:rsid w:val="00DE16EA"/>
    <w:rsid w:val="00DE2622"/>
    <w:rsid w:val="00DE28BF"/>
    <w:rsid w:val="00DE29C2"/>
    <w:rsid w:val="00DE2C76"/>
    <w:rsid w:val="00DE4C52"/>
    <w:rsid w:val="00DE6CA6"/>
    <w:rsid w:val="00DE7D2C"/>
    <w:rsid w:val="00DE7E35"/>
    <w:rsid w:val="00DF0D1E"/>
    <w:rsid w:val="00DF180B"/>
    <w:rsid w:val="00DF19BF"/>
    <w:rsid w:val="00DF296C"/>
    <w:rsid w:val="00DF3A24"/>
    <w:rsid w:val="00DF6AEF"/>
    <w:rsid w:val="00DF710A"/>
    <w:rsid w:val="00DF79D2"/>
    <w:rsid w:val="00E007A9"/>
    <w:rsid w:val="00E00CE5"/>
    <w:rsid w:val="00E01BC4"/>
    <w:rsid w:val="00E029B4"/>
    <w:rsid w:val="00E02A3C"/>
    <w:rsid w:val="00E02ED2"/>
    <w:rsid w:val="00E033B5"/>
    <w:rsid w:val="00E076EA"/>
    <w:rsid w:val="00E07826"/>
    <w:rsid w:val="00E07E68"/>
    <w:rsid w:val="00E107CC"/>
    <w:rsid w:val="00E11E85"/>
    <w:rsid w:val="00E12832"/>
    <w:rsid w:val="00E13150"/>
    <w:rsid w:val="00E136E0"/>
    <w:rsid w:val="00E1388A"/>
    <w:rsid w:val="00E1420A"/>
    <w:rsid w:val="00E142AF"/>
    <w:rsid w:val="00E14910"/>
    <w:rsid w:val="00E15629"/>
    <w:rsid w:val="00E20D17"/>
    <w:rsid w:val="00E21AD2"/>
    <w:rsid w:val="00E22BB4"/>
    <w:rsid w:val="00E23560"/>
    <w:rsid w:val="00E23B6B"/>
    <w:rsid w:val="00E269D8"/>
    <w:rsid w:val="00E26AD9"/>
    <w:rsid w:val="00E270F4"/>
    <w:rsid w:val="00E271BC"/>
    <w:rsid w:val="00E27CC3"/>
    <w:rsid w:val="00E30DB5"/>
    <w:rsid w:val="00E30DC7"/>
    <w:rsid w:val="00E31422"/>
    <w:rsid w:val="00E314AB"/>
    <w:rsid w:val="00E32050"/>
    <w:rsid w:val="00E32616"/>
    <w:rsid w:val="00E32651"/>
    <w:rsid w:val="00E33096"/>
    <w:rsid w:val="00E352CC"/>
    <w:rsid w:val="00E37CD7"/>
    <w:rsid w:val="00E403FB"/>
    <w:rsid w:val="00E40CB7"/>
    <w:rsid w:val="00E411E4"/>
    <w:rsid w:val="00E425BA"/>
    <w:rsid w:val="00E44D49"/>
    <w:rsid w:val="00E45451"/>
    <w:rsid w:val="00E475E2"/>
    <w:rsid w:val="00E51BFD"/>
    <w:rsid w:val="00E52206"/>
    <w:rsid w:val="00E56446"/>
    <w:rsid w:val="00E5727B"/>
    <w:rsid w:val="00E5737E"/>
    <w:rsid w:val="00E57833"/>
    <w:rsid w:val="00E609D7"/>
    <w:rsid w:val="00E60ECE"/>
    <w:rsid w:val="00E61B53"/>
    <w:rsid w:val="00E62906"/>
    <w:rsid w:val="00E630CE"/>
    <w:rsid w:val="00E64C4F"/>
    <w:rsid w:val="00E674D6"/>
    <w:rsid w:val="00E7498A"/>
    <w:rsid w:val="00E76002"/>
    <w:rsid w:val="00E804EF"/>
    <w:rsid w:val="00E81B8C"/>
    <w:rsid w:val="00E82C56"/>
    <w:rsid w:val="00E83541"/>
    <w:rsid w:val="00E836BA"/>
    <w:rsid w:val="00E83731"/>
    <w:rsid w:val="00E84AA3"/>
    <w:rsid w:val="00E853E1"/>
    <w:rsid w:val="00E8589C"/>
    <w:rsid w:val="00E870DA"/>
    <w:rsid w:val="00E9198F"/>
    <w:rsid w:val="00E91D37"/>
    <w:rsid w:val="00E92912"/>
    <w:rsid w:val="00E92AF4"/>
    <w:rsid w:val="00E92BB6"/>
    <w:rsid w:val="00E92E56"/>
    <w:rsid w:val="00E93317"/>
    <w:rsid w:val="00E940A8"/>
    <w:rsid w:val="00E95185"/>
    <w:rsid w:val="00E95CDE"/>
    <w:rsid w:val="00E9702B"/>
    <w:rsid w:val="00E97758"/>
    <w:rsid w:val="00EA0276"/>
    <w:rsid w:val="00EA12EC"/>
    <w:rsid w:val="00EA211C"/>
    <w:rsid w:val="00EA2182"/>
    <w:rsid w:val="00EA4688"/>
    <w:rsid w:val="00EA5275"/>
    <w:rsid w:val="00EA5559"/>
    <w:rsid w:val="00EB0411"/>
    <w:rsid w:val="00EB0E93"/>
    <w:rsid w:val="00EB11EC"/>
    <w:rsid w:val="00EB16F9"/>
    <w:rsid w:val="00EB1CDF"/>
    <w:rsid w:val="00EB32D0"/>
    <w:rsid w:val="00EB4F86"/>
    <w:rsid w:val="00EB5CD6"/>
    <w:rsid w:val="00EB63CA"/>
    <w:rsid w:val="00EB6744"/>
    <w:rsid w:val="00EC014C"/>
    <w:rsid w:val="00EC01B0"/>
    <w:rsid w:val="00EC07D2"/>
    <w:rsid w:val="00EC179E"/>
    <w:rsid w:val="00EC3C5A"/>
    <w:rsid w:val="00EC4249"/>
    <w:rsid w:val="00EC48E9"/>
    <w:rsid w:val="00EC6497"/>
    <w:rsid w:val="00EC712D"/>
    <w:rsid w:val="00EC71D3"/>
    <w:rsid w:val="00EC7203"/>
    <w:rsid w:val="00EC76DA"/>
    <w:rsid w:val="00EC76F2"/>
    <w:rsid w:val="00ED0ACA"/>
    <w:rsid w:val="00ED0D5A"/>
    <w:rsid w:val="00ED0E82"/>
    <w:rsid w:val="00ED16EF"/>
    <w:rsid w:val="00ED2B69"/>
    <w:rsid w:val="00ED2DFD"/>
    <w:rsid w:val="00ED4314"/>
    <w:rsid w:val="00ED4E27"/>
    <w:rsid w:val="00ED53A4"/>
    <w:rsid w:val="00ED5533"/>
    <w:rsid w:val="00ED607D"/>
    <w:rsid w:val="00ED69CC"/>
    <w:rsid w:val="00EE18F5"/>
    <w:rsid w:val="00EE2376"/>
    <w:rsid w:val="00EE23E3"/>
    <w:rsid w:val="00EE3561"/>
    <w:rsid w:val="00EE3950"/>
    <w:rsid w:val="00EE559C"/>
    <w:rsid w:val="00EE6439"/>
    <w:rsid w:val="00EE6B30"/>
    <w:rsid w:val="00EF1F84"/>
    <w:rsid w:val="00EF256F"/>
    <w:rsid w:val="00EF2CCC"/>
    <w:rsid w:val="00EF2FCE"/>
    <w:rsid w:val="00EF3316"/>
    <w:rsid w:val="00EF4986"/>
    <w:rsid w:val="00EF4CA9"/>
    <w:rsid w:val="00EF54A6"/>
    <w:rsid w:val="00EF5C78"/>
    <w:rsid w:val="00EF5D12"/>
    <w:rsid w:val="00EF5F5A"/>
    <w:rsid w:val="00EF621A"/>
    <w:rsid w:val="00F01EFD"/>
    <w:rsid w:val="00F0205E"/>
    <w:rsid w:val="00F02ABC"/>
    <w:rsid w:val="00F03FB2"/>
    <w:rsid w:val="00F06340"/>
    <w:rsid w:val="00F0636F"/>
    <w:rsid w:val="00F0697C"/>
    <w:rsid w:val="00F10F5F"/>
    <w:rsid w:val="00F115E8"/>
    <w:rsid w:val="00F13495"/>
    <w:rsid w:val="00F15567"/>
    <w:rsid w:val="00F15D77"/>
    <w:rsid w:val="00F16498"/>
    <w:rsid w:val="00F16E61"/>
    <w:rsid w:val="00F20F06"/>
    <w:rsid w:val="00F2123D"/>
    <w:rsid w:val="00F218B0"/>
    <w:rsid w:val="00F21A71"/>
    <w:rsid w:val="00F21EFE"/>
    <w:rsid w:val="00F225A7"/>
    <w:rsid w:val="00F22E1F"/>
    <w:rsid w:val="00F2319B"/>
    <w:rsid w:val="00F231EA"/>
    <w:rsid w:val="00F23352"/>
    <w:rsid w:val="00F2369B"/>
    <w:rsid w:val="00F25204"/>
    <w:rsid w:val="00F2724F"/>
    <w:rsid w:val="00F312C0"/>
    <w:rsid w:val="00F32B7B"/>
    <w:rsid w:val="00F33073"/>
    <w:rsid w:val="00F33501"/>
    <w:rsid w:val="00F33D66"/>
    <w:rsid w:val="00F33DDB"/>
    <w:rsid w:val="00F36C4C"/>
    <w:rsid w:val="00F370F2"/>
    <w:rsid w:val="00F42057"/>
    <w:rsid w:val="00F4239C"/>
    <w:rsid w:val="00F4276B"/>
    <w:rsid w:val="00F42B03"/>
    <w:rsid w:val="00F435AD"/>
    <w:rsid w:val="00F44334"/>
    <w:rsid w:val="00F44E4F"/>
    <w:rsid w:val="00F46BC9"/>
    <w:rsid w:val="00F4799F"/>
    <w:rsid w:val="00F50EDA"/>
    <w:rsid w:val="00F51475"/>
    <w:rsid w:val="00F53CFA"/>
    <w:rsid w:val="00F566A0"/>
    <w:rsid w:val="00F56EA2"/>
    <w:rsid w:val="00F57153"/>
    <w:rsid w:val="00F579D1"/>
    <w:rsid w:val="00F60623"/>
    <w:rsid w:val="00F62276"/>
    <w:rsid w:val="00F62CA6"/>
    <w:rsid w:val="00F63F02"/>
    <w:rsid w:val="00F6578E"/>
    <w:rsid w:val="00F65868"/>
    <w:rsid w:val="00F6646D"/>
    <w:rsid w:val="00F71195"/>
    <w:rsid w:val="00F71693"/>
    <w:rsid w:val="00F7177A"/>
    <w:rsid w:val="00F7270C"/>
    <w:rsid w:val="00F72813"/>
    <w:rsid w:val="00F73C3C"/>
    <w:rsid w:val="00F73DB8"/>
    <w:rsid w:val="00F76244"/>
    <w:rsid w:val="00F77955"/>
    <w:rsid w:val="00F77B2B"/>
    <w:rsid w:val="00F77DC9"/>
    <w:rsid w:val="00F80106"/>
    <w:rsid w:val="00F80C7E"/>
    <w:rsid w:val="00F82129"/>
    <w:rsid w:val="00F828BA"/>
    <w:rsid w:val="00F82AA6"/>
    <w:rsid w:val="00F8365D"/>
    <w:rsid w:val="00F87500"/>
    <w:rsid w:val="00F8750E"/>
    <w:rsid w:val="00F902B8"/>
    <w:rsid w:val="00F90ABB"/>
    <w:rsid w:val="00F90D94"/>
    <w:rsid w:val="00F911DF"/>
    <w:rsid w:val="00F91291"/>
    <w:rsid w:val="00F91E82"/>
    <w:rsid w:val="00F91FB3"/>
    <w:rsid w:val="00F92762"/>
    <w:rsid w:val="00F93A5C"/>
    <w:rsid w:val="00F94673"/>
    <w:rsid w:val="00F95975"/>
    <w:rsid w:val="00F95DE3"/>
    <w:rsid w:val="00F96087"/>
    <w:rsid w:val="00F97058"/>
    <w:rsid w:val="00F9788D"/>
    <w:rsid w:val="00FA2813"/>
    <w:rsid w:val="00FA2825"/>
    <w:rsid w:val="00FA4EDA"/>
    <w:rsid w:val="00FA7CB7"/>
    <w:rsid w:val="00FB17BF"/>
    <w:rsid w:val="00FB1CE7"/>
    <w:rsid w:val="00FB2A19"/>
    <w:rsid w:val="00FB39A9"/>
    <w:rsid w:val="00FB528E"/>
    <w:rsid w:val="00FB5670"/>
    <w:rsid w:val="00FB603B"/>
    <w:rsid w:val="00FB6345"/>
    <w:rsid w:val="00FB75CA"/>
    <w:rsid w:val="00FC0241"/>
    <w:rsid w:val="00FC07E9"/>
    <w:rsid w:val="00FC0E35"/>
    <w:rsid w:val="00FC2573"/>
    <w:rsid w:val="00FC2DC5"/>
    <w:rsid w:val="00FC322C"/>
    <w:rsid w:val="00FC35F4"/>
    <w:rsid w:val="00FC4165"/>
    <w:rsid w:val="00FC41FB"/>
    <w:rsid w:val="00FC42EB"/>
    <w:rsid w:val="00FC516F"/>
    <w:rsid w:val="00FC5F2C"/>
    <w:rsid w:val="00FC601C"/>
    <w:rsid w:val="00FC7340"/>
    <w:rsid w:val="00FC7581"/>
    <w:rsid w:val="00FD0527"/>
    <w:rsid w:val="00FD20E7"/>
    <w:rsid w:val="00FD222D"/>
    <w:rsid w:val="00FD2563"/>
    <w:rsid w:val="00FD2ACE"/>
    <w:rsid w:val="00FD3A98"/>
    <w:rsid w:val="00FD446C"/>
    <w:rsid w:val="00FD716A"/>
    <w:rsid w:val="00FD7DE6"/>
    <w:rsid w:val="00FE0733"/>
    <w:rsid w:val="00FE0863"/>
    <w:rsid w:val="00FE1508"/>
    <w:rsid w:val="00FE1702"/>
    <w:rsid w:val="00FE1EC3"/>
    <w:rsid w:val="00FE1F66"/>
    <w:rsid w:val="00FE2514"/>
    <w:rsid w:val="00FE260E"/>
    <w:rsid w:val="00FE412F"/>
    <w:rsid w:val="00FE678F"/>
    <w:rsid w:val="00FE7268"/>
    <w:rsid w:val="00FE7395"/>
    <w:rsid w:val="00FE7887"/>
    <w:rsid w:val="00FE7DA2"/>
    <w:rsid w:val="00FF0360"/>
    <w:rsid w:val="00FF03A6"/>
    <w:rsid w:val="00FF0FDE"/>
    <w:rsid w:val="00FF1950"/>
    <w:rsid w:val="00FF2474"/>
    <w:rsid w:val="00FF273E"/>
    <w:rsid w:val="00FF357F"/>
    <w:rsid w:val="00FF477E"/>
    <w:rsid w:val="00FF7FEA"/>
    <w:rsid w:val="01DC3DEE"/>
    <w:rsid w:val="01ED66F4"/>
    <w:rsid w:val="02180F66"/>
    <w:rsid w:val="029D094A"/>
    <w:rsid w:val="03004BDE"/>
    <w:rsid w:val="03635E57"/>
    <w:rsid w:val="03636F67"/>
    <w:rsid w:val="036D3CCD"/>
    <w:rsid w:val="03C14A50"/>
    <w:rsid w:val="045621AE"/>
    <w:rsid w:val="046C7D60"/>
    <w:rsid w:val="0471084F"/>
    <w:rsid w:val="04DC2049"/>
    <w:rsid w:val="052C0B96"/>
    <w:rsid w:val="05522106"/>
    <w:rsid w:val="058B06AD"/>
    <w:rsid w:val="060E174D"/>
    <w:rsid w:val="062D08D8"/>
    <w:rsid w:val="07091ECE"/>
    <w:rsid w:val="07424039"/>
    <w:rsid w:val="07A23142"/>
    <w:rsid w:val="07E64FE3"/>
    <w:rsid w:val="07FE3701"/>
    <w:rsid w:val="085F4411"/>
    <w:rsid w:val="088417F6"/>
    <w:rsid w:val="088E219D"/>
    <w:rsid w:val="09205EAC"/>
    <w:rsid w:val="09603AA6"/>
    <w:rsid w:val="09AA066E"/>
    <w:rsid w:val="09C4787A"/>
    <w:rsid w:val="09F43AC6"/>
    <w:rsid w:val="09F56FAC"/>
    <w:rsid w:val="09FB0762"/>
    <w:rsid w:val="0A371684"/>
    <w:rsid w:val="0A4872F9"/>
    <w:rsid w:val="0A582F13"/>
    <w:rsid w:val="0A7F448A"/>
    <w:rsid w:val="0B1200DE"/>
    <w:rsid w:val="0B261D14"/>
    <w:rsid w:val="0B33092C"/>
    <w:rsid w:val="0B5D5A96"/>
    <w:rsid w:val="0BAD41C3"/>
    <w:rsid w:val="0C295416"/>
    <w:rsid w:val="0C2B392B"/>
    <w:rsid w:val="0C534C59"/>
    <w:rsid w:val="0C635236"/>
    <w:rsid w:val="0CF265BF"/>
    <w:rsid w:val="0CF35CA7"/>
    <w:rsid w:val="0D6E071F"/>
    <w:rsid w:val="0D98003D"/>
    <w:rsid w:val="0E177B3B"/>
    <w:rsid w:val="0E9C10D8"/>
    <w:rsid w:val="0EA66BF9"/>
    <w:rsid w:val="0EF76B09"/>
    <w:rsid w:val="0F120817"/>
    <w:rsid w:val="0F6B560F"/>
    <w:rsid w:val="0F7926C1"/>
    <w:rsid w:val="0FB14362"/>
    <w:rsid w:val="1069582F"/>
    <w:rsid w:val="10D70E0E"/>
    <w:rsid w:val="11382893"/>
    <w:rsid w:val="11494CB5"/>
    <w:rsid w:val="115364CF"/>
    <w:rsid w:val="115764BC"/>
    <w:rsid w:val="11B63E03"/>
    <w:rsid w:val="12031B1F"/>
    <w:rsid w:val="12BA3BA4"/>
    <w:rsid w:val="12BD22DC"/>
    <w:rsid w:val="12E64707"/>
    <w:rsid w:val="12FA2ED1"/>
    <w:rsid w:val="13034CC2"/>
    <w:rsid w:val="13037243"/>
    <w:rsid w:val="1320666D"/>
    <w:rsid w:val="134E79ED"/>
    <w:rsid w:val="141C67FA"/>
    <w:rsid w:val="149A2DFA"/>
    <w:rsid w:val="14AC5E4A"/>
    <w:rsid w:val="14B21B5D"/>
    <w:rsid w:val="14CF0E39"/>
    <w:rsid w:val="14D45E95"/>
    <w:rsid w:val="15352978"/>
    <w:rsid w:val="153614F6"/>
    <w:rsid w:val="15481EED"/>
    <w:rsid w:val="15A875C5"/>
    <w:rsid w:val="16032C42"/>
    <w:rsid w:val="162B1871"/>
    <w:rsid w:val="16301C1D"/>
    <w:rsid w:val="16890235"/>
    <w:rsid w:val="168C5AA9"/>
    <w:rsid w:val="16B42A7E"/>
    <w:rsid w:val="16FE1178"/>
    <w:rsid w:val="17166096"/>
    <w:rsid w:val="173B6ACB"/>
    <w:rsid w:val="17440D60"/>
    <w:rsid w:val="17603BA1"/>
    <w:rsid w:val="17665D64"/>
    <w:rsid w:val="17943A15"/>
    <w:rsid w:val="1834013D"/>
    <w:rsid w:val="18493F6B"/>
    <w:rsid w:val="184F5916"/>
    <w:rsid w:val="18B03DA8"/>
    <w:rsid w:val="18D87E25"/>
    <w:rsid w:val="18FF0FCE"/>
    <w:rsid w:val="191C5A42"/>
    <w:rsid w:val="19AE50FE"/>
    <w:rsid w:val="19DB6001"/>
    <w:rsid w:val="1A050C7F"/>
    <w:rsid w:val="1A331252"/>
    <w:rsid w:val="1AB76112"/>
    <w:rsid w:val="1AD204B8"/>
    <w:rsid w:val="1B2F4C86"/>
    <w:rsid w:val="1B2F55F8"/>
    <w:rsid w:val="1B463143"/>
    <w:rsid w:val="1B773965"/>
    <w:rsid w:val="1B7E039F"/>
    <w:rsid w:val="1B891AFD"/>
    <w:rsid w:val="1BD95250"/>
    <w:rsid w:val="1BFC66E3"/>
    <w:rsid w:val="1C052D28"/>
    <w:rsid w:val="1C34139E"/>
    <w:rsid w:val="1C4778C9"/>
    <w:rsid w:val="1C7F7328"/>
    <w:rsid w:val="1CAF69A0"/>
    <w:rsid w:val="1D3674F8"/>
    <w:rsid w:val="1D6674F0"/>
    <w:rsid w:val="1DD371AF"/>
    <w:rsid w:val="1E452368"/>
    <w:rsid w:val="1EBE6820"/>
    <w:rsid w:val="1EFC4269"/>
    <w:rsid w:val="1F246C26"/>
    <w:rsid w:val="1F92189C"/>
    <w:rsid w:val="200709BC"/>
    <w:rsid w:val="20184B06"/>
    <w:rsid w:val="204B3C7E"/>
    <w:rsid w:val="20852362"/>
    <w:rsid w:val="20B91459"/>
    <w:rsid w:val="20EC563B"/>
    <w:rsid w:val="2192418E"/>
    <w:rsid w:val="21CF5175"/>
    <w:rsid w:val="22191157"/>
    <w:rsid w:val="222A6F69"/>
    <w:rsid w:val="227114CC"/>
    <w:rsid w:val="22AC1775"/>
    <w:rsid w:val="22D02D6B"/>
    <w:rsid w:val="22D442C6"/>
    <w:rsid w:val="22D57440"/>
    <w:rsid w:val="22EA38D7"/>
    <w:rsid w:val="23441916"/>
    <w:rsid w:val="23A02EF4"/>
    <w:rsid w:val="23A7029C"/>
    <w:rsid w:val="23C56D57"/>
    <w:rsid w:val="23D4149A"/>
    <w:rsid w:val="23DF0CFE"/>
    <w:rsid w:val="23E46CDC"/>
    <w:rsid w:val="243F2597"/>
    <w:rsid w:val="24631CEC"/>
    <w:rsid w:val="24794637"/>
    <w:rsid w:val="24857B13"/>
    <w:rsid w:val="2509367B"/>
    <w:rsid w:val="26832978"/>
    <w:rsid w:val="26956616"/>
    <w:rsid w:val="26C41BA9"/>
    <w:rsid w:val="26E02BAF"/>
    <w:rsid w:val="27B278EB"/>
    <w:rsid w:val="27F873C1"/>
    <w:rsid w:val="27FE3B41"/>
    <w:rsid w:val="28757943"/>
    <w:rsid w:val="289F5599"/>
    <w:rsid w:val="28A8388D"/>
    <w:rsid w:val="28DE79FF"/>
    <w:rsid w:val="28EE38FE"/>
    <w:rsid w:val="29253F47"/>
    <w:rsid w:val="29414C87"/>
    <w:rsid w:val="299C41E5"/>
    <w:rsid w:val="29B922E3"/>
    <w:rsid w:val="2A2D29D0"/>
    <w:rsid w:val="2A662475"/>
    <w:rsid w:val="2A6B48DA"/>
    <w:rsid w:val="2A712F5A"/>
    <w:rsid w:val="2AA71852"/>
    <w:rsid w:val="2B2E2E6D"/>
    <w:rsid w:val="2B7A1F9D"/>
    <w:rsid w:val="2B7D1341"/>
    <w:rsid w:val="2BE819F5"/>
    <w:rsid w:val="2C5073B7"/>
    <w:rsid w:val="2C5A469A"/>
    <w:rsid w:val="2CA500A0"/>
    <w:rsid w:val="2CAD7076"/>
    <w:rsid w:val="2CD05E13"/>
    <w:rsid w:val="2D047E87"/>
    <w:rsid w:val="2D2F0195"/>
    <w:rsid w:val="2D53132D"/>
    <w:rsid w:val="2D7D0A17"/>
    <w:rsid w:val="2DB265DC"/>
    <w:rsid w:val="2DBB1197"/>
    <w:rsid w:val="2E186678"/>
    <w:rsid w:val="2EBF7311"/>
    <w:rsid w:val="2EFF0857"/>
    <w:rsid w:val="2F1D347C"/>
    <w:rsid w:val="2F833C20"/>
    <w:rsid w:val="2FA4262E"/>
    <w:rsid w:val="300C3E45"/>
    <w:rsid w:val="306E110D"/>
    <w:rsid w:val="30DA1947"/>
    <w:rsid w:val="30DD06C1"/>
    <w:rsid w:val="30E639E9"/>
    <w:rsid w:val="3183266E"/>
    <w:rsid w:val="31851E93"/>
    <w:rsid w:val="31A74CD8"/>
    <w:rsid w:val="31AF1797"/>
    <w:rsid w:val="31BB3EC1"/>
    <w:rsid w:val="31CA3BE1"/>
    <w:rsid w:val="31DF3EA7"/>
    <w:rsid w:val="32542BDC"/>
    <w:rsid w:val="3292029A"/>
    <w:rsid w:val="32AE455D"/>
    <w:rsid w:val="32E74531"/>
    <w:rsid w:val="330F34C3"/>
    <w:rsid w:val="33943AEA"/>
    <w:rsid w:val="33D93533"/>
    <w:rsid w:val="343476E6"/>
    <w:rsid w:val="34544A20"/>
    <w:rsid w:val="34651D91"/>
    <w:rsid w:val="34673628"/>
    <w:rsid w:val="34FF52B7"/>
    <w:rsid w:val="35521618"/>
    <w:rsid w:val="357E71DA"/>
    <w:rsid w:val="366A415E"/>
    <w:rsid w:val="368326D7"/>
    <w:rsid w:val="36B655A8"/>
    <w:rsid w:val="36D609BA"/>
    <w:rsid w:val="36FA7FC4"/>
    <w:rsid w:val="371C7014"/>
    <w:rsid w:val="37204487"/>
    <w:rsid w:val="373F035A"/>
    <w:rsid w:val="37473B41"/>
    <w:rsid w:val="37B37A39"/>
    <w:rsid w:val="37ED33C8"/>
    <w:rsid w:val="384C31A9"/>
    <w:rsid w:val="38624DA0"/>
    <w:rsid w:val="38D4122C"/>
    <w:rsid w:val="38DF0809"/>
    <w:rsid w:val="38E440CC"/>
    <w:rsid w:val="38ED03AA"/>
    <w:rsid w:val="38FE7EE4"/>
    <w:rsid w:val="394B1AA0"/>
    <w:rsid w:val="39562AF0"/>
    <w:rsid w:val="396237F7"/>
    <w:rsid w:val="39713B82"/>
    <w:rsid w:val="39BB0146"/>
    <w:rsid w:val="39F31AC4"/>
    <w:rsid w:val="39FE4655"/>
    <w:rsid w:val="3A125261"/>
    <w:rsid w:val="3A5119C6"/>
    <w:rsid w:val="3A764254"/>
    <w:rsid w:val="3A7C1EF9"/>
    <w:rsid w:val="3ADA0691"/>
    <w:rsid w:val="3BAD592B"/>
    <w:rsid w:val="3BCA3A3E"/>
    <w:rsid w:val="3C061663"/>
    <w:rsid w:val="3C141433"/>
    <w:rsid w:val="3C4A2D68"/>
    <w:rsid w:val="3C776A3C"/>
    <w:rsid w:val="3C787925"/>
    <w:rsid w:val="3CCB036F"/>
    <w:rsid w:val="3D2862C0"/>
    <w:rsid w:val="3D5C7182"/>
    <w:rsid w:val="3D610642"/>
    <w:rsid w:val="3DAF609C"/>
    <w:rsid w:val="3DB168CB"/>
    <w:rsid w:val="3DE22645"/>
    <w:rsid w:val="3E535F42"/>
    <w:rsid w:val="3E596261"/>
    <w:rsid w:val="3E6946D6"/>
    <w:rsid w:val="3E851A65"/>
    <w:rsid w:val="3EA62E96"/>
    <w:rsid w:val="3EB2240A"/>
    <w:rsid w:val="3F847CE4"/>
    <w:rsid w:val="401E2A4B"/>
    <w:rsid w:val="40AC5132"/>
    <w:rsid w:val="413805E4"/>
    <w:rsid w:val="414D1313"/>
    <w:rsid w:val="423155E5"/>
    <w:rsid w:val="426A19DE"/>
    <w:rsid w:val="42D31ABB"/>
    <w:rsid w:val="43413B0E"/>
    <w:rsid w:val="436A1270"/>
    <w:rsid w:val="4397785A"/>
    <w:rsid w:val="43A67E6D"/>
    <w:rsid w:val="43D10454"/>
    <w:rsid w:val="43DF452A"/>
    <w:rsid w:val="43E6788F"/>
    <w:rsid w:val="443133AD"/>
    <w:rsid w:val="44572152"/>
    <w:rsid w:val="44B8027E"/>
    <w:rsid w:val="44BE734B"/>
    <w:rsid w:val="44C45652"/>
    <w:rsid w:val="452B4BC7"/>
    <w:rsid w:val="453745A9"/>
    <w:rsid w:val="45746D73"/>
    <w:rsid w:val="459473A2"/>
    <w:rsid w:val="45F235C6"/>
    <w:rsid w:val="467923C2"/>
    <w:rsid w:val="468531A6"/>
    <w:rsid w:val="46E06017"/>
    <w:rsid w:val="476D37CD"/>
    <w:rsid w:val="486A4813"/>
    <w:rsid w:val="488F42DD"/>
    <w:rsid w:val="48AA5A9E"/>
    <w:rsid w:val="493D21DC"/>
    <w:rsid w:val="49B21E66"/>
    <w:rsid w:val="49B660D8"/>
    <w:rsid w:val="49D739E0"/>
    <w:rsid w:val="49DB50EF"/>
    <w:rsid w:val="4A25579A"/>
    <w:rsid w:val="4ACE5EF4"/>
    <w:rsid w:val="4ADA71EF"/>
    <w:rsid w:val="4B744926"/>
    <w:rsid w:val="4BAE27C6"/>
    <w:rsid w:val="4BBF68EA"/>
    <w:rsid w:val="4BF946A1"/>
    <w:rsid w:val="4C012077"/>
    <w:rsid w:val="4C2B46CE"/>
    <w:rsid w:val="4C7445AF"/>
    <w:rsid w:val="4D570266"/>
    <w:rsid w:val="4D77089F"/>
    <w:rsid w:val="4E0F26AB"/>
    <w:rsid w:val="4E4B5A1E"/>
    <w:rsid w:val="4E5452DD"/>
    <w:rsid w:val="4EBE213A"/>
    <w:rsid w:val="4F141941"/>
    <w:rsid w:val="4F1C59B5"/>
    <w:rsid w:val="4F7D6B79"/>
    <w:rsid w:val="4FB22663"/>
    <w:rsid w:val="4FC01D0B"/>
    <w:rsid w:val="50073CD8"/>
    <w:rsid w:val="50AA5769"/>
    <w:rsid w:val="50B07B65"/>
    <w:rsid w:val="510B6206"/>
    <w:rsid w:val="515427B2"/>
    <w:rsid w:val="51776732"/>
    <w:rsid w:val="51B67F42"/>
    <w:rsid w:val="51D1690B"/>
    <w:rsid w:val="51E22966"/>
    <w:rsid w:val="520F52E0"/>
    <w:rsid w:val="52E26672"/>
    <w:rsid w:val="52FB5F09"/>
    <w:rsid w:val="5323217E"/>
    <w:rsid w:val="53304E78"/>
    <w:rsid w:val="5331495F"/>
    <w:rsid w:val="539D511F"/>
    <w:rsid w:val="53DC7850"/>
    <w:rsid w:val="54304C3A"/>
    <w:rsid w:val="546964A2"/>
    <w:rsid w:val="547669CB"/>
    <w:rsid w:val="548679C0"/>
    <w:rsid w:val="54B648B4"/>
    <w:rsid w:val="54D23DEC"/>
    <w:rsid w:val="54EC4B8A"/>
    <w:rsid w:val="552C45C5"/>
    <w:rsid w:val="55BB53BC"/>
    <w:rsid w:val="56185498"/>
    <w:rsid w:val="5694790E"/>
    <w:rsid w:val="56F76DC0"/>
    <w:rsid w:val="571D7657"/>
    <w:rsid w:val="574F106A"/>
    <w:rsid w:val="57FB066A"/>
    <w:rsid w:val="57FD6A7F"/>
    <w:rsid w:val="582A14DF"/>
    <w:rsid w:val="58455451"/>
    <w:rsid w:val="58523311"/>
    <w:rsid w:val="58906BD4"/>
    <w:rsid w:val="58C171FD"/>
    <w:rsid w:val="58DD6289"/>
    <w:rsid w:val="59703DD6"/>
    <w:rsid w:val="598060EE"/>
    <w:rsid w:val="59D93328"/>
    <w:rsid w:val="59F02045"/>
    <w:rsid w:val="5A306367"/>
    <w:rsid w:val="5A406B06"/>
    <w:rsid w:val="5A775DBA"/>
    <w:rsid w:val="5AB673D5"/>
    <w:rsid w:val="5AFC195D"/>
    <w:rsid w:val="5B177230"/>
    <w:rsid w:val="5B510B3E"/>
    <w:rsid w:val="5B972C7A"/>
    <w:rsid w:val="5BAF00C0"/>
    <w:rsid w:val="5BEA52B2"/>
    <w:rsid w:val="5C162695"/>
    <w:rsid w:val="5C1F6754"/>
    <w:rsid w:val="5C647F44"/>
    <w:rsid w:val="5C6A68BA"/>
    <w:rsid w:val="5C824A8B"/>
    <w:rsid w:val="5D026709"/>
    <w:rsid w:val="5D717088"/>
    <w:rsid w:val="5DA51E73"/>
    <w:rsid w:val="5DED16DA"/>
    <w:rsid w:val="5DF44EE5"/>
    <w:rsid w:val="5E3A37C9"/>
    <w:rsid w:val="5E587666"/>
    <w:rsid w:val="5E654390"/>
    <w:rsid w:val="5EC12045"/>
    <w:rsid w:val="5FFA413D"/>
    <w:rsid w:val="5FFE42E6"/>
    <w:rsid w:val="600279FB"/>
    <w:rsid w:val="60076B95"/>
    <w:rsid w:val="60120FE2"/>
    <w:rsid w:val="605639B6"/>
    <w:rsid w:val="60680736"/>
    <w:rsid w:val="60737D98"/>
    <w:rsid w:val="60764FFD"/>
    <w:rsid w:val="60BA1CBD"/>
    <w:rsid w:val="60E969C0"/>
    <w:rsid w:val="60F66329"/>
    <w:rsid w:val="61355CD7"/>
    <w:rsid w:val="61443421"/>
    <w:rsid w:val="615B4D31"/>
    <w:rsid w:val="61D53A62"/>
    <w:rsid w:val="61D7564C"/>
    <w:rsid w:val="61FF20BF"/>
    <w:rsid w:val="62605CA9"/>
    <w:rsid w:val="62653C7E"/>
    <w:rsid w:val="62A031D6"/>
    <w:rsid w:val="62BF3BAA"/>
    <w:rsid w:val="62DD294B"/>
    <w:rsid w:val="633772D8"/>
    <w:rsid w:val="63A54533"/>
    <w:rsid w:val="63DA6845"/>
    <w:rsid w:val="63FE61B0"/>
    <w:rsid w:val="642B1C37"/>
    <w:rsid w:val="64A332AF"/>
    <w:rsid w:val="64A90D7A"/>
    <w:rsid w:val="64D90F90"/>
    <w:rsid w:val="64DC70B9"/>
    <w:rsid w:val="64DF7B8D"/>
    <w:rsid w:val="64E33A79"/>
    <w:rsid w:val="650A5085"/>
    <w:rsid w:val="651C26B1"/>
    <w:rsid w:val="65467660"/>
    <w:rsid w:val="658F6ACB"/>
    <w:rsid w:val="65E95BE1"/>
    <w:rsid w:val="65F932BD"/>
    <w:rsid w:val="65FE60D1"/>
    <w:rsid w:val="66255CB7"/>
    <w:rsid w:val="666A064B"/>
    <w:rsid w:val="666D5257"/>
    <w:rsid w:val="667E6A89"/>
    <w:rsid w:val="667E75FE"/>
    <w:rsid w:val="6691055B"/>
    <w:rsid w:val="66AC4459"/>
    <w:rsid w:val="66BF50EF"/>
    <w:rsid w:val="66EE3FD2"/>
    <w:rsid w:val="677107A5"/>
    <w:rsid w:val="678B782A"/>
    <w:rsid w:val="67916E53"/>
    <w:rsid w:val="67B14789"/>
    <w:rsid w:val="68221396"/>
    <w:rsid w:val="685B6D50"/>
    <w:rsid w:val="68B30A78"/>
    <w:rsid w:val="68D26E7C"/>
    <w:rsid w:val="69162901"/>
    <w:rsid w:val="6A237453"/>
    <w:rsid w:val="6A746F4B"/>
    <w:rsid w:val="6AB31505"/>
    <w:rsid w:val="6AD11DA8"/>
    <w:rsid w:val="6AD76C05"/>
    <w:rsid w:val="6B6237D8"/>
    <w:rsid w:val="6B8E3EFD"/>
    <w:rsid w:val="6C066C5A"/>
    <w:rsid w:val="6C1273A3"/>
    <w:rsid w:val="6C6410BC"/>
    <w:rsid w:val="6C774E0A"/>
    <w:rsid w:val="6C79492F"/>
    <w:rsid w:val="6D9A39A4"/>
    <w:rsid w:val="6DFD3218"/>
    <w:rsid w:val="6E3156A4"/>
    <w:rsid w:val="6EA85492"/>
    <w:rsid w:val="6EB8659C"/>
    <w:rsid w:val="6F1A3C6D"/>
    <w:rsid w:val="6FB2535F"/>
    <w:rsid w:val="6FCA14A7"/>
    <w:rsid w:val="6FE21D4C"/>
    <w:rsid w:val="6FEE40C8"/>
    <w:rsid w:val="6FF3376B"/>
    <w:rsid w:val="702D35FF"/>
    <w:rsid w:val="70320C50"/>
    <w:rsid w:val="70386C55"/>
    <w:rsid w:val="71026D76"/>
    <w:rsid w:val="717446DD"/>
    <w:rsid w:val="71861897"/>
    <w:rsid w:val="71EC75D6"/>
    <w:rsid w:val="728044EF"/>
    <w:rsid w:val="72CD593C"/>
    <w:rsid w:val="73431760"/>
    <w:rsid w:val="74063229"/>
    <w:rsid w:val="74395578"/>
    <w:rsid w:val="75470881"/>
    <w:rsid w:val="754F352F"/>
    <w:rsid w:val="759D2AF9"/>
    <w:rsid w:val="76010F6E"/>
    <w:rsid w:val="763728EB"/>
    <w:rsid w:val="7676578E"/>
    <w:rsid w:val="77266BFF"/>
    <w:rsid w:val="774360FA"/>
    <w:rsid w:val="77997D01"/>
    <w:rsid w:val="77A71182"/>
    <w:rsid w:val="780D7B2D"/>
    <w:rsid w:val="784409D6"/>
    <w:rsid w:val="7845280D"/>
    <w:rsid w:val="78E8780E"/>
    <w:rsid w:val="78EF5552"/>
    <w:rsid w:val="78F84034"/>
    <w:rsid w:val="79252160"/>
    <w:rsid w:val="797C073E"/>
    <w:rsid w:val="799C2C38"/>
    <w:rsid w:val="79E80C77"/>
    <w:rsid w:val="7AC92709"/>
    <w:rsid w:val="7B2B0C52"/>
    <w:rsid w:val="7B63708C"/>
    <w:rsid w:val="7B69568B"/>
    <w:rsid w:val="7B842AD5"/>
    <w:rsid w:val="7BAC0C54"/>
    <w:rsid w:val="7BB21B7E"/>
    <w:rsid w:val="7C012ED8"/>
    <w:rsid w:val="7C24639A"/>
    <w:rsid w:val="7C7A4EB1"/>
    <w:rsid w:val="7C971E4B"/>
    <w:rsid w:val="7D2B6F6B"/>
    <w:rsid w:val="7DBA394B"/>
    <w:rsid w:val="7DC03117"/>
    <w:rsid w:val="7DCD424D"/>
    <w:rsid w:val="7E6575E2"/>
    <w:rsid w:val="7E782E3F"/>
    <w:rsid w:val="7E790738"/>
    <w:rsid w:val="7EB600BA"/>
    <w:rsid w:val="7EE00B18"/>
    <w:rsid w:val="7F040AC0"/>
    <w:rsid w:val="7F110853"/>
    <w:rsid w:val="7F8C608A"/>
    <w:rsid w:val="7FAA1C64"/>
    <w:rsid w:val="7FBB6B94"/>
    <w:rsid w:val="7FF104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9" w:semiHidden="0" w:name="heading 8"/>
    <w:lsdException w:qFormat="1" w:unhideWhenUsed="0" w:uiPriority="9" w:semiHidden="0" w:name="heading 9"/>
    <w:lsdException w:qFormat="1" w:unhideWhenUsed="0" w:uiPriority="99"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iPriority="99" w:semiHidden="0" w:name="table of authorities"/>
    <w:lsdException w:uiPriority="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iPriority="99" w:semiHidden="0" w:name="Date"/>
    <w:lsdException w:qFormat="1" w:unhideWhenUsed="0" w:uiPriority="99"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qFormat="1" w:unhideWhenUsed="0" w:uiPriority="0" w:semiHidden="0" w:name="HTML Acronym"/>
    <w:lsdException w:qFormat="1" w:unhideWhenUsed="0" w:uiPriority="0"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0" w:semiHidden="0" w:name="HTML Typewriter"/>
    <w:lsdException w:qFormat="1" w:unhideWhenUsed="0" w:uiPriority="99"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qFormat="1" w:uiPriority="0" w:semiHidden="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宋体" w:eastAsia="宋体" w:cs="宋体"/>
      <w:sz w:val="24"/>
      <w:szCs w:val="24"/>
      <w:lang w:val="en-US" w:eastAsia="zh-CN" w:bidi="ar-SA"/>
    </w:rPr>
  </w:style>
  <w:style w:type="paragraph" w:styleId="4">
    <w:name w:val="heading 1"/>
    <w:basedOn w:val="1"/>
    <w:next w:val="1"/>
    <w:link w:val="442"/>
    <w:qFormat/>
    <w:uiPriority w:val="0"/>
    <w:pPr>
      <w:outlineLvl w:val="0"/>
    </w:pPr>
    <w:rPr>
      <w:rFonts w:ascii="Calibri" w:hAnsi="Calibri" w:eastAsia="黑体" w:cs="Times New Roman"/>
      <w:kern w:val="2"/>
      <w:sz w:val="32"/>
      <w:szCs w:val="22"/>
    </w:rPr>
  </w:style>
  <w:style w:type="paragraph" w:styleId="5">
    <w:name w:val="heading 2"/>
    <w:basedOn w:val="1"/>
    <w:next w:val="6"/>
    <w:link w:val="282"/>
    <w:qFormat/>
    <w:uiPriority w:val="0"/>
    <w:pPr>
      <w:keepNext/>
      <w:keepLines/>
      <w:spacing w:line="500" w:lineRule="exact"/>
      <w:outlineLvl w:val="1"/>
    </w:pPr>
    <w:rPr>
      <w:rFonts w:ascii="Calibri" w:hAnsi="Calibri" w:eastAsia="黑体" w:cs="Times New Roman"/>
      <w:bCs/>
      <w:sz w:val="28"/>
      <w:szCs w:val="32"/>
    </w:rPr>
  </w:style>
  <w:style w:type="paragraph" w:styleId="7">
    <w:name w:val="heading 3"/>
    <w:basedOn w:val="1"/>
    <w:next w:val="1"/>
    <w:link w:val="495"/>
    <w:qFormat/>
    <w:uiPriority w:val="9"/>
    <w:pPr>
      <w:keepNext/>
      <w:keepLines/>
      <w:spacing w:line="500" w:lineRule="exact"/>
      <w:outlineLvl w:val="2"/>
    </w:pPr>
    <w:rPr>
      <w:rFonts w:ascii="Times New Roman" w:hAnsi="Times New Roman" w:eastAsia="黑体" w:cs="Times New Roman"/>
      <w:bCs/>
      <w:sz w:val="20"/>
      <w:szCs w:val="32"/>
    </w:rPr>
  </w:style>
  <w:style w:type="paragraph" w:styleId="8">
    <w:name w:val="heading 4"/>
    <w:basedOn w:val="1"/>
    <w:next w:val="1"/>
    <w:link w:val="311"/>
    <w:qFormat/>
    <w:uiPriority w:val="9"/>
    <w:pPr>
      <w:keepNext/>
      <w:keepLines/>
      <w:spacing w:line="500" w:lineRule="exact"/>
      <w:outlineLvl w:val="3"/>
    </w:pPr>
    <w:rPr>
      <w:rFonts w:ascii="Times New Roman" w:hAnsi="Times New Roman"/>
      <w:szCs w:val="20"/>
      <w:lang w:val="zh-CN"/>
    </w:rPr>
  </w:style>
  <w:style w:type="paragraph" w:styleId="9">
    <w:name w:val="heading 5"/>
    <w:basedOn w:val="1"/>
    <w:next w:val="1"/>
    <w:link w:val="144"/>
    <w:qFormat/>
    <w:uiPriority w:val="9"/>
    <w:pPr>
      <w:keepNext/>
      <w:keepLines/>
      <w:widowControl w:val="0"/>
      <w:topLinePunct/>
      <w:spacing w:before="280" w:after="290" w:line="376" w:lineRule="auto"/>
      <w:ind w:firstLine="200" w:firstLineChars="200"/>
      <w:outlineLvl w:val="4"/>
    </w:pPr>
    <w:rPr>
      <w:rFonts w:ascii="仿宋_GB2312" w:hAnsi="Times New Roman" w:eastAsia="仿宋_GB2312" w:cs="Times New Roman"/>
      <w:b/>
      <w:bCs/>
      <w:sz w:val="28"/>
      <w:szCs w:val="28"/>
    </w:rPr>
  </w:style>
  <w:style w:type="paragraph" w:styleId="10">
    <w:name w:val="heading 6"/>
    <w:basedOn w:val="1"/>
    <w:next w:val="1"/>
    <w:link w:val="145"/>
    <w:qFormat/>
    <w:uiPriority w:val="9"/>
    <w:pPr>
      <w:keepNext/>
      <w:widowControl w:val="0"/>
      <w:tabs>
        <w:tab w:val="left" w:pos="360"/>
      </w:tabs>
      <w:ind w:left="360" w:hanging="360"/>
      <w:jc w:val="both"/>
      <w:outlineLvl w:val="5"/>
    </w:pPr>
    <w:rPr>
      <w:rFonts w:ascii="Times New Roman" w:hAnsi="Times New Roman" w:cs="Times New Roman"/>
      <w:b/>
      <w:bCs/>
      <w:kern w:val="2"/>
      <w:szCs w:val="20"/>
    </w:rPr>
  </w:style>
  <w:style w:type="paragraph" w:styleId="11">
    <w:name w:val="heading 7"/>
    <w:basedOn w:val="1"/>
    <w:next w:val="1"/>
    <w:link w:val="146"/>
    <w:qFormat/>
    <w:uiPriority w:val="9"/>
    <w:pPr>
      <w:keepNext/>
      <w:widowControl w:val="0"/>
      <w:tabs>
        <w:tab w:val="left" w:pos="360"/>
      </w:tabs>
      <w:ind w:left="360" w:hanging="360"/>
      <w:jc w:val="both"/>
      <w:outlineLvl w:val="6"/>
    </w:pPr>
    <w:rPr>
      <w:rFonts w:ascii="Times New Roman" w:hAnsi="Times New Roman" w:cs="Times New Roman"/>
      <w:b/>
      <w:bCs/>
      <w:kern w:val="2"/>
      <w:sz w:val="28"/>
      <w:szCs w:val="28"/>
    </w:rPr>
  </w:style>
  <w:style w:type="paragraph" w:styleId="12">
    <w:name w:val="heading 8"/>
    <w:basedOn w:val="1"/>
    <w:next w:val="1"/>
    <w:link w:val="441"/>
    <w:qFormat/>
    <w:uiPriority w:val="99"/>
    <w:pPr>
      <w:keepNext/>
      <w:widowControl w:val="0"/>
      <w:tabs>
        <w:tab w:val="left" w:pos="645"/>
      </w:tabs>
      <w:ind w:left="645" w:hanging="645"/>
      <w:jc w:val="both"/>
      <w:outlineLvl w:val="7"/>
    </w:pPr>
    <w:rPr>
      <w:rFonts w:ascii="Times New Roman" w:hAnsi="Times New Roman" w:cs="Times New Roman"/>
      <w:b/>
      <w:bCs/>
      <w:kern w:val="2"/>
      <w:sz w:val="28"/>
      <w:szCs w:val="28"/>
    </w:rPr>
  </w:style>
  <w:style w:type="paragraph" w:styleId="13">
    <w:name w:val="heading 9"/>
    <w:basedOn w:val="1"/>
    <w:next w:val="1"/>
    <w:link w:val="148"/>
    <w:qFormat/>
    <w:uiPriority w:val="9"/>
    <w:pPr>
      <w:keepNext/>
      <w:keepLines/>
      <w:widowControl w:val="0"/>
      <w:topLinePunct/>
      <w:spacing w:before="240" w:after="64" w:line="320" w:lineRule="auto"/>
      <w:ind w:firstLine="200" w:firstLineChars="200"/>
      <w:outlineLvl w:val="8"/>
    </w:pPr>
    <w:rPr>
      <w:rFonts w:ascii="Arial" w:hAnsi="Arial" w:eastAsia="黑体" w:cs="Times New Roman"/>
      <w:sz w:val="28"/>
      <w:szCs w:val="21"/>
    </w:rPr>
  </w:style>
  <w:style w:type="character" w:default="1" w:styleId="85">
    <w:name w:val="Default Paragraph Font"/>
    <w:unhideWhenUsed/>
    <w:qFormat/>
    <w:uiPriority w:val="1"/>
  </w:style>
  <w:style w:type="table" w:default="1" w:styleId="82">
    <w:name w:val="Normal Table"/>
    <w:semiHidden/>
    <w:unhideWhenUsed/>
    <w:qFormat/>
    <w:uiPriority w:val="99"/>
    <w:tblPr>
      <w:tblCellMar>
        <w:top w:w="0" w:type="dxa"/>
        <w:left w:w="108" w:type="dxa"/>
        <w:bottom w:w="0" w:type="dxa"/>
        <w:right w:w="108" w:type="dxa"/>
      </w:tblCellMar>
    </w:tblPr>
  </w:style>
  <w:style w:type="paragraph" w:customStyle="1" w:styleId="2">
    <w:name w:val="表格内"/>
    <w:basedOn w:val="3"/>
    <w:link w:val="1705"/>
    <w:qFormat/>
    <w:uiPriority w:val="0"/>
    <w:pPr>
      <w:snapToGrid w:val="0"/>
      <w:spacing w:line="360" w:lineRule="exact"/>
      <w:jc w:val="center"/>
    </w:pPr>
    <w:rPr>
      <w:rFonts w:ascii="Calibri" w:hAnsi="Calibri"/>
      <w:sz w:val="21"/>
      <w:szCs w:val="21"/>
    </w:rPr>
  </w:style>
  <w:style w:type="paragraph" w:styleId="3">
    <w:name w:val="List"/>
    <w:basedOn w:val="1"/>
    <w:link w:val="526"/>
    <w:qFormat/>
    <w:uiPriority w:val="99"/>
    <w:pPr>
      <w:widowControl w:val="0"/>
      <w:ind w:left="420" w:hanging="420"/>
      <w:jc w:val="both"/>
    </w:pPr>
    <w:rPr>
      <w:rFonts w:hint="eastAsia" w:ascii="黑体" w:hAnsi="Times New Roman" w:eastAsia="黑体" w:cs="Times New Roman"/>
      <w:kern w:val="2"/>
    </w:rPr>
  </w:style>
  <w:style w:type="paragraph" w:styleId="6">
    <w:name w:val="Normal Indent"/>
    <w:basedOn w:val="1"/>
    <w:link w:val="171"/>
    <w:qFormat/>
    <w:uiPriority w:val="0"/>
    <w:pPr>
      <w:spacing w:line="520" w:lineRule="exact"/>
      <w:ind w:firstLine="624"/>
    </w:pPr>
    <w:rPr>
      <w:rFonts w:ascii="Calibri" w:hAnsi="Calibri" w:cs="Times New Roman"/>
      <w:sz w:val="28"/>
      <w:szCs w:val="20"/>
    </w:rPr>
  </w:style>
  <w:style w:type="paragraph" w:styleId="14">
    <w:name w:val="List 3"/>
    <w:basedOn w:val="1"/>
    <w:qFormat/>
    <w:uiPriority w:val="99"/>
    <w:pPr>
      <w:widowControl w:val="0"/>
      <w:topLinePunct/>
      <w:spacing w:line="360" w:lineRule="auto"/>
      <w:ind w:left="100" w:leftChars="400" w:hanging="200" w:hangingChars="200"/>
    </w:pPr>
    <w:rPr>
      <w:rFonts w:ascii="仿宋_GB2312" w:hAnsi="Times New Roman" w:eastAsia="仿宋_GB2312" w:cs="Times New Roman"/>
      <w:kern w:val="2"/>
      <w:sz w:val="28"/>
      <w:szCs w:val="20"/>
    </w:rPr>
  </w:style>
  <w:style w:type="paragraph" w:styleId="15">
    <w:name w:val="toc 7"/>
    <w:basedOn w:val="1"/>
    <w:next w:val="1"/>
    <w:qFormat/>
    <w:uiPriority w:val="39"/>
    <w:pPr>
      <w:widowControl w:val="0"/>
      <w:ind w:left="1260"/>
    </w:pPr>
    <w:rPr>
      <w:rFonts w:ascii="Calibri" w:hAnsi="Calibri" w:cs="Times New Roman"/>
      <w:kern w:val="2"/>
      <w:sz w:val="18"/>
      <w:szCs w:val="18"/>
    </w:rPr>
  </w:style>
  <w:style w:type="paragraph" w:styleId="16">
    <w:name w:val="List Number 2"/>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17">
    <w:name w:val="table of authorities"/>
    <w:basedOn w:val="1"/>
    <w:next w:val="1"/>
    <w:unhideWhenUsed/>
    <w:qFormat/>
    <w:uiPriority w:val="99"/>
    <w:pPr>
      <w:widowControl w:val="0"/>
      <w:ind w:left="210" w:hanging="210"/>
    </w:pPr>
    <w:rPr>
      <w:rFonts w:ascii="Times New Roman" w:hAnsi="Times New Roman" w:cs="Times New Roman"/>
      <w:kern w:val="2"/>
      <w:sz w:val="20"/>
      <w:szCs w:val="20"/>
    </w:rPr>
  </w:style>
  <w:style w:type="paragraph" w:styleId="18">
    <w:name w:val="Note Heading"/>
    <w:basedOn w:val="1"/>
    <w:next w:val="1"/>
    <w:link w:val="320"/>
    <w:qFormat/>
    <w:uiPriority w:val="0"/>
    <w:pPr>
      <w:widowControl w:val="0"/>
      <w:jc w:val="center"/>
    </w:pPr>
    <w:rPr>
      <w:rFonts w:ascii="Times New Roman" w:hAnsi="Times New Roman" w:cs="Times New Roman"/>
      <w:sz w:val="20"/>
      <w:szCs w:val="20"/>
    </w:rPr>
  </w:style>
  <w:style w:type="paragraph" w:styleId="19">
    <w:name w:val="List Bullet 4"/>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20">
    <w:name w:val="E-mail Signature"/>
    <w:basedOn w:val="1"/>
    <w:link w:val="633"/>
    <w:qFormat/>
    <w:uiPriority w:val="0"/>
    <w:pPr>
      <w:widowControl w:val="0"/>
      <w:topLinePunct/>
      <w:spacing w:line="360" w:lineRule="auto"/>
      <w:ind w:firstLine="200" w:firstLineChars="200"/>
    </w:pPr>
    <w:rPr>
      <w:rFonts w:ascii="仿宋_GB2312" w:hAnsi="Times New Roman" w:eastAsia="仿宋_GB2312" w:cs="Times New Roman"/>
      <w:sz w:val="28"/>
      <w:szCs w:val="20"/>
    </w:rPr>
  </w:style>
  <w:style w:type="paragraph" w:styleId="21">
    <w:name w:val="List Number"/>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22">
    <w:name w:val="caption"/>
    <w:basedOn w:val="1"/>
    <w:next w:val="1"/>
    <w:link w:val="527"/>
    <w:qFormat/>
    <w:uiPriority w:val="0"/>
    <w:pPr>
      <w:widowControl w:val="0"/>
      <w:jc w:val="both"/>
    </w:pPr>
    <w:rPr>
      <w:rFonts w:ascii="Arial" w:hAnsi="Arial" w:eastAsia="黑体" w:cs="Arial"/>
      <w:sz w:val="20"/>
      <w:szCs w:val="20"/>
    </w:rPr>
  </w:style>
  <w:style w:type="paragraph" w:styleId="23">
    <w:name w:val="List Bullet"/>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24">
    <w:name w:val="envelope address"/>
    <w:basedOn w:val="1"/>
    <w:qFormat/>
    <w:uiPriority w:val="99"/>
    <w:pPr>
      <w:widowControl w:val="0"/>
      <w:topLinePunct/>
      <w:snapToGrid w:val="0"/>
      <w:spacing w:line="360" w:lineRule="auto"/>
      <w:ind w:left="100" w:leftChars="1400" w:firstLine="200" w:firstLineChars="200"/>
    </w:pPr>
    <w:rPr>
      <w:rFonts w:ascii="Arial" w:hAnsi="Arial" w:eastAsia="仿宋_GB2312" w:cs="Arial"/>
      <w:kern w:val="2"/>
      <w:szCs w:val="20"/>
    </w:rPr>
  </w:style>
  <w:style w:type="paragraph" w:styleId="25">
    <w:name w:val="Document Map"/>
    <w:basedOn w:val="1"/>
    <w:link w:val="625"/>
    <w:qFormat/>
    <w:uiPriority w:val="99"/>
    <w:pPr>
      <w:widowControl w:val="0"/>
      <w:shd w:val="clear" w:color="auto" w:fill="000080"/>
      <w:jc w:val="both"/>
    </w:pPr>
    <w:rPr>
      <w:rFonts w:ascii="Times New Roman" w:hAnsi="Times New Roman" w:cs="Times New Roman"/>
      <w:sz w:val="20"/>
    </w:rPr>
  </w:style>
  <w:style w:type="paragraph" w:styleId="26">
    <w:name w:val="toa heading"/>
    <w:basedOn w:val="1"/>
    <w:next w:val="1"/>
    <w:qFormat/>
    <w:uiPriority w:val="99"/>
    <w:pPr>
      <w:widowControl w:val="0"/>
      <w:spacing w:before="120"/>
      <w:jc w:val="both"/>
    </w:pPr>
    <w:rPr>
      <w:rFonts w:ascii="Arial" w:hAnsi="Arial" w:cs="Times New Roman"/>
      <w:kern w:val="2"/>
      <w:szCs w:val="20"/>
    </w:rPr>
  </w:style>
  <w:style w:type="paragraph" w:styleId="27">
    <w:name w:val="annotation text"/>
    <w:basedOn w:val="1"/>
    <w:link w:val="137"/>
    <w:qFormat/>
    <w:uiPriority w:val="0"/>
    <w:rPr>
      <w:rFonts w:ascii="Calibri" w:hAnsi="Calibri" w:cs="Times New Roman"/>
      <w:szCs w:val="22"/>
    </w:rPr>
  </w:style>
  <w:style w:type="paragraph" w:styleId="28">
    <w:name w:val="Salutation"/>
    <w:basedOn w:val="1"/>
    <w:next w:val="1"/>
    <w:link w:val="655"/>
    <w:qFormat/>
    <w:uiPriority w:val="0"/>
    <w:pPr>
      <w:widowControl w:val="0"/>
      <w:spacing w:line="360" w:lineRule="exact"/>
      <w:ind w:left="480"/>
      <w:jc w:val="both"/>
    </w:pPr>
    <w:rPr>
      <w:rFonts w:ascii="Times New Roman" w:hAnsi="Times New Roman" w:eastAsia="楷体_GB2312" w:cs="Times New Roman"/>
      <w:color w:val="000000"/>
      <w:kern w:val="28"/>
      <w:sz w:val="28"/>
      <w:szCs w:val="20"/>
    </w:rPr>
  </w:style>
  <w:style w:type="paragraph" w:styleId="29">
    <w:name w:val="Body Text 3"/>
    <w:basedOn w:val="1"/>
    <w:link w:val="170"/>
    <w:qFormat/>
    <w:uiPriority w:val="0"/>
    <w:pPr>
      <w:widowControl w:val="0"/>
      <w:spacing w:line="360" w:lineRule="exact"/>
      <w:jc w:val="center"/>
    </w:pPr>
    <w:rPr>
      <w:rFonts w:cs="Times New Roman"/>
      <w:color w:val="006600"/>
      <w:kern w:val="16"/>
    </w:rPr>
  </w:style>
  <w:style w:type="paragraph" w:styleId="30">
    <w:name w:val="Closing"/>
    <w:basedOn w:val="1"/>
    <w:link w:val="231"/>
    <w:qFormat/>
    <w:uiPriority w:val="0"/>
    <w:pPr>
      <w:widowControl w:val="0"/>
      <w:topLinePunct/>
      <w:spacing w:line="360" w:lineRule="auto"/>
      <w:ind w:left="100" w:leftChars="2100" w:firstLine="200" w:firstLineChars="200"/>
    </w:pPr>
    <w:rPr>
      <w:rFonts w:ascii="仿宋_GB2312" w:hAnsi="Times New Roman" w:eastAsia="仿宋_GB2312" w:cs="Times New Roman"/>
      <w:sz w:val="28"/>
      <w:szCs w:val="20"/>
    </w:rPr>
  </w:style>
  <w:style w:type="paragraph" w:styleId="31">
    <w:name w:val="List Bullet 3"/>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32">
    <w:name w:val="Body Text"/>
    <w:basedOn w:val="1"/>
    <w:next w:val="33"/>
    <w:link w:val="238"/>
    <w:qFormat/>
    <w:uiPriority w:val="0"/>
    <w:rPr>
      <w:rFonts w:ascii="Calibri" w:hAnsi="Calibri" w:cs="Times New Roman"/>
      <w:color w:val="000000"/>
      <w:kern w:val="2"/>
      <w:szCs w:val="22"/>
    </w:rPr>
  </w:style>
  <w:style w:type="paragraph" w:customStyle="1" w:styleId="33">
    <w:name w:val="Normal (Web)1"/>
    <w:basedOn w:val="1"/>
    <w:next w:val="34"/>
    <w:qFormat/>
    <w:uiPriority w:val="0"/>
    <w:rPr>
      <w:rFonts w:cs="Times New Roman"/>
      <w:szCs w:val="21"/>
    </w:rPr>
  </w:style>
  <w:style w:type="paragraph" w:customStyle="1" w:styleId="34">
    <w:name w:val="Date1"/>
    <w:basedOn w:val="1"/>
    <w:next w:val="1"/>
    <w:qFormat/>
    <w:uiPriority w:val="0"/>
    <w:pPr>
      <w:ind w:left="2500" w:leftChars="2500"/>
    </w:pPr>
  </w:style>
  <w:style w:type="paragraph" w:styleId="35">
    <w:name w:val="Body Text Indent"/>
    <w:basedOn w:val="1"/>
    <w:link w:val="900"/>
    <w:qFormat/>
    <w:uiPriority w:val="0"/>
    <w:pPr>
      <w:spacing w:after="120"/>
      <w:ind w:left="420" w:leftChars="200"/>
    </w:pPr>
    <w:rPr>
      <w:rFonts w:ascii="仿宋_GB2312" w:hAnsi="Calibri" w:eastAsia="仿宋_GB2312" w:cs="Times New Roman"/>
      <w:spacing w:val="-2"/>
      <w:sz w:val="20"/>
      <w:szCs w:val="20"/>
    </w:rPr>
  </w:style>
  <w:style w:type="paragraph" w:styleId="36">
    <w:name w:val="List Number 3"/>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37">
    <w:name w:val="List 2"/>
    <w:basedOn w:val="1"/>
    <w:qFormat/>
    <w:uiPriority w:val="99"/>
    <w:pPr>
      <w:widowControl w:val="0"/>
      <w:snapToGrid w:val="0"/>
      <w:jc w:val="center"/>
    </w:pPr>
    <w:rPr>
      <w:rFonts w:hAnsi="Times New Roman" w:cs="Times New Roman"/>
      <w:kern w:val="2"/>
      <w:sz w:val="21"/>
      <w:szCs w:val="20"/>
    </w:rPr>
  </w:style>
  <w:style w:type="paragraph" w:styleId="38">
    <w:name w:val="List Continue"/>
    <w:basedOn w:val="1"/>
    <w:qFormat/>
    <w:uiPriority w:val="99"/>
    <w:pPr>
      <w:widowControl w:val="0"/>
      <w:topLinePunct/>
      <w:spacing w:after="120" w:line="360" w:lineRule="auto"/>
      <w:ind w:left="420" w:leftChars="200" w:firstLine="200" w:firstLineChars="200"/>
    </w:pPr>
    <w:rPr>
      <w:rFonts w:ascii="仿宋_GB2312" w:hAnsi="Times New Roman" w:eastAsia="仿宋_GB2312" w:cs="Times New Roman"/>
      <w:kern w:val="2"/>
      <w:sz w:val="28"/>
      <w:szCs w:val="20"/>
    </w:rPr>
  </w:style>
  <w:style w:type="paragraph" w:styleId="39">
    <w:name w:val="Block Text"/>
    <w:basedOn w:val="1"/>
    <w:qFormat/>
    <w:uiPriority w:val="0"/>
    <w:pPr>
      <w:widowControl w:val="0"/>
      <w:topLinePunct/>
      <w:spacing w:after="120" w:line="360" w:lineRule="auto"/>
      <w:ind w:left="1440" w:leftChars="700" w:right="1440" w:rightChars="700" w:firstLine="200" w:firstLineChars="200"/>
    </w:pPr>
    <w:rPr>
      <w:rFonts w:ascii="仿宋_GB2312" w:hAnsi="Times New Roman" w:eastAsia="仿宋_GB2312" w:cs="Times New Roman"/>
      <w:kern w:val="2"/>
      <w:sz w:val="28"/>
      <w:szCs w:val="20"/>
    </w:rPr>
  </w:style>
  <w:style w:type="paragraph" w:styleId="40">
    <w:name w:val="List Bullet 2"/>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41">
    <w:name w:val="HTML Address"/>
    <w:basedOn w:val="1"/>
    <w:link w:val="753"/>
    <w:qFormat/>
    <w:uiPriority w:val="0"/>
    <w:pPr>
      <w:widowControl w:val="0"/>
      <w:jc w:val="both"/>
    </w:pPr>
    <w:rPr>
      <w:rFonts w:ascii="Times New Roman" w:hAnsi="Times New Roman" w:cs="Times New Roman"/>
      <w:i/>
      <w:iCs/>
      <w:sz w:val="20"/>
      <w:szCs w:val="20"/>
    </w:rPr>
  </w:style>
  <w:style w:type="paragraph" w:styleId="42">
    <w:name w:val="toc 5"/>
    <w:basedOn w:val="1"/>
    <w:next w:val="1"/>
    <w:qFormat/>
    <w:uiPriority w:val="39"/>
    <w:pPr>
      <w:widowControl w:val="0"/>
      <w:ind w:left="840"/>
    </w:pPr>
    <w:rPr>
      <w:rFonts w:ascii="Calibri" w:hAnsi="Calibri" w:cs="Times New Roman"/>
      <w:kern w:val="2"/>
      <w:sz w:val="18"/>
      <w:szCs w:val="18"/>
    </w:rPr>
  </w:style>
  <w:style w:type="paragraph" w:styleId="43">
    <w:name w:val="toc 3"/>
    <w:basedOn w:val="1"/>
    <w:next w:val="1"/>
    <w:qFormat/>
    <w:uiPriority w:val="39"/>
    <w:pPr>
      <w:widowControl w:val="0"/>
      <w:ind w:left="420"/>
    </w:pPr>
    <w:rPr>
      <w:rFonts w:ascii="Calibri" w:hAnsi="Calibri" w:cs="Times New Roman"/>
      <w:i/>
      <w:iCs/>
      <w:kern w:val="2"/>
      <w:sz w:val="20"/>
      <w:szCs w:val="20"/>
    </w:rPr>
  </w:style>
  <w:style w:type="paragraph" w:styleId="44">
    <w:name w:val="Plain Text"/>
    <w:basedOn w:val="1"/>
    <w:link w:val="646"/>
    <w:qFormat/>
    <w:uiPriority w:val="0"/>
    <w:rPr>
      <w:rFonts w:hAnsi="Courier New" w:cs="Times New Roman"/>
      <w:kern w:val="2"/>
      <w:sz w:val="21"/>
      <w:szCs w:val="22"/>
    </w:rPr>
  </w:style>
  <w:style w:type="paragraph" w:styleId="45">
    <w:name w:val="List Bullet 5"/>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46">
    <w:name w:val="List Number 4"/>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47">
    <w:name w:val="toc 8"/>
    <w:basedOn w:val="1"/>
    <w:next w:val="1"/>
    <w:qFormat/>
    <w:uiPriority w:val="39"/>
    <w:pPr>
      <w:widowControl w:val="0"/>
      <w:ind w:left="1470"/>
    </w:pPr>
    <w:rPr>
      <w:rFonts w:ascii="Calibri" w:hAnsi="Calibri" w:cs="Times New Roman"/>
      <w:kern w:val="2"/>
      <w:sz w:val="18"/>
      <w:szCs w:val="18"/>
    </w:rPr>
  </w:style>
  <w:style w:type="paragraph" w:styleId="48">
    <w:name w:val="Date"/>
    <w:basedOn w:val="1"/>
    <w:next w:val="1"/>
    <w:link w:val="372"/>
    <w:unhideWhenUsed/>
    <w:qFormat/>
    <w:uiPriority w:val="99"/>
    <w:pPr>
      <w:widowControl w:val="0"/>
      <w:ind w:left="100" w:leftChars="2500"/>
      <w:jc w:val="both"/>
    </w:pPr>
    <w:rPr>
      <w:rFonts w:ascii="Calibri" w:hAnsi="Calibri" w:cs="Times New Roman"/>
      <w:sz w:val="20"/>
      <w:szCs w:val="20"/>
    </w:rPr>
  </w:style>
  <w:style w:type="paragraph" w:styleId="49">
    <w:name w:val="Body Text Indent 2"/>
    <w:basedOn w:val="1"/>
    <w:link w:val="350"/>
    <w:qFormat/>
    <w:uiPriority w:val="0"/>
    <w:pPr>
      <w:widowControl w:val="0"/>
      <w:spacing w:after="120" w:line="480" w:lineRule="auto"/>
      <w:ind w:left="420" w:leftChars="200"/>
      <w:jc w:val="both"/>
    </w:pPr>
    <w:rPr>
      <w:rFonts w:ascii="Times New Roman" w:hAnsi="Times New Roman" w:cs="Times New Roman"/>
      <w:sz w:val="20"/>
    </w:rPr>
  </w:style>
  <w:style w:type="paragraph" w:styleId="50">
    <w:name w:val="endnote text"/>
    <w:basedOn w:val="1"/>
    <w:link w:val="724"/>
    <w:qFormat/>
    <w:uiPriority w:val="0"/>
    <w:pPr>
      <w:widowControl w:val="0"/>
      <w:adjustRightInd w:val="0"/>
      <w:spacing w:line="360" w:lineRule="atLeast"/>
      <w:textAlignment w:val="baseline"/>
    </w:pPr>
    <w:rPr>
      <w:rFonts w:ascii="Calibri" w:hAnsi="Calibri" w:cs="Times New Roman"/>
      <w:szCs w:val="20"/>
    </w:rPr>
  </w:style>
  <w:style w:type="paragraph" w:styleId="51">
    <w:name w:val="List Continue 5"/>
    <w:basedOn w:val="1"/>
    <w:qFormat/>
    <w:uiPriority w:val="99"/>
    <w:pPr>
      <w:widowControl w:val="0"/>
      <w:topLinePunct/>
      <w:spacing w:after="120" w:line="360" w:lineRule="auto"/>
      <w:ind w:left="2100" w:leftChars="1000" w:firstLine="200" w:firstLineChars="200"/>
    </w:pPr>
    <w:rPr>
      <w:rFonts w:ascii="仿宋_GB2312" w:hAnsi="Times New Roman" w:eastAsia="仿宋_GB2312" w:cs="Times New Roman"/>
      <w:kern w:val="2"/>
      <w:sz w:val="28"/>
      <w:szCs w:val="20"/>
    </w:rPr>
  </w:style>
  <w:style w:type="paragraph" w:styleId="52">
    <w:name w:val="Balloon Text"/>
    <w:basedOn w:val="1"/>
    <w:link w:val="139"/>
    <w:qFormat/>
    <w:uiPriority w:val="99"/>
    <w:rPr>
      <w:sz w:val="18"/>
      <w:szCs w:val="18"/>
    </w:rPr>
  </w:style>
  <w:style w:type="paragraph" w:styleId="53">
    <w:name w:val="footer"/>
    <w:basedOn w:val="1"/>
    <w:link w:val="141"/>
    <w:qFormat/>
    <w:uiPriority w:val="99"/>
    <w:pPr>
      <w:tabs>
        <w:tab w:val="center" w:pos="4153"/>
        <w:tab w:val="right" w:pos="8306"/>
      </w:tabs>
    </w:pPr>
    <w:rPr>
      <w:rFonts w:ascii="Calibri" w:hAnsi="Calibri" w:cs="Times New Roman"/>
      <w:kern w:val="2"/>
      <w:sz w:val="18"/>
      <w:szCs w:val="18"/>
    </w:rPr>
  </w:style>
  <w:style w:type="paragraph" w:styleId="54">
    <w:name w:val="envelope return"/>
    <w:basedOn w:val="1"/>
    <w:qFormat/>
    <w:uiPriority w:val="99"/>
    <w:pPr>
      <w:widowControl w:val="0"/>
      <w:topLinePunct/>
      <w:snapToGrid w:val="0"/>
      <w:spacing w:line="360" w:lineRule="auto"/>
      <w:ind w:firstLine="200" w:firstLineChars="200"/>
    </w:pPr>
    <w:rPr>
      <w:rFonts w:ascii="Arial" w:hAnsi="Arial" w:eastAsia="仿宋_GB2312" w:cs="Arial"/>
      <w:kern w:val="2"/>
      <w:sz w:val="28"/>
      <w:szCs w:val="20"/>
    </w:rPr>
  </w:style>
  <w:style w:type="paragraph" w:styleId="55">
    <w:name w:val="header"/>
    <w:basedOn w:val="1"/>
    <w:link w:val="586"/>
    <w:qFormat/>
    <w:uiPriority w:val="0"/>
    <w:pPr>
      <w:pBdr>
        <w:bottom w:val="single" w:color="auto" w:sz="6" w:space="1"/>
      </w:pBdr>
      <w:tabs>
        <w:tab w:val="center" w:pos="4153"/>
        <w:tab w:val="right" w:pos="8306"/>
      </w:tabs>
      <w:jc w:val="center"/>
    </w:pPr>
    <w:rPr>
      <w:rFonts w:ascii="Calibri" w:hAnsi="Calibri" w:cs="Times New Roman"/>
      <w:kern w:val="2"/>
      <w:sz w:val="18"/>
      <w:szCs w:val="18"/>
    </w:rPr>
  </w:style>
  <w:style w:type="paragraph" w:styleId="56">
    <w:name w:val="Signature"/>
    <w:basedOn w:val="1"/>
    <w:link w:val="305"/>
    <w:qFormat/>
    <w:uiPriority w:val="0"/>
    <w:pPr>
      <w:widowControl w:val="0"/>
      <w:topLinePunct/>
      <w:spacing w:line="360" w:lineRule="auto"/>
      <w:ind w:left="100" w:leftChars="2100" w:firstLine="200" w:firstLineChars="200"/>
    </w:pPr>
    <w:rPr>
      <w:rFonts w:ascii="仿宋_GB2312" w:hAnsi="Times New Roman" w:eastAsia="仿宋_GB2312" w:cs="Times New Roman"/>
      <w:sz w:val="28"/>
      <w:szCs w:val="20"/>
    </w:rPr>
  </w:style>
  <w:style w:type="paragraph" w:styleId="57">
    <w:name w:val="toc 1"/>
    <w:basedOn w:val="1"/>
    <w:next w:val="1"/>
    <w:qFormat/>
    <w:uiPriority w:val="39"/>
    <w:pPr>
      <w:spacing w:before="120" w:after="120"/>
    </w:pPr>
    <w:rPr>
      <w:rFonts w:cs="Times New Roman"/>
      <w:b/>
      <w:caps/>
      <w:sz w:val="20"/>
      <w:szCs w:val="20"/>
    </w:rPr>
  </w:style>
  <w:style w:type="paragraph" w:styleId="58">
    <w:name w:val="List Continue 4"/>
    <w:basedOn w:val="1"/>
    <w:qFormat/>
    <w:uiPriority w:val="99"/>
    <w:pPr>
      <w:widowControl w:val="0"/>
      <w:topLinePunct/>
      <w:spacing w:after="120" w:line="360" w:lineRule="auto"/>
      <w:ind w:left="1680" w:leftChars="800" w:firstLine="200" w:firstLineChars="200"/>
    </w:pPr>
    <w:rPr>
      <w:rFonts w:ascii="仿宋_GB2312" w:hAnsi="Times New Roman" w:eastAsia="仿宋_GB2312" w:cs="Times New Roman"/>
      <w:kern w:val="2"/>
      <w:sz w:val="28"/>
      <w:szCs w:val="20"/>
    </w:rPr>
  </w:style>
  <w:style w:type="paragraph" w:styleId="59">
    <w:name w:val="toc 4"/>
    <w:basedOn w:val="1"/>
    <w:next w:val="1"/>
    <w:qFormat/>
    <w:uiPriority w:val="39"/>
    <w:pPr>
      <w:widowControl w:val="0"/>
      <w:ind w:left="630"/>
    </w:pPr>
    <w:rPr>
      <w:rFonts w:ascii="Calibri" w:hAnsi="Calibri" w:cs="Times New Roman"/>
      <w:kern w:val="2"/>
      <w:sz w:val="18"/>
      <w:szCs w:val="18"/>
    </w:rPr>
  </w:style>
  <w:style w:type="paragraph" w:styleId="60">
    <w:name w:val="Subtitle"/>
    <w:basedOn w:val="1"/>
    <w:next w:val="1"/>
    <w:link w:val="552"/>
    <w:qFormat/>
    <w:uiPriority w:val="0"/>
    <w:pPr>
      <w:spacing w:before="240" w:after="60" w:line="312" w:lineRule="auto"/>
      <w:jc w:val="center"/>
      <w:outlineLvl w:val="1"/>
    </w:pPr>
    <w:rPr>
      <w:rFonts w:ascii="Calibri Light" w:hAnsi="Calibri Light"/>
      <w:b/>
      <w:bCs/>
      <w:kern w:val="28"/>
      <w:sz w:val="32"/>
      <w:szCs w:val="32"/>
    </w:rPr>
  </w:style>
  <w:style w:type="paragraph" w:styleId="61">
    <w:name w:val="List Number 5"/>
    <w:basedOn w:val="1"/>
    <w:qFormat/>
    <w:uiPriority w:val="99"/>
    <w:pPr>
      <w:widowControl w:val="0"/>
      <w:tabs>
        <w:tab w:val="left" w:pos="726"/>
        <w:tab w:val="left" w:pos="2040"/>
      </w:tabs>
      <w:topLinePunct/>
      <w:spacing w:line="360" w:lineRule="auto"/>
      <w:ind w:left="2" w:firstLine="4"/>
    </w:pPr>
    <w:rPr>
      <w:rFonts w:ascii="仿宋_GB2312" w:hAnsi="Times New Roman" w:eastAsia="仿宋_GB2312" w:cs="Times New Roman"/>
      <w:kern w:val="2"/>
      <w:sz w:val="28"/>
      <w:szCs w:val="20"/>
    </w:rPr>
  </w:style>
  <w:style w:type="paragraph" w:styleId="62">
    <w:name w:val="footnote text"/>
    <w:basedOn w:val="63"/>
    <w:link w:val="733"/>
    <w:qFormat/>
    <w:uiPriority w:val="99"/>
  </w:style>
  <w:style w:type="paragraph" w:customStyle="1" w:styleId="63">
    <w:name w:val="基准页脚样式"/>
    <w:basedOn w:val="32"/>
    <w:qFormat/>
    <w:uiPriority w:val="99"/>
    <w:pPr>
      <w:keepLines/>
      <w:spacing w:after="220" w:line="200" w:lineRule="atLeast"/>
      <w:jc w:val="center"/>
    </w:pPr>
    <w:rPr>
      <w:rFonts w:ascii="Times New Roman" w:hAnsi="Times New Roman"/>
      <w:color w:val="auto"/>
      <w:kern w:val="0"/>
      <w:sz w:val="16"/>
      <w:szCs w:val="20"/>
    </w:rPr>
  </w:style>
  <w:style w:type="paragraph" w:styleId="64">
    <w:name w:val="toc 6"/>
    <w:basedOn w:val="1"/>
    <w:next w:val="1"/>
    <w:qFormat/>
    <w:uiPriority w:val="39"/>
    <w:pPr>
      <w:ind w:left="1050" w:firstLine="200"/>
    </w:pPr>
    <w:rPr>
      <w:sz w:val="18"/>
      <w:szCs w:val="20"/>
    </w:rPr>
  </w:style>
  <w:style w:type="paragraph" w:styleId="65">
    <w:name w:val="List 5"/>
    <w:basedOn w:val="1"/>
    <w:qFormat/>
    <w:uiPriority w:val="99"/>
    <w:pPr>
      <w:widowControl w:val="0"/>
      <w:topLinePunct/>
      <w:spacing w:line="360" w:lineRule="auto"/>
      <w:ind w:left="100" w:leftChars="800" w:hanging="200" w:hangingChars="200"/>
    </w:pPr>
    <w:rPr>
      <w:rFonts w:ascii="仿宋_GB2312" w:hAnsi="Times New Roman" w:eastAsia="仿宋_GB2312" w:cs="Times New Roman"/>
      <w:kern w:val="2"/>
      <w:sz w:val="28"/>
      <w:szCs w:val="20"/>
    </w:rPr>
  </w:style>
  <w:style w:type="paragraph" w:styleId="66">
    <w:name w:val="Body Text Indent 3"/>
    <w:basedOn w:val="1"/>
    <w:link w:val="623"/>
    <w:qFormat/>
    <w:uiPriority w:val="0"/>
    <w:pPr>
      <w:widowControl w:val="0"/>
      <w:spacing w:after="120"/>
      <w:ind w:left="420" w:leftChars="200"/>
      <w:jc w:val="both"/>
    </w:pPr>
    <w:rPr>
      <w:rFonts w:ascii="Times New Roman" w:hAnsi="Times New Roman" w:cs="Times New Roman"/>
      <w:sz w:val="16"/>
      <w:szCs w:val="16"/>
    </w:rPr>
  </w:style>
  <w:style w:type="paragraph" w:styleId="67">
    <w:name w:val="table of figures"/>
    <w:next w:val="1"/>
    <w:qFormat/>
    <w:uiPriority w:val="99"/>
    <w:pPr>
      <w:adjustRightInd w:val="0"/>
      <w:snapToGrid w:val="0"/>
      <w:spacing w:before="120" w:line="240" w:lineRule="atLeast"/>
      <w:jc w:val="center"/>
    </w:pPr>
    <w:rPr>
      <w:rFonts w:ascii="Times New Roman" w:hAnsi="Times New Roman" w:eastAsia="宋体" w:cs="Times New Roman"/>
      <w:b/>
      <w:sz w:val="24"/>
      <w:lang w:val="en-US" w:eastAsia="zh-CN" w:bidi="ar-SA"/>
    </w:rPr>
  </w:style>
  <w:style w:type="paragraph" w:styleId="68">
    <w:name w:val="toc 2"/>
    <w:basedOn w:val="1"/>
    <w:next w:val="1"/>
    <w:qFormat/>
    <w:uiPriority w:val="39"/>
    <w:pPr>
      <w:widowControl w:val="0"/>
      <w:ind w:left="210"/>
    </w:pPr>
    <w:rPr>
      <w:rFonts w:ascii="Calibri" w:hAnsi="Calibri" w:cs="Times New Roman"/>
      <w:smallCaps/>
      <w:kern w:val="2"/>
      <w:sz w:val="20"/>
      <w:szCs w:val="20"/>
    </w:rPr>
  </w:style>
  <w:style w:type="paragraph" w:styleId="69">
    <w:name w:val="toc 9"/>
    <w:basedOn w:val="1"/>
    <w:next w:val="1"/>
    <w:qFormat/>
    <w:uiPriority w:val="39"/>
    <w:pPr>
      <w:widowControl w:val="0"/>
      <w:ind w:left="1680"/>
    </w:pPr>
    <w:rPr>
      <w:rFonts w:ascii="Calibri" w:hAnsi="Calibri" w:cs="Times New Roman"/>
      <w:kern w:val="2"/>
      <w:sz w:val="18"/>
      <w:szCs w:val="18"/>
    </w:rPr>
  </w:style>
  <w:style w:type="paragraph" w:styleId="70">
    <w:name w:val="Body Text 2"/>
    <w:basedOn w:val="1"/>
    <w:link w:val="492"/>
    <w:qFormat/>
    <w:uiPriority w:val="99"/>
    <w:pPr>
      <w:widowControl w:val="0"/>
      <w:spacing w:line="400" w:lineRule="exact"/>
      <w:jc w:val="center"/>
    </w:pPr>
    <w:rPr>
      <w:rFonts w:ascii="Times New Roman" w:hAnsi="Times New Roman" w:cs="Times New Roman"/>
    </w:rPr>
  </w:style>
  <w:style w:type="paragraph" w:styleId="71">
    <w:name w:val="List 4"/>
    <w:basedOn w:val="1"/>
    <w:qFormat/>
    <w:uiPriority w:val="99"/>
    <w:pPr>
      <w:widowControl w:val="0"/>
      <w:topLinePunct/>
      <w:spacing w:line="360" w:lineRule="auto"/>
      <w:ind w:left="100" w:leftChars="600" w:hanging="200" w:hangingChars="200"/>
    </w:pPr>
    <w:rPr>
      <w:rFonts w:ascii="仿宋_GB2312" w:hAnsi="Times New Roman" w:eastAsia="仿宋_GB2312" w:cs="Times New Roman"/>
      <w:kern w:val="2"/>
      <w:sz w:val="28"/>
      <w:szCs w:val="20"/>
    </w:rPr>
  </w:style>
  <w:style w:type="paragraph" w:styleId="72">
    <w:name w:val="List Continue 2"/>
    <w:basedOn w:val="1"/>
    <w:qFormat/>
    <w:uiPriority w:val="99"/>
    <w:pPr>
      <w:widowControl w:val="0"/>
      <w:topLinePunct/>
      <w:spacing w:after="120" w:line="360" w:lineRule="auto"/>
      <w:ind w:left="840" w:leftChars="400" w:firstLine="200" w:firstLineChars="200"/>
    </w:pPr>
    <w:rPr>
      <w:rFonts w:ascii="仿宋_GB2312" w:hAnsi="Times New Roman" w:eastAsia="仿宋_GB2312" w:cs="Times New Roman"/>
      <w:kern w:val="2"/>
      <w:sz w:val="28"/>
      <w:szCs w:val="20"/>
    </w:rPr>
  </w:style>
  <w:style w:type="paragraph" w:styleId="73">
    <w:name w:val="Message Header"/>
    <w:basedOn w:val="1"/>
    <w:link w:val="469"/>
    <w:qFormat/>
    <w:uiPriority w:val="0"/>
    <w:pPr>
      <w:widowControl w:val="0"/>
      <w:pBdr>
        <w:top w:val="single" w:color="auto" w:sz="6" w:space="1"/>
        <w:left w:val="single" w:color="auto" w:sz="6" w:space="1"/>
        <w:bottom w:val="single" w:color="auto" w:sz="6" w:space="1"/>
        <w:right w:val="single" w:color="auto" w:sz="6" w:space="1"/>
      </w:pBdr>
      <w:shd w:val="pct20" w:color="auto" w:fill="auto"/>
      <w:topLinePunct/>
      <w:spacing w:line="360" w:lineRule="auto"/>
      <w:ind w:left="1080" w:leftChars="500" w:hanging="1080" w:hangingChars="500"/>
    </w:pPr>
    <w:rPr>
      <w:rFonts w:ascii="Arial" w:hAnsi="Arial" w:eastAsia="仿宋_GB2312" w:cs="Times New Roman"/>
      <w:szCs w:val="20"/>
    </w:rPr>
  </w:style>
  <w:style w:type="paragraph" w:styleId="74">
    <w:name w:val="HTML Preformatted"/>
    <w:basedOn w:val="1"/>
    <w:link w:val="553"/>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9" w:lineRule="atLeast"/>
    </w:pPr>
    <w:rPr>
      <w:rFonts w:ascii="Arial" w:hAnsi="Arial" w:cs="Times New Roman"/>
      <w:sz w:val="19"/>
      <w:szCs w:val="19"/>
    </w:rPr>
  </w:style>
  <w:style w:type="paragraph" w:styleId="75">
    <w:name w:val="Normal (Web)"/>
    <w:basedOn w:val="1"/>
    <w:link w:val="736"/>
    <w:qFormat/>
    <w:uiPriority w:val="99"/>
    <w:pPr>
      <w:spacing w:before="100" w:beforeAutospacing="1" w:after="100" w:afterAutospacing="1"/>
    </w:pPr>
  </w:style>
  <w:style w:type="paragraph" w:styleId="76">
    <w:name w:val="List Continue 3"/>
    <w:basedOn w:val="1"/>
    <w:qFormat/>
    <w:uiPriority w:val="99"/>
    <w:pPr>
      <w:widowControl w:val="0"/>
      <w:topLinePunct/>
      <w:spacing w:after="120" w:line="360" w:lineRule="auto"/>
      <w:ind w:left="1260" w:leftChars="600" w:firstLine="200" w:firstLineChars="200"/>
    </w:pPr>
    <w:rPr>
      <w:rFonts w:ascii="仿宋_GB2312" w:hAnsi="Times New Roman" w:eastAsia="仿宋_GB2312" w:cs="Times New Roman"/>
      <w:kern w:val="2"/>
      <w:sz w:val="28"/>
      <w:szCs w:val="20"/>
    </w:rPr>
  </w:style>
  <w:style w:type="paragraph" w:styleId="77">
    <w:name w:val="index 1"/>
    <w:basedOn w:val="1"/>
    <w:next w:val="1"/>
    <w:qFormat/>
    <w:uiPriority w:val="99"/>
    <w:pPr>
      <w:widowControl w:val="0"/>
      <w:jc w:val="both"/>
    </w:pPr>
    <w:rPr>
      <w:rFonts w:ascii="Times New Roman" w:hAnsi="Times New Roman" w:cs="Times New Roman"/>
      <w:kern w:val="2"/>
      <w:sz w:val="21"/>
    </w:rPr>
  </w:style>
  <w:style w:type="paragraph" w:styleId="78">
    <w:name w:val="Title"/>
    <w:basedOn w:val="1"/>
    <w:link w:val="460"/>
    <w:qFormat/>
    <w:uiPriority w:val="0"/>
    <w:pPr>
      <w:widowControl w:val="0"/>
      <w:spacing w:before="240" w:after="60"/>
      <w:ind w:right="2687" w:firstLine="2760"/>
      <w:jc w:val="distribute"/>
      <w:outlineLvl w:val="0"/>
    </w:pPr>
    <w:rPr>
      <w:rFonts w:ascii="Arial" w:hAnsi="Arial" w:cs="Times New Roman"/>
      <w:b/>
      <w:sz w:val="32"/>
      <w:szCs w:val="20"/>
    </w:rPr>
  </w:style>
  <w:style w:type="paragraph" w:styleId="79">
    <w:name w:val="annotation subject"/>
    <w:basedOn w:val="27"/>
    <w:next w:val="27"/>
    <w:link w:val="138"/>
    <w:qFormat/>
    <w:uiPriority w:val="99"/>
    <w:rPr>
      <w:rFonts w:ascii="宋体" w:hAnsi="宋体" w:cs="宋体"/>
      <w:b/>
      <w:bCs/>
      <w:szCs w:val="24"/>
    </w:rPr>
  </w:style>
  <w:style w:type="paragraph" w:styleId="80">
    <w:name w:val="Body Text First Indent"/>
    <w:basedOn w:val="1"/>
    <w:next w:val="64"/>
    <w:link w:val="470"/>
    <w:qFormat/>
    <w:uiPriority w:val="99"/>
    <w:pPr>
      <w:spacing w:after="120"/>
      <w:ind w:firstLine="420" w:firstLineChars="100"/>
      <w:jc w:val="both"/>
    </w:pPr>
    <w:rPr>
      <w:sz w:val="20"/>
      <w:szCs w:val="20"/>
    </w:rPr>
  </w:style>
  <w:style w:type="paragraph" w:styleId="81">
    <w:name w:val="Body Text First Indent 2"/>
    <w:basedOn w:val="35"/>
    <w:link w:val="225"/>
    <w:qFormat/>
    <w:uiPriority w:val="0"/>
    <w:pPr>
      <w:widowControl w:val="0"/>
      <w:topLinePunct/>
      <w:spacing w:line="360" w:lineRule="auto"/>
      <w:ind w:firstLine="200" w:firstLineChars="200"/>
    </w:pPr>
    <w:rPr>
      <w:rFonts w:hAnsi="Times New Roman"/>
      <w:spacing w:val="0"/>
      <w:sz w:val="28"/>
    </w:rPr>
  </w:style>
  <w:style w:type="table" w:styleId="83">
    <w:name w:val="Table Grid"/>
    <w:basedOn w:val="8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4">
    <w:name w:val="Table Classic 1"/>
    <w:basedOn w:val="82"/>
    <w:unhideWhenUsed/>
    <w:qFormat/>
    <w:uiPriority w:val="0"/>
    <w:pPr>
      <w:widowControl w:val="0"/>
      <w:jc w:val="both"/>
    </w:pPr>
    <w:rPr>
      <w:rFonts w:eastAsia="Times New Roman"/>
    </w:rPr>
    <w:tblPr>
      <w:tblBorders>
        <w:top w:val="single" w:color="000000" w:sz="12" w:space="0"/>
        <w:bottom w:val="single" w:color="000000" w:sz="12" w:space="0"/>
        <w:insideH w:val="single" w:color="000000" w:sz="4" w:space="0"/>
        <w:insideV w:val="single" w:color="000000" w:sz="4" w:space="0"/>
      </w:tblBorders>
      <w:tblCellMar>
        <w:top w:w="0" w:type="dxa"/>
        <w:left w:w="108" w:type="dxa"/>
        <w:bottom w:w="0" w:type="dxa"/>
        <w:right w:w="108" w:type="dxa"/>
      </w:tblCellMar>
    </w:tblPr>
    <w:tblStylePr w:type="firstRow">
      <w:rPr>
        <w:i/>
        <w:i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character" w:styleId="86">
    <w:name w:val="Strong"/>
    <w:basedOn w:val="85"/>
    <w:qFormat/>
    <w:uiPriority w:val="22"/>
    <w:rPr>
      <w:b/>
    </w:rPr>
  </w:style>
  <w:style w:type="character" w:styleId="87">
    <w:name w:val="endnote reference"/>
    <w:qFormat/>
    <w:uiPriority w:val="0"/>
    <w:rPr>
      <w:vertAlign w:val="superscript"/>
    </w:rPr>
  </w:style>
  <w:style w:type="character" w:styleId="88">
    <w:name w:val="page number"/>
    <w:basedOn w:val="85"/>
    <w:qFormat/>
    <w:uiPriority w:val="0"/>
  </w:style>
  <w:style w:type="character" w:styleId="89">
    <w:name w:val="FollowedHyperlink"/>
    <w:basedOn w:val="85"/>
    <w:qFormat/>
    <w:uiPriority w:val="99"/>
    <w:rPr>
      <w:rFonts w:hint="eastAsia" w:ascii="微软雅黑" w:hAnsi="微软雅黑" w:eastAsia="微软雅黑" w:cs="微软雅黑"/>
      <w:color w:val="000000"/>
      <w:sz w:val="22"/>
      <w:szCs w:val="22"/>
      <w:u w:val="none"/>
    </w:rPr>
  </w:style>
  <w:style w:type="character" w:styleId="90">
    <w:name w:val="Emphasis"/>
    <w:qFormat/>
    <w:uiPriority w:val="20"/>
    <w:rPr>
      <w:rFonts w:eastAsia="仿宋_GB2312"/>
      <w:i/>
      <w:iCs/>
      <w:spacing w:val="-2"/>
      <w:kern w:val="2"/>
      <w:sz w:val="28"/>
      <w:szCs w:val="28"/>
      <w:lang w:val="en-US" w:eastAsia="zh-CN" w:bidi="ar-SA"/>
    </w:rPr>
  </w:style>
  <w:style w:type="character" w:styleId="91">
    <w:name w:val="line number"/>
    <w:qFormat/>
    <w:uiPriority w:val="0"/>
    <w:rPr>
      <w:rFonts w:eastAsia="仿宋_GB2312"/>
      <w:spacing w:val="-2"/>
      <w:kern w:val="2"/>
      <w:sz w:val="28"/>
      <w:szCs w:val="28"/>
      <w:lang w:val="en-US" w:eastAsia="zh-CN" w:bidi="ar-SA"/>
    </w:rPr>
  </w:style>
  <w:style w:type="character" w:styleId="92">
    <w:name w:val="HTML Definition"/>
    <w:qFormat/>
    <w:uiPriority w:val="99"/>
    <w:rPr>
      <w:rFonts w:eastAsia="仿宋_GB2312"/>
      <w:i/>
      <w:iCs/>
      <w:spacing w:val="-2"/>
      <w:kern w:val="2"/>
      <w:sz w:val="28"/>
      <w:szCs w:val="28"/>
      <w:lang w:val="en-US" w:eastAsia="zh-CN" w:bidi="ar-SA"/>
    </w:rPr>
  </w:style>
  <w:style w:type="character" w:styleId="93">
    <w:name w:val="HTML Typewriter"/>
    <w:qFormat/>
    <w:uiPriority w:val="0"/>
    <w:rPr>
      <w:rFonts w:ascii="Courier New" w:hAnsi="Courier New" w:eastAsia="仿宋_GB2312" w:cs="Courier New"/>
      <w:spacing w:val="-2"/>
      <w:kern w:val="2"/>
      <w:sz w:val="20"/>
      <w:szCs w:val="20"/>
      <w:lang w:val="en-US" w:eastAsia="zh-CN" w:bidi="ar-SA"/>
    </w:rPr>
  </w:style>
  <w:style w:type="character" w:styleId="94">
    <w:name w:val="HTML Acronym"/>
    <w:qFormat/>
    <w:uiPriority w:val="0"/>
    <w:rPr>
      <w:rFonts w:eastAsia="仿宋_GB2312"/>
      <w:spacing w:val="-2"/>
      <w:kern w:val="2"/>
      <w:sz w:val="28"/>
      <w:szCs w:val="28"/>
      <w:lang w:val="en-US" w:eastAsia="zh-CN" w:bidi="ar-SA"/>
    </w:rPr>
  </w:style>
  <w:style w:type="character" w:styleId="95">
    <w:name w:val="HTML Variable"/>
    <w:qFormat/>
    <w:uiPriority w:val="99"/>
    <w:rPr>
      <w:rFonts w:eastAsia="仿宋_GB2312"/>
      <w:i/>
      <w:iCs/>
      <w:spacing w:val="-2"/>
      <w:kern w:val="2"/>
      <w:sz w:val="28"/>
      <w:szCs w:val="28"/>
      <w:lang w:val="en-US" w:eastAsia="zh-CN" w:bidi="ar-SA"/>
    </w:rPr>
  </w:style>
  <w:style w:type="character" w:styleId="96">
    <w:name w:val="Hyperlink"/>
    <w:qFormat/>
    <w:uiPriority w:val="99"/>
    <w:rPr>
      <w:rFonts w:ascii="Times New Roman" w:hAnsi="Times New Roman"/>
      <w:color w:val="000000"/>
      <w:szCs w:val="20"/>
      <w:u w:val="none"/>
    </w:rPr>
  </w:style>
  <w:style w:type="character" w:styleId="97">
    <w:name w:val="HTML Code"/>
    <w:qFormat/>
    <w:uiPriority w:val="99"/>
    <w:rPr>
      <w:rFonts w:ascii="Courier New" w:hAnsi="Courier New" w:eastAsia="仿宋_GB2312" w:cs="Courier New"/>
      <w:spacing w:val="-2"/>
      <w:kern w:val="2"/>
      <w:sz w:val="20"/>
      <w:szCs w:val="20"/>
      <w:lang w:val="en-US" w:eastAsia="zh-CN" w:bidi="ar-SA"/>
    </w:rPr>
  </w:style>
  <w:style w:type="character" w:styleId="98">
    <w:name w:val="annotation reference"/>
    <w:basedOn w:val="85"/>
    <w:qFormat/>
    <w:uiPriority w:val="0"/>
    <w:rPr>
      <w:sz w:val="21"/>
      <w:szCs w:val="21"/>
    </w:rPr>
  </w:style>
  <w:style w:type="character" w:styleId="99">
    <w:name w:val="HTML Cite"/>
    <w:qFormat/>
    <w:uiPriority w:val="99"/>
    <w:rPr>
      <w:rFonts w:eastAsia="仿宋_GB2312"/>
      <w:i/>
      <w:iCs/>
      <w:spacing w:val="-2"/>
      <w:kern w:val="2"/>
      <w:sz w:val="28"/>
      <w:szCs w:val="28"/>
      <w:lang w:val="en-US" w:eastAsia="zh-CN" w:bidi="ar-SA"/>
    </w:rPr>
  </w:style>
  <w:style w:type="character" w:styleId="100">
    <w:name w:val="footnote reference"/>
    <w:qFormat/>
    <w:uiPriority w:val="99"/>
    <w:rPr>
      <w:vertAlign w:val="superscript"/>
    </w:rPr>
  </w:style>
  <w:style w:type="character" w:styleId="101">
    <w:name w:val="HTML Keyboard"/>
    <w:qFormat/>
    <w:uiPriority w:val="99"/>
    <w:rPr>
      <w:rFonts w:ascii="Courier New" w:hAnsi="Courier New" w:eastAsia="仿宋_GB2312" w:cs="Courier New"/>
      <w:spacing w:val="-2"/>
      <w:kern w:val="2"/>
      <w:sz w:val="20"/>
      <w:szCs w:val="20"/>
      <w:lang w:val="en-US" w:eastAsia="zh-CN" w:bidi="ar-SA"/>
    </w:rPr>
  </w:style>
  <w:style w:type="character" w:styleId="102">
    <w:name w:val="HTML Sample"/>
    <w:qFormat/>
    <w:uiPriority w:val="99"/>
    <w:rPr>
      <w:rFonts w:ascii="Courier New" w:hAnsi="Courier New" w:eastAsia="仿宋_GB2312" w:cs="Courier New"/>
      <w:spacing w:val="-2"/>
      <w:kern w:val="2"/>
      <w:sz w:val="28"/>
      <w:szCs w:val="28"/>
      <w:lang w:val="en-US" w:eastAsia="zh-CN" w:bidi="ar-SA"/>
    </w:rPr>
  </w:style>
  <w:style w:type="paragraph" w:customStyle="1" w:styleId="103">
    <w:name w:val="Default"/>
    <w:basedOn w:val="104"/>
    <w:next w:val="1"/>
    <w:qFormat/>
    <w:uiPriority w:val="99"/>
    <w:rPr>
      <w:rFonts w:eastAsia="宋体"/>
      <w:color w:val="000000"/>
    </w:rPr>
  </w:style>
  <w:style w:type="paragraph" w:customStyle="1" w:styleId="104">
    <w:name w:val="表头"/>
    <w:basedOn w:val="105"/>
    <w:next w:val="1"/>
    <w:link w:val="406"/>
    <w:qFormat/>
    <w:uiPriority w:val="0"/>
    <w:pPr>
      <w:widowControl w:val="0"/>
      <w:adjustRightInd w:val="0"/>
      <w:snapToGrid w:val="0"/>
      <w:spacing w:line="360" w:lineRule="auto"/>
      <w:jc w:val="center"/>
    </w:pPr>
    <w:rPr>
      <w:rFonts w:ascii="Times New Roman" w:hAnsi="Times New Roman" w:eastAsia="黑体" w:cs="Times New Roman"/>
    </w:rPr>
  </w:style>
  <w:style w:type="paragraph" w:customStyle="1" w:styleId="105">
    <w:name w:val="表名1"/>
    <w:basedOn w:val="106"/>
    <w:qFormat/>
    <w:uiPriority w:val="99"/>
  </w:style>
  <w:style w:type="paragraph" w:customStyle="1" w:styleId="106">
    <w:name w:val="报告"/>
    <w:basedOn w:val="1"/>
    <w:qFormat/>
    <w:uiPriority w:val="99"/>
    <w:pPr>
      <w:widowControl w:val="0"/>
      <w:autoSpaceDE w:val="0"/>
      <w:autoSpaceDN w:val="0"/>
      <w:adjustRightInd w:val="0"/>
      <w:spacing w:line="360" w:lineRule="auto"/>
      <w:ind w:firstLine="505"/>
      <w:textAlignment w:val="baseline"/>
    </w:pPr>
    <w:rPr>
      <w:rFonts w:ascii="Times New Roman" w:hAnsi="Times New Roman" w:cs="Times New Roman"/>
      <w:szCs w:val="20"/>
    </w:rPr>
  </w:style>
  <w:style w:type="paragraph" w:customStyle="1" w:styleId="107">
    <w:name w:val="正文格式"/>
    <w:basedOn w:val="1"/>
    <w:next w:val="1"/>
    <w:link w:val="577"/>
    <w:qFormat/>
    <w:uiPriority w:val="0"/>
    <w:pPr>
      <w:spacing w:line="360" w:lineRule="auto"/>
      <w:ind w:firstLine="544"/>
    </w:pPr>
    <w:rPr>
      <w:szCs w:val="20"/>
    </w:rPr>
  </w:style>
  <w:style w:type="paragraph" w:customStyle="1" w:styleId="108">
    <w:name w:val="11111"/>
    <w:basedOn w:val="1"/>
    <w:next w:val="1"/>
    <w:qFormat/>
    <w:uiPriority w:val="0"/>
    <w:pPr>
      <w:spacing w:line="360" w:lineRule="auto"/>
      <w:ind w:firstLine="200" w:firstLineChars="200"/>
    </w:pPr>
  </w:style>
  <w:style w:type="paragraph" w:customStyle="1" w:styleId="109">
    <w:name w:val="【正文】"/>
    <w:basedOn w:val="1"/>
    <w:next w:val="1"/>
    <w:link w:val="256"/>
    <w:qFormat/>
    <w:uiPriority w:val="0"/>
    <w:pPr>
      <w:spacing w:line="500" w:lineRule="exact"/>
      <w:ind w:firstLine="200" w:firstLineChars="200"/>
    </w:pPr>
    <w:rPr>
      <w:rFonts w:cs="Times New Roman"/>
    </w:rPr>
  </w:style>
  <w:style w:type="paragraph" w:customStyle="1" w:styleId="110">
    <w:name w:val="【表头】"/>
    <w:basedOn w:val="1"/>
    <w:link w:val="535"/>
    <w:qFormat/>
    <w:uiPriority w:val="0"/>
    <w:pPr>
      <w:spacing w:line="500" w:lineRule="exact"/>
      <w:jc w:val="center"/>
    </w:pPr>
    <w:rPr>
      <w:rFonts w:ascii="Calibri" w:hAnsi="Calibri" w:eastAsia="黑体" w:cs="Times New Roman"/>
      <w:sz w:val="20"/>
      <w:szCs w:val="20"/>
      <w:lang w:val="zh-CN"/>
    </w:rPr>
  </w:style>
  <w:style w:type="paragraph" w:customStyle="1" w:styleId="111">
    <w:name w:val="【表中文字】"/>
    <w:basedOn w:val="1"/>
    <w:link w:val="385"/>
    <w:qFormat/>
    <w:uiPriority w:val="0"/>
    <w:pPr>
      <w:jc w:val="center"/>
    </w:pPr>
    <w:rPr>
      <w:rFonts w:ascii="Calibri" w:hAnsi="Calibri" w:cs="Times New Roman"/>
      <w:kern w:val="2"/>
      <w:sz w:val="21"/>
      <w:szCs w:val="22"/>
      <w:lang w:val="zh-CN"/>
    </w:rPr>
  </w:style>
  <w:style w:type="paragraph" w:customStyle="1" w:styleId="112">
    <w:name w:val="【表中文字】-"/>
    <w:basedOn w:val="1"/>
    <w:qFormat/>
    <w:uiPriority w:val="0"/>
    <w:pPr>
      <w:jc w:val="center"/>
    </w:pPr>
    <w:rPr>
      <w:sz w:val="20"/>
      <w:szCs w:val="20"/>
    </w:rPr>
  </w:style>
  <w:style w:type="paragraph" w:customStyle="1" w:styleId="113">
    <w:name w:val="Char Char Char Char Char Char Char"/>
    <w:basedOn w:val="1"/>
    <w:qFormat/>
    <w:uiPriority w:val="0"/>
    <w:pPr>
      <w:spacing w:line="360" w:lineRule="auto"/>
      <w:ind w:firstLine="200" w:firstLineChars="200"/>
    </w:pPr>
  </w:style>
  <w:style w:type="paragraph" w:customStyle="1" w:styleId="114">
    <w:name w:val="reader-word-layer reader-word-s1-13"/>
    <w:basedOn w:val="1"/>
    <w:qFormat/>
    <w:uiPriority w:val="0"/>
    <w:pPr>
      <w:spacing w:before="100" w:beforeAutospacing="1" w:after="100" w:afterAutospacing="1"/>
    </w:pPr>
  </w:style>
  <w:style w:type="paragraph" w:customStyle="1" w:styleId="115">
    <w:name w:val="p0"/>
    <w:basedOn w:val="1"/>
    <w:qFormat/>
    <w:uiPriority w:val="0"/>
    <w:pPr>
      <w:ind w:firstLine="200"/>
    </w:pPr>
    <w:rPr>
      <w:sz w:val="21"/>
      <w:szCs w:val="21"/>
    </w:rPr>
  </w:style>
  <w:style w:type="paragraph" w:customStyle="1" w:styleId="116">
    <w:name w:val="首行缩进"/>
    <w:basedOn w:val="1"/>
    <w:qFormat/>
    <w:uiPriority w:val="99"/>
    <w:pPr>
      <w:spacing w:line="460" w:lineRule="atLeast"/>
      <w:jc w:val="center"/>
    </w:pPr>
    <w:rPr>
      <w:rFonts w:eastAsia="黑体"/>
      <w:color w:val="000000"/>
      <w:spacing w:val="20"/>
    </w:rPr>
  </w:style>
  <w:style w:type="paragraph" w:customStyle="1" w:styleId="117">
    <w:name w:val="正文1"/>
    <w:link w:val="411"/>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118">
    <w:name w:val="_Style 4"/>
    <w:qFormat/>
    <w:uiPriority w:val="99"/>
    <w:pPr>
      <w:widowControl w:val="0"/>
      <w:jc w:val="both"/>
    </w:pPr>
    <w:rPr>
      <w:rFonts w:ascii="Times New Roman" w:hAnsi="Times New Roman" w:eastAsia="宋体" w:cs="Times New Roman"/>
      <w:kern w:val="2"/>
      <w:sz w:val="24"/>
      <w:szCs w:val="24"/>
      <w:lang w:val="en-US" w:eastAsia="zh-CN" w:bidi="ar-SA"/>
    </w:rPr>
  </w:style>
  <w:style w:type="character" w:customStyle="1" w:styleId="119">
    <w:name w:val="font131"/>
    <w:basedOn w:val="85"/>
    <w:qFormat/>
    <w:uiPriority w:val="0"/>
    <w:rPr>
      <w:rFonts w:hint="default" w:ascii="Calibri" w:hAnsi="Calibri" w:cs="Calibri"/>
      <w:color w:val="000000"/>
      <w:sz w:val="21"/>
      <w:szCs w:val="21"/>
      <w:u w:val="none"/>
      <w:vertAlign w:val="superscript"/>
    </w:rPr>
  </w:style>
  <w:style w:type="character" w:customStyle="1" w:styleId="120">
    <w:name w:val="font81"/>
    <w:basedOn w:val="85"/>
    <w:qFormat/>
    <w:uiPriority w:val="0"/>
    <w:rPr>
      <w:rFonts w:hint="default" w:ascii="Calibri" w:hAnsi="Calibri" w:cs="Calibri"/>
      <w:color w:val="000000"/>
      <w:sz w:val="21"/>
      <w:szCs w:val="21"/>
      <w:u w:val="none"/>
    </w:rPr>
  </w:style>
  <w:style w:type="character" w:customStyle="1" w:styleId="121">
    <w:name w:val="font122"/>
    <w:basedOn w:val="85"/>
    <w:qFormat/>
    <w:uiPriority w:val="0"/>
    <w:rPr>
      <w:rFonts w:hint="default" w:ascii="Calibri" w:hAnsi="Calibri" w:cs="Calibri"/>
      <w:color w:val="000000"/>
      <w:sz w:val="21"/>
      <w:szCs w:val="21"/>
      <w:u w:val="none"/>
      <w:vertAlign w:val="subscript"/>
    </w:rPr>
  </w:style>
  <w:style w:type="character" w:customStyle="1" w:styleId="122">
    <w:name w:val="font12"/>
    <w:basedOn w:val="85"/>
    <w:qFormat/>
    <w:uiPriority w:val="99"/>
    <w:rPr>
      <w:rFonts w:ascii="宋体" w:hAnsi="宋体" w:eastAsia="宋体" w:cs="宋体"/>
      <w:color w:val="7030A0"/>
      <w:sz w:val="21"/>
      <w:szCs w:val="21"/>
      <w:u w:val="none"/>
    </w:rPr>
  </w:style>
  <w:style w:type="character" w:customStyle="1" w:styleId="123">
    <w:name w:val="font101"/>
    <w:basedOn w:val="85"/>
    <w:qFormat/>
    <w:uiPriority w:val="0"/>
    <w:rPr>
      <w:rFonts w:ascii="宋体" w:hAnsi="宋体" w:eastAsia="宋体" w:cs="宋体"/>
      <w:color w:val="7030A0"/>
      <w:sz w:val="21"/>
      <w:szCs w:val="21"/>
      <w:u w:val="none"/>
      <w:vertAlign w:val="superscript"/>
    </w:rPr>
  </w:style>
  <w:style w:type="character" w:customStyle="1" w:styleId="124">
    <w:name w:val="font91"/>
    <w:basedOn w:val="85"/>
    <w:qFormat/>
    <w:uiPriority w:val="0"/>
    <w:rPr>
      <w:rFonts w:ascii="宋体" w:hAnsi="宋体" w:eastAsia="宋体" w:cs="宋体"/>
      <w:color w:val="7030A0"/>
      <w:sz w:val="21"/>
      <w:szCs w:val="21"/>
      <w:u w:val="none"/>
      <w:vertAlign w:val="subscript"/>
    </w:rPr>
  </w:style>
  <w:style w:type="paragraph" w:customStyle="1" w:styleId="125">
    <w:name w:val="表格"/>
    <w:basedOn w:val="126"/>
    <w:next w:val="1"/>
    <w:link w:val="276"/>
    <w:qFormat/>
    <w:uiPriority w:val="0"/>
    <w:pPr>
      <w:jc w:val="center"/>
    </w:pPr>
    <w:rPr>
      <w:rFonts w:ascii="Calibri" w:hAnsi="Calibri"/>
      <w:color w:val="000000"/>
      <w:sz w:val="21"/>
      <w:szCs w:val="21"/>
    </w:rPr>
  </w:style>
  <w:style w:type="paragraph" w:customStyle="1" w:styleId="126">
    <w:name w:val="标准"/>
    <w:basedOn w:val="127"/>
    <w:qFormat/>
    <w:uiPriority w:val="0"/>
    <w:pPr>
      <w:adjustRightInd w:val="0"/>
      <w:spacing w:line="480" w:lineRule="exact"/>
      <w:textAlignment w:val="baseline"/>
    </w:pPr>
    <w:rPr>
      <w:rFonts w:ascii="Times New Roman" w:hAnsi="Times New Roman"/>
      <w:sz w:val="28"/>
      <w:szCs w:val="20"/>
      <w:lang w:val="en-GB"/>
    </w:rPr>
  </w:style>
  <w:style w:type="paragraph" w:customStyle="1" w:styleId="127">
    <w:name w:val="正文 New New"/>
    <w:qFormat/>
    <w:uiPriority w:val="99"/>
    <w:pPr>
      <w:widowControl w:val="0"/>
      <w:jc w:val="both"/>
    </w:pPr>
    <w:rPr>
      <w:rFonts w:ascii="Calibri" w:hAnsi="Calibri" w:eastAsia="宋体" w:cs="Times New Roman"/>
      <w:kern w:val="2"/>
      <w:sz w:val="21"/>
      <w:szCs w:val="24"/>
      <w:lang w:val="en-US" w:eastAsia="zh-CN" w:bidi="ar-SA"/>
    </w:rPr>
  </w:style>
  <w:style w:type="paragraph" w:customStyle="1" w:styleId="128">
    <w:name w:val="Table Paragraph"/>
    <w:basedOn w:val="1"/>
    <w:qFormat/>
    <w:uiPriority w:val="1"/>
    <w:pPr>
      <w:ind w:firstLine="200"/>
    </w:pPr>
    <w:rPr>
      <w:rFonts w:ascii="Calibri" w:hAnsi="Calibri"/>
      <w:sz w:val="22"/>
      <w:lang w:eastAsia="en-US"/>
    </w:rPr>
  </w:style>
  <w:style w:type="paragraph" w:customStyle="1" w:styleId="129">
    <w:name w:val="样式 正文文字-1 + 首行缩进:  2.1 字符1"/>
    <w:basedOn w:val="130"/>
    <w:qFormat/>
    <w:uiPriority w:val="0"/>
    <w:pPr>
      <w:spacing w:line="440" w:lineRule="exact"/>
      <w:ind w:firstLine="210"/>
    </w:pPr>
    <w:rPr>
      <w:rFonts w:cs="宋体"/>
      <w:szCs w:val="20"/>
    </w:rPr>
  </w:style>
  <w:style w:type="paragraph" w:customStyle="1" w:styleId="130">
    <w:name w:val="正文文字-1 Char"/>
    <w:qFormat/>
    <w:uiPriority w:val="0"/>
    <w:pPr>
      <w:widowControl w:val="0"/>
      <w:spacing w:before="120" w:after="120" w:line="480" w:lineRule="exact"/>
      <w:ind w:firstLine="588" w:firstLineChars="210"/>
      <w:jc w:val="both"/>
    </w:pPr>
    <w:rPr>
      <w:rFonts w:ascii="Times New Roman" w:hAnsi="Times New Roman" w:eastAsia="宋体" w:cs="Times New Roman"/>
      <w:kern w:val="2"/>
      <w:sz w:val="24"/>
      <w:szCs w:val="24"/>
      <w:lang w:val="en-US" w:eastAsia="zh-CN" w:bidi="ar-SA"/>
    </w:rPr>
  </w:style>
  <w:style w:type="paragraph" w:customStyle="1" w:styleId="131">
    <w:name w:val="表格文字"/>
    <w:basedOn w:val="1"/>
    <w:link w:val="226"/>
    <w:qFormat/>
    <w:uiPriority w:val="0"/>
    <w:pPr>
      <w:tabs>
        <w:tab w:val="left" w:pos="146"/>
      </w:tabs>
      <w:spacing w:line="240" w:lineRule="exact"/>
      <w:ind w:right="-55" w:rightChars="-55" w:firstLine="200"/>
      <w:jc w:val="center"/>
    </w:pPr>
    <w:rPr>
      <w:rFonts w:ascii="Calibri" w:hAnsi="Calibri" w:cs="Times New Roman"/>
      <w:spacing w:val="6"/>
      <w:szCs w:val="20"/>
    </w:rPr>
  </w:style>
  <w:style w:type="character" w:customStyle="1" w:styleId="132">
    <w:name w:val="样式 样式 四号 蓝色 + 自动设置"/>
    <w:qFormat/>
    <w:uiPriority w:val="0"/>
    <w:rPr>
      <w:color w:val="auto"/>
      <w:sz w:val="24"/>
    </w:rPr>
  </w:style>
  <w:style w:type="paragraph" w:customStyle="1" w:styleId="133">
    <w:name w:val="报告表正文"/>
    <w:basedOn w:val="1"/>
    <w:qFormat/>
    <w:uiPriority w:val="99"/>
    <w:pPr>
      <w:spacing w:line="360" w:lineRule="auto"/>
      <w:ind w:firstLine="420" w:firstLineChars="200"/>
    </w:pPr>
    <w:rPr>
      <w:rFonts w:ascii="Calibri" w:hAnsi="Calibri" w:cs="Times New Roman"/>
      <w:szCs w:val="22"/>
      <w:lang w:val="zh-CN"/>
    </w:rPr>
  </w:style>
  <w:style w:type="paragraph" w:styleId="134">
    <w:name w:val="List Paragraph"/>
    <w:basedOn w:val="1"/>
    <w:qFormat/>
    <w:uiPriority w:val="99"/>
    <w:pPr>
      <w:ind w:left="597" w:hanging="602"/>
    </w:pPr>
    <w:rPr>
      <w:lang w:val="zh-CN" w:bidi="zh-CN"/>
    </w:rPr>
  </w:style>
  <w:style w:type="character" w:customStyle="1" w:styleId="135">
    <w:name w:val="正文文本 (9)_"/>
    <w:link w:val="136"/>
    <w:qFormat/>
    <w:uiPriority w:val="99"/>
    <w:rPr>
      <w:rFonts w:ascii="MingLiU" w:eastAsia="MingLiU" w:cs="MingLiU"/>
      <w:shd w:val="clear" w:color="auto" w:fill="FFFFFF"/>
    </w:rPr>
  </w:style>
  <w:style w:type="paragraph" w:customStyle="1" w:styleId="136">
    <w:name w:val="正文文本 (9)1"/>
    <w:basedOn w:val="1"/>
    <w:link w:val="135"/>
    <w:qFormat/>
    <w:uiPriority w:val="99"/>
    <w:pPr>
      <w:widowControl w:val="0"/>
      <w:shd w:val="clear" w:color="auto" w:fill="FFFFFF"/>
      <w:spacing w:before="2040" w:after="660" w:line="240" w:lineRule="atLeast"/>
      <w:jc w:val="center"/>
    </w:pPr>
    <w:rPr>
      <w:rFonts w:ascii="MingLiU" w:hAnsi="Calibri" w:eastAsia="MingLiU" w:cs="MingLiU"/>
      <w:sz w:val="20"/>
      <w:szCs w:val="20"/>
    </w:rPr>
  </w:style>
  <w:style w:type="character" w:customStyle="1" w:styleId="137">
    <w:name w:val="批注文字 Char"/>
    <w:basedOn w:val="85"/>
    <w:link w:val="27"/>
    <w:qFormat/>
    <w:uiPriority w:val="0"/>
    <w:rPr>
      <w:sz w:val="24"/>
      <w:szCs w:val="22"/>
    </w:rPr>
  </w:style>
  <w:style w:type="character" w:customStyle="1" w:styleId="138">
    <w:name w:val="批注主题 Char"/>
    <w:basedOn w:val="137"/>
    <w:link w:val="79"/>
    <w:qFormat/>
    <w:uiPriority w:val="99"/>
    <w:rPr>
      <w:rFonts w:ascii="宋体" w:hAnsi="宋体" w:cs="宋体"/>
      <w:b/>
      <w:bCs/>
      <w:sz w:val="24"/>
      <w:szCs w:val="24"/>
    </w:rPr>
  </w:style>
  <w:style w:type="character" w:customStyle="1" w:styleId="139">
    <w:name w:val="批注框文本 Char"/>
    <w:basedOn w:val="85"/>
    <w:link w:val="52"/>
    <w:qFormat/>
    <w:uiPriority w:val="99"/>
    <w:rPr>
      <w:rFonts w:ascii="宋体" w:hAnsi="宋体" w:cs="宋体"/>
      <w:sz w:val="18"/>
      <w:szCs w:val="18"/>
    </w:rPr>
  </w:style>
  <w:style w:type="paragraph" w:customStyle="1" w:styleId="140">
    <w:name w:val="一级标题"/>
    <w:basedOn w:val="1"/>
    <w:qFormat/>
    <w:uiPriority w:val="0"/>
    <w:pPr>
      <w:widowControl w:val="0"/>
      <w:spacing w:line="520" w:lineRule="exact"/>
      <w:jc w:val="both"/>
    </w:pPr>
    <w:rPr>
      <w:rFonts w:ascii="Calibri" w:hAnsi="Calibri" w:eastAsia="仿宋_GB2312" w:cs="Times New Roman"/>
      <w:b/>
      <w:color w:val="000000"/>
      <w:kern w:val="2"/>
      <w:sz w:val="21"/>
      <w:szCs w:val="22"/>
    </w:rPr>
  </w:style>
  <w:style w:type="character" w:customStyle="1" w:styleId="141">
    <w:name w:val="页脚 Char"/>
    <w:link w:val="53"/>
    <w:qFormat/>
    <w:uiPriority w:val="99"/>
    <w:rPr>
      <w:kern w:val="2"/>
      <w:sz w:val="18"/>
      <w:szCs w:val="18"/>
    </w:rPr>
  </w:style>
  <w:style w:type="paragraph" w:styleId="142">
    <w:name w:val="No Spacing"/>
    <w:link w:val="143"/>
    <w:qFormat/>
    <w:uiPriority w:val="0"/>
    <w:rPr>
      <w:rFonts w:ascii="宋体" w:hAnsi="宋体" w:eastAsia="宋体" w:cs="宋体"/>
      <w:sz w:val="24"/>
      <w:szCs w:val="24"/>
      <w:lang w:val="en-US" w:eastAsia="zh-CN" w:bidi="ar-SA"/>
    </w:rPr>
  </w:style>
  <w:style w:type="character" w:customStyle="1" w:styleId="143">
    <w:name w:val="无间隔 Char"/>
    <w:link w:val="142"/>
    <w:qFormat/>
    <w:uiPriority w:val="0"/>
    <w:rPr>
      <w:rFonts w:ascii="宋体" w:hAnsi="宋体" w:cs="宋体"/>
      <w:sz w:val="24"/>
      <w:szCs w:val="24"/>
    </w:rPr>
  </w:style>
  <w:style w:type="character" w:customStyle="1" w:styleId="144">
    <w:name w:val="标题 5 Char"/>
    <w:basedOn w:val="85"/>
    <w:link w:val="9"/>
    <w:qFormat/>
    <w:uiPriority w:val="9"/>
    <w:rPr>
      <w:rFonts w:ascii="仿宋_GB2312" w:hAnsi="Times New Roman" w:eastAsia="仿宋_GB2312"/>
      <w:b/>
      <w:bCs/>
      <w:sz w:val="28"/>
      <w:szCs w:val="28"/>
    </w:rPr>
  </w:style>
  <w:style w:type="character" w:customStyle="1" w:styleId="145">
    <w:name w:val="标题 6 Char"/>
    <w:basedOn w:val="85"/>
    <w:link w:val="10"/>
    <w:qFormat/>
    <w:uiPriority w:val="9"/>
    <w:rPr>
      <w:rFonts w:ascii="Times New Roman" w:hAnsi="Times New Roman"/>
      <w:b/>
      <w:bCs/>
      <w:kern w:val="2"/>
      <w:sz w:val="24"/>
    </w:rPr>
  </w:style>
  <w:style w:type="character" w:customStyle="1" w:styleId="146">
    <w:name w:val="标题 7 Char"/>
    <w:basedOn w:val="85"/>
    <w:link w:val="11"/>
    <w:qFormat/>
    <w:uiPriority w:val="9"/>
    <w:rPr>
      <w:rFonts w:ascii="Times New Roman" w:hAnsi="Times New Roman"/>
      <w:b/>
      <w:bCs/>
      <w:kern w:val="2"/>
      <w:sz w:val="28"/>
      <w:szCs w:val="28"/>
    </w:rPr>
  </w:style>
  <w:style w:type="character" w:customStyle="1" w:styleId="147">
    <w:name w:val="标题 8 Char"/>
    <w:basedOn w:val="85"/>
    <w:qFormat/>
    <w:uiPriority w:val="99"/>
    <w:rPr>
      <w:rFonts w:asciiTheme="majorHAnsi" w:hAnsiTheme="majorHAnsi" w:eastAsiaTheme="majorEastAsia" w:cstheme="majorBidi"/>
      <w:sz w:val="24"/>
      <w:szCs w:val="24"/>
    </w:rPr>
  </w:style>
  <w:style w:type="character" w:customStyle="1" w:styleId="148">
    <w:name w:val="标题 9 Char"/>
    <w:basedOn w:val="85"/>
    <w:link w:val="13"/>
    <w:qFormat/>
    <w:uiPriority w:val="9"/>
    <w:rPr>
      <w:rFonts w:ascii="Arial" w:hAnsi="Arial" w:eastAsia="黑体"/>
      <w:sz w:val="28"/>
      <w:szCs w:val="21"/>
    </w:rPr>
  </w:style>
  <w:style w:type="character" w:customStyle="1" w:styleId="149">
    <w:name w:val="sort1"/>
    <w:qFormat/>
    <w:uiPriority w:val="0"/>
    <w:rPr>
      <w:color w:val="FFFFFF"/>
      <w:bdr w:val="single" w:color="auto" w:sz="24" w:space="0"/>
    </w:rPr>
  </w:style>
  <w:style w:type="character" w:customStyle="1" w:styleId="150">
    <w:name w:val="p14"/>
    <w:basedOn w:val="85"/>
    <w:qFormat/>
    <w:uiPriority w:val="0"/>
  </w:style>
  <w:style w:type="character" w:customStyle="1" w:styleId="151">
    <w:name w:val="正文样式 Char Char"/>
    <w:link w:val="152"/>
    <w:qFormat/>
    <w:uiPriority w:val="0"/>
    <w:rPr>
      <w:rFonts w:ascii="宋体" w:hAnsi="宋体"/>
      <w:sz w:val="24"/>
      <w:szCs w:val="24"/>
    </w:rPr>
  </w:style>
  <w:style w:type="paragraph" w:customStyle="1" w:styleId="152">
    <w:name w:val="正文样式"/>
    <w:basedOn w:val="1"/>
    <w:link w:val="151"/>
    <w:qFormat/>
    <w:uiPriority w:val="0"/>
    <w:pPr>
      <w:widowControl w:val="0"/>
      <w:spacing w:line="360" w:lineRule="auto"/>
      <w:ind w:firstLine="480" w:firstLineChars="200"/>
      <w:jc w:val="both"/>
    </w:pPr>
    <w:rPr>
      <w:rFonts w:cs="Times New Roman"/>
    </w:rPr>
  </w:style>
  <w:style w:type="character" w:customStyle="1" w:styleId="153">
    <w:name w:val="正文文本 (2) + Georgia9"/>
    <w:qFormat/>
    <w:uiPriority w:val="99"/>
    <w:rPr>
      <w:rFonts w:ascii="Georgia" w:hAnsi="Georgia" w:eastAsia="MingLiU" w:cs="Georgia"/>
      <w:sz w:val="20"/>
      <w:szCs w:val="20"/>
      <w:u w:val="none"/>
      <w:shd w:val="clear" w:color="auto" w:fill="FFFFFF"/>
      <w:lang w:val="en-US" w:eastAsia="en-US"/>
    </w:rPr>
  </w:style>
  <w:style w:type="character" w:customStyle="1" w:styleId="154">
    <w:name w:val="标题2 Char Char"/>
    <w:qFormat/>
    <w:uiPriority w:val="0"/>
    <w:rPr>
      <w:rFonts w:ascii="Arial" w:hAnsi="Arial" w:eastAsia="黑体"/>
      <w:b/>
      <w:bCs/>
      <w:kern w:val="2"/>
      <w:sz w:val="32"/>
      <w:szCs w:val="32"/>
      <w:lang w:val="en-US" w:eastAsia="zh-CN" w:bidi="ar-SA"/>
    </w:rPr>
  </w:style>
  <w:style w:type="character" w:customStyle="1" w:styleId="155">
    <w:name w:val="morelink-item"/>
    <w:qFormat/>
    <w:uiPriority w:val="0"/>
  </w:style>
  <w:style w:type="character" w:customStyle="1" w:styleId="156">
    <w:name w:val="Heading 4 Char"/>
    <w:qFormat/>
    <w:uiPriority w:val="0"/>
    <w:rPr>
      <w:rFonts w:ascii="黑体" w:hAnsi="宋体" w:eastAsia="黑体" w:cs="宋体"/>
      <w:bCs/>
      <w:sz w:val="24"/>
      <w:szCs w:val="24"/>
    </w:rPr>
  </w:style>
  <w:style w:type="character" w:customStyle="1" w:styleId="157">
    <w:name w:val="正文文本: Char Char"/>
    <w:link w:val="158"/>
    <w:semiHidden/>
    <w:qFormat/>
    <w:uiPriority w:val="0"/>
    <w:rPr>
      <w:rFonts w:ascii="仿宋_GB2312" w:eastAsia="仿宋_GB2312" w:cs="宋体"/>
      <w:sz w:val="28"/>
    </w:rPr>
  </w:style>
  <w:style w:type="paragraph" w:customStyle="1" w:styleId="158">
    <w:name w:val="正文文本:"/>
    <w:basedOn w:val="1"/>
    <w:link w:val="157"/>
    <w:semiHidden/>
    <w:qFormat/>
    <w:uiPriority w:val="0"/>
    <w:pPr>
      <w:widowControl w:val="0"/>
      <w:spacing w:line="360" w:lineRule="auto"/>
      <w:ind w:firstLine="200" w:firstLineChars="200"/>
    </w:pPr>
    <w:rPr>
      <w:rFonts w:ascii="仿宋_GB2312" w:hAnsi="Calibri" w:eastAsia="仿宋_GB2312"/>
      <w:sz w:val="28"/>
      <w:szCs w:val="20"/>
    </w:rPr>
  </w:style>
  <w:style w:type="character" w:customStyle="1" w:styleId="159">
    <w:name w:val="title41"/>
    <w:qFormat/>
    <w:uiPriority w:val="0"/>
    <w:rPr>
      <w:rFonts w:hint="eastAsia" w:ascii="宋体" w:hAnsi="宋体" w:eastAsia="宋体"/>
      <w:color w:val="FF6600"/>
      <w:sz w:val="36"/>
      <w:szCs w:val="36"/>
    </w:rPr>
  </w:style>
  <w:style w:type="character" w:customStyle="1" w:styleId="160">
    <w:name w:val="纯文本 Char"/>
    <w:qFormat/>
    <w:uiPriority w:val="0"/>
    <w:rPr>
      <w:rFonts w:ascii="宋体" w:hAnsi="Courier New" w:eastAsia="宋体" w:cs="Courier New"/>
      <w:szCs w:val="21"/>
    </w:rPr>
  </w:style>
  <w:style w:type="character" w:customStyle="1" w:styleId="161">
    <w:name w:val="polysemyexp"/>
    <w:qFormat/>
    <w:uiPriority w:val="0"/>
    <w:rPr>
      <w:color w:val="AAAAAA"/>
      <w:sz w:val="18"/>
      <w:szCs w:val="18"/>
    </w:rPr>
  </w:style>
  <w:style w:type="character" w:customStyle="1" w:styleId="162">
    <w:name w:val="表中文 Char Char"/>
    <w:link w:val="163"/>
    <w:qFormat/>
    <w:uiPriority w:val="0"/>
    <w:rPr>
      <w:rFonts w:ascii="Times New Roman" w:hAnsi="Times New Roman"/>
      <w:snapToGrid w:val="0"/>
      <w:kern w:val="2"/>
      <w:sz w:val="21"/>
      <w:szCs w:val="21"/>
    </w:rPr>
  </w:style>
  <w:style w:type="paragraph" w:customStyle="1" w:styleId="163">
    <w:name w:val="表中文"/>
    <w:link w:val="162"/>
    <w:qFormat/>
    <w:uiPriority w:val="0"/>
    <w:pPr>
      <w:jc w:val="center"/>
    </w:pPr>
    <w:rPr>
      <w:rFonts w:ascii="Times New Roman" w:hAnsi="Times New Roman" w:eastAsia="宋体" w:cs="Times New Roman"/>
      <w:snapToGrid w:val="0"/>
      <w:kern w:val="2"/>
      <w:sz w:val="21"/>
      <w:szCs w:val="21"/>
      <w:lang w:val="en-US" w:eastAsia="zh-CN" w:bidi="ar-SA"/>
    </w:rPr>
  </w:style>
  <w:style w:type="character" w:customStyle="1" w:styleId="164">
    <w:name w:val="正文首行缩进-修改 Char Char"/>
    <w:link w:val="165"/>
    <w:qFormat/>
    <w:uiPriority w:val="0"/>
    <w:rPr>
      <w:rFonts w:ascii="Times New Roman" w:hAnsi="Times New Roman"/>
      <w:sz w:val="24"/>
      <w:szCs w:val="24"/>
    </w:rPr>
  </w:style>
  <w:style w:type="paragraph" w:customStyle="1" w:styleId="165">
    <w:name w:val="正文首行缩进-修改"/>
    <w:basedOn w:val="1"/>
    <w:link w:val="164"/>
    <w:qFormat/>
    <w:uiPriority w:val="0"/>
    <w:pPr>
      <w:widowControl w:val="0"/>
      <w:spacing w:line="360" w:lineRule="auto"/>
      <w:ind w:firstLine="480" w:firstLineChars="200"/>
      <w:jc w:val="both"/>
    </w:pPr>
    <w:rPr>
      <w:rFonts w:ascii="Times New Roman" w:hAnsi="Times New Roman" w:cs="Times New Roman"/>
    </w:rPr>
  </w:style>
  <w:style w:type="character" w:customStyle="1" w:styleId="166">
    <w:name w:val="标题3--------------- Char Char"/>
    <w:link w:val="167"/>
    <w:qFormat/>
    <w:uiPriority w:val="0"/>
    <w:rPr>
      <w:b/>
      <w:bCs/>
      <w:sz w:val="30"/>
    </w:rPr>
  </w:style>
  <w:style w:type="paragraph" w:customStyle="1" w:styleId="167">
    <w:name w:val="标题3---------------"/>
    <w:basedOn w:val="7"/>
    <w:link w:val="166"/>
    <w:qFormat/>
    <w:uiPriority w:val="0"/>
    <w:pPr>
      <w:keepNext w:val="0"/>
      <w:widowControl w:val="0"/>
      <w:spacing w:before="160" w:after="160" w:line="240" w:lineRule="auto"/>
      <w:jc w:val="both"/>
    </w:pPr>
    <w:rPr>
      <w:rFonts w:ascii="Calibri" w:hAnsi="Calibri" w:eastAsia="宋体"/>
      <w:b/>
      <w:sz w:val="30"/>
      <w:szCs w:val="20"/>
    </w:rPr>
  </w:style>
  <w:style w:type="character" w:customStyle="1" w:styleId="168">
    <w:name w:val="表中 Char Char"/>
    <w:link w:val="169"/>
    <w:qFormat/>
    <w:uiPriority w:val="0"/>
    <w:rPr>
      <w:rFonts w:ascii="宋体" w:hAnsi="宋体"/>
      <w:color w:val="000000"/>
      <w:sz w:val="24"/>
    </w:rPr>
  </w:style>
  <w:style w:type="paragraph" w:customStyle="1" w:styleId="169">
    <w:name w:val="表中"/>
    <w:basedOn w:val="1"/>
    <w:link w:val="168"/>
    <w:qFormat/>
    <w:uiPriority w:val="0"/>
    <w:pPr>
      <w:tabs>
        <w:tab w:val="left" w:pos="425"/>
      </w:tabs>
      <w:snapToGrid w:val="0"/>
      <w:spacing w:beforeLines="20" w:afterLines="20" w:line="240" w:lineRule="exact"/>
      <w:ind w:hanging="425"/>
      <w:jc w:val="center"/>
    </w:pPr>
    <w:rPr>
      <w:rFonts w:cs="Times New Roman"/>
      <w:color w:val="000000"/>
      <w:szCs w:val="20"/>
    </w:rPr>
  </w:style>
  <w:style w:type="character" w:customStyle="1" w:styleId="170">
    <w:name w:val="正文文本 3 Char"/>
    <w:link w:val="29"/>
    <w:qFormat/>
    <w:uiPriority w:val="99"/>
    <w:rPr>
      <w:rFonts w:ascii="宋体" w:hAnsi="宋体"/>
      <w:color w:val="006600"/>
      <w:kern w:val="16"/>
      <w:sz w:val="24"/>
      <w:szCs w:val="24"/>
    </w:rPr>
  </w:style>
  <w:style w:type="character" w:customStyle="1" w:styleId="171">
    <w:name w:val="正文缩进 Char"/>
    <w:link w:val="6"/>
    <w:qFormat/>
    <w:uiPriority w:val="0"/>
    <w:rPr>
      <w:sz w:val="28"/>
    </w:rPr>
  </w:style>
  <w:style w:type="character" w:customStyle="1" w:styleId="172">
    <w:name w:val="lemmatitleh12"/>
    <w:basedOn w:val="85"/>
    <w:qFormat/>
    <w:uiPriority w:val="0"/>
  </w:style>
  <w:style w:type="character" w:customStyle="1" w:styleId="173">
    <w:name w:val="德胜空行 Char Char"/>
    <w:link w:val="174"/>
    <w:qFormat/>
    <w:uiPriority w:val="0"/>
    <w:rPr>
      <w:snapToGrid w:val="0"/>
      <w:color w:val="0000FF"/>
      <w:szCs w:val="21"/>
    </w:rPr>
  </w:style>
  <w:style w:type="paragraph" w:customStyle="1" w:styleId="174">
    <w:name w:val="德胜空行"/>
    <w:basedOn w:val="1"/>
    <w:link w:val="173"/>
    <w:qFormat/>
    <w:uiPriority w:val="0"/>
    <w:pPr>
      <w:widowControl w:val="0"/>
      <w:adjustRightInd w:val="0"/>
      <w:snapToGrid w:val="0"/>
    </w:pPr>
    <w:rPr>
      <w:rFonts w:ascii="Calibri" w:hAnsi="Calibri" w:cs="Times New Roman"/>
      <w:snapToGrid w:val="0"/>
      <w:color w:val="0000FF"/>
      <w:sz w:val="20"/>
      <w:szCs w:val="21"/>
    </w:rPr>
  </w:style>
  <w:style w:type="character" w:customStyle="1" w:styleId="175">
    <w:name w:val="Char Char3"/>
    <w:qFormat/>
    <w:uiPriority w:val="0"/>
    <w:rPr>
      <w:rFonts w:ascii="黑体" w:hAnsi="Arial" w:eastAsia="黑体"/>
      <w:b/>
      <w:bCs/>
      <w:kern w:val="2"/>
      <w:sz w:val="28"/>
      <w:szCs w:val="28"/>
      <w:lang w:val="sq-AL" w:eastAsia="zh-CN" w:bidi="ar-SA"/>
    </w:rPr>
  </w:style>
  <w:style w:type="character" w:customStyle="1" w:styleId="176">
    <w:name w:val="正文文本 (2) + 10 pt11"/>
    <w:qFormat/>
    <w:uiPriority w:val="99"/>
    <w:rPr>
      <w:rFonts w:ascii="MingLiU" w:eastAsia="MingLiU" w:cs="MingLiU"/>
      <w:spacing w:val="10"/>
      <w:sz w:val="20"/>
      <w:szCs w:val="20"/>
      <w:u w:val="none"/>
      <w:shd w:val="clear" w:color="auto" w:fill="FFFFFF"/>
    </w:rPr>
  </w:style>
  <w:style w:type="character" w:customStyle="1" w:styleId="177">
    <w:name w:val="段落1 Char1"/>
    <w:link w:val="178"/>
    <w:qFormat/>
    <w:uiPriority w:val="0"/>
    <w:rPr>
      <w:bCs/>
      <w:spacing w:val="6"/>
      <w:sz w:val="24"/>
      <w:szCs w:val="24"/>
    </w:rPr>
  </w:style>
  <w:style w:type="paragraph" w:customStyle="1" w:styleId="178">
    <w:name w:val="段落1"/>
    <w:basedOn w:val="1"/>
    <w:link w:val="177"/>
    <w:qFormat/>
    <w:uiPriority w:val="0"/>
    <w:pPr>
      <w:widowControl w:val="0"/>
      <w:adjustRightInd w:val="0"/>
      <w:spacing w:before="120" w:after="120" w:line="360" w:lineRule="auto"/>
      <w:ind w:firstLine="504" w:firstLineChars="200"/>
      <w:jc w:val="both"/>
      <w:textAlignment w:val="baseline"/>
    </w:pPr>
    <w:rPr>
      <w:rFonts w:ascii="Calibri" w:hAnsi="Calibri" w:cs="Times New Roman"/>
      <w:bCs/>
      <w:spacing w:val="6"/>
    </w:rPr>
  </w:style>
  <w:style w:type="character" w:customStyle="1" w:styleId="179">
    <w:name w:val="h2 Char1"/>
    <w:qFormat/>
    <w:uiPriority w:val="0"/>
    <w:rPr>
      <w:rFonts w:ascii="Times New Roman" w:hAnsi="Times New Roman" w:eastAsia="黑体"/>
      <w:bCs/>
      <w:kern w:val="2"/>
      <w:sz w:val="30"/>
      <w:szCs w:val="32"/>
    </w:rPr>
  </w:style>
  <w:style w:type="character" w:customStyle="1" w:styleId="180">
    <w:name w:val="章节标题 Char3"/>
    <w:qFormat/>
    <w:uiPriority w:val="0"/>
    <w:rPr>
      <w:rFonts w:ascii="Times New Roman" w:hAnsi="Times New Roman" w:eastAsia="黑体" w:cs="Times New Roman"/>
      <w:b/>
      <w:kern w:val="44"/>
      <w:sz w:val="44"/>
      <w:szCs w:val="20"/>
    </w:rPr>
  </w:style>
  <w:style w:type="character" w:customStyle="1" w:styleId="181">
    <w:name w:val="表格内容1 Char Char1 Char Char Char"/>
    <w:link w:val="182"/>
    <w:semiHidden/>
    <w:qFormat/>
    <w:uiPriority w:val="0"/>
    <w:rPr>
      <w:rFonts w:ascii="Times New Roman" w:hAnsi="Times New Roman" w:eastAsia="仿宋_GB2312"/>
      <w:kern w:val="24"/>
      <w:szCs w:val="24"/>
    </w:rPr>
  </w:style>
  <w:style w:type="paragraph" w:customStyle="1" w:styleId="182">
    <w:name w:val="表格内容1 Char Char1 Char"/>
    <w:basedOn w:val="1"/>
    <w:link w:val="181"/>
    <w:semiHidden/>
    <w:qFormat/>
    <w:uiPriority w:val="0"/>
    <w:pPr>
      <w:widowControl w:val="0"/>
      <w:spacing w:line="240" w:lineRule="atLeast"/>
      <w:jc w:val="center"/>
    </w:pPr>
    <w:rPr>
      <w:rFonts w:ascii="Times New Roman" w:hAnsi="Times New Roman" w:eastAsia="仿宋_GB2312" w:cs="Times New Roman"/>
      <w:kern w:val="24"/>
      <w:sz w:val="20"/>
    </w:rPr>
  </w:style>
  <w:style w:type="character" w:customStyle="1" w:styleId="183">
    <w:name w:val="表头 Char Char Char"/>
    <w:semiHidden/>
    <w:qFormat/>
    <w:uiPriority w:val="0"/>
    <w:rPr>
      <w:rFonts w:ascii="仿宋_GB2312" w:eastAsia="黑体" w:cs="宋体"/>
      <w:spacing w:val="-2"/>
      <w:kern w:val="2"/>
      <w:sz w:val="28"/>
      <w:szCs w:val="28"/>
      <w:lang w:val="en-US" w:eastAsia="zh-CN" w:bidi="ar-SA"/>
    </w:rPr>
  </w:style>
  <w:style w:type="character" w:customStyle="1" w:styleId="184">
    <w:name w:val="zhengwen Char Char"/>
    <w:link w:val="185"/>
    <w:qFormat/>
    <w:uiPriority w:val="0"/>
    <w:rPr>
      <w:rFonts w:ascii="Times New Roman" w:hAnsi="Times New Roman"/>
      <w:snapToGrid w:val="0"/>
      <w:color w:val="000000"/>
      <w:kern w:val="2"/>
      <w:sz w:val="24"/>
      <w:szCs w:val="24"/>
    </w:rPr>
  </w:style>
  <w:style w:type="paragraph" w:customStyle="1" w:styleId="185">
    <w:name w:val="zhengwen"/>
    <w:basedOn w:val="186"/>
    <w:link w:val="184"/>
    <w:qFormat/>
    <w:uiPriority w:val="0"/>
    <w:pPr>
      <w:tabs>
        <w:tab w:val="left" w:pos="567"/>
      </w:tabs>
      <w:spacing w:line="360" w:lineRule="auto"/>
      <w:ind w:left="0" w:firstLine="476"/>
    </w:pPr>
    <w:rPr>
      <w:rFonts w:ascii="Times New Roman"/>
      <w:snapToGrid w:val="0"/>
      <w:color w:val="000000"/>
      <w:szCs w:val="24"/>
    </w:rPr>
  </w:style>
  <w:style w:type="paragraph" w:customStyle="1" w:styleId="186">
    <w:name w:val="正文11"/>
    <w:link w:val="187"/>
    <w:qFormat/>
    <w:uiPriority w:val="0"/>
    <w:pPr>
      <w:widowControl w:val="0"/>
      <w:tabs>
        <w:tab w:val="left" w:pos="567"/>
      </w:tabs>
      <w:adjustRightInd w:val="0"/>
      <w:spacing w:line="360" w:lineRule="atLeast"/>
      <w:ind w:left="567" w:hanging="567"/>
      <w:textAlignment w:val="baseline"/>
    </w:pPr>
    <w:rPr>
      <w:rFonts w:ascii="宋体" w:hAnsi="Times New Roman" w:eastAsia="宋体" w:cs="Times New Roman"/>
      <w:kern w:val="2"/>
      <w:sz w:val="24"/>
      <w:szCs w:val="22"/>
      <w:lang w:val="en-US" w:eastAsia="zh-CN" w:bidi="ar-SA"/>
    </w:rPr>
  </w:style>
  <w:style w:type="character" w:customStyle="1" w:styleId="187">
    <w:name w:val="正文11 Char Char Char Char"/>
    <w:link w:val="186"/>
    <w:qFormat/>
    <w:uiPriority w:val="0"/>
    <w:rPr>
      <w:rFonts w:ascii="宋体" w:hAnsi="Times New Roman"/>
      <w:kern w:val="2"/>
      <w:sz w:val="24"/>
      <w:szCs w:val="22"/>
    </w:rPr>
  </w:style>
  <w:style w:type="character" w:customStyle="1" w:styleId="188">
    <w:name w:val="小表左 Char Char"/>
    <w:link w:val="189"/>
    <w:qFormat/>
    <w:uiPriority w:val="0"/>
    <w:rPr>
      <w:rFonts w:ascii="Times New Roman" w:hAnsi="Times New Roman"/>
      <w:sz w:val="18"/>
      <w:szCs w:val="18"/>
    </w:rPr>
  </w:style>
  <w:style w:type="paragraph" w:customStyle="1" w:styleId="189">
    <w:name w:val="小表左"/>
    <w:basedOn w:val="1"/>
    <w:link w:val="188"/>
    <w:qFormat/>
    <w:uiPriority w:val="0"/>
    <w:pPr>
      <w:keepNext/>
      <w:widowControl w:val="0"/>
      <w:tabs>
        <w:tab w:val="left" w:pos="2190"/>
      </w:tabs>
      <w:adjustRightInd w:val="0"/>
      <w:snapToGrid w:val="0"/>
      <w:jc w:val="both"/>
    </w:pPr>
    <w:rPr>
      <w:rFonts w:ascii="Times New Roman" w:hAnsi="Times New Roman" w:cs="Times New Roman"/>
      <w:sz w:val="18"/>
      <w:szCs w:val="18"/>
    </w:rPr>
  </w:style>
  <w:style w:type="character" w:customStyle="1" w:styleId="190">
    <w:name w:val="表格文字居中 Char Char"/>
    <w:qFormat/>
    <w:uiPriority w:val="0"/>
    <w:rPr>
      <w:rFonts w:ascii="宋体" w:hAnsi="宋体" w:eastAsia="宋体" w:cs="宋体"/>
      <w:kern w:val="2"/>
      <w:sz w:val="24"/>
      <w:szCs w:val="24"/>
      <w:lang w:val="en-US" w:eastAsia="zh-CN"/>
    </w:rPr>
  </w:style>
  <w:style w:type="character" w:customStyle="1" w:styleId="191">
    <w:name w:val="nota"/>
    <w:qFormat/>
    <w:uiPriority w:val="0"/>
    <w:rPr>
      <w:i/>
      <w:iCs/>
      <w:sz w:val="20"/>
    </w:rPr>
  </w:style>
  <w:style w:type="character" w:customStyle="1" w:styleId="192">
    <w:name w:val="段落 Char1"/>
    <w:link w:val="193"/>
    <w:qFormat/>
    <w:uiPriority w:val="0"/>
    <w:rPr>
      <w:rFonts w:ascii="仿宋_GB2312" w:hAnsi="宋体" w:eastAsia="仿宋_GB2312"/>
      <w:bCs/>
      <w:snapToGrid w:val="0"/>
      <w:color w:val="3366FF"/>
      <w:sz w:val="24"/>
      <w:szCs w:val="24"/>
    </w:rPr>
  </w:style>
  <w:style w:type="paragraph" w:customStyle="1" w:styleId="193">
    <w:name w:val="段落"/>
    <w:link w:val="192"/>
    <w:qFormat/>
    <w:uiPriority w:val="0"/>
    <w:pPr>
      <w:spacing w:line="360" w:lineRule="auto"/>
      <w:ind w:firstLine="540" w:firstLineChars="225"/>
      <w:jc w:val="both"/>
    </w:pPr>
    <w:rPr>
      <w:rFonts w:ascii="仿宋_GB2312" w:hAnsi="宋体" w:eastAsia="仿宋_GB2312" w:cs="Times New Roman"/>
      <w:bCs/>
      <w:snapToGrid w:val="0"/>
      <w:color w:val="3366FF"/>
      <w:sz w:val="24"/>
      <w:szCs w:val="24"/>
      <w:lang w:val="en-US" w:eastAsia="zh-CN" w:bidi="ar-SA"/>
    </w:rPr>
  </w:style>
  <w:style w:type="character" w:customStyle="1" w:styleId="194">
    <w:name w:val="Char Char13"/>
    <w:qFormat/>
    <w:uiPriority w:val="0"/>
    <w:rPr>
      <w:rFonts w:eastAsia="楷体_GB2312"/>
      <w:snapToGrid w:val="0"/>
      <w:sz w:val="21"/>
      <w:szCs w:val="22"/>
      <w:lang w:val="en-US" w:eastAsia="zh-CN" w:bidi="ar-SA"/>
    </w:rPr>
  </w:style>
  <w:style w:type="character" w:customStyle="1" w:styleId="195">
    <w:name w:val="表号 Char Char"/>
    <w:qFormat/>
    <w:uiPriority w:val="0"/>
    <w:rPr>
      <w:rFonts w:ascii="黑体" w:eastAsia="黑体"/>
      <w:sz w:val="21"/>
      <w:lang w:val="en-US" w:eastAsia="zh-CN" w:bidi="ar-SA"/>
    </w:rPr>
  </w:style>
  <w:style w:type="character" w:customStyle="1" w:styleId="196">
    <w:name w:val="图表 Char Char"/>
    <w:link w:val="197"/>
    <w:qFormat/>
    <w:uiPriority w:val="0"/>
    <w:rPr>
      <w:rFonts w:eastAsia="Times New Roman"/>
      <w:color w:val="800000"/>
      <w:spacing w:val="20"/>
      <w:kern w:val="2"/>
      <w:sz w:val="21"/>
      <w:szCs w:val="24"/>
    </w:rPr>
  </w:style>
  <w:style w:type="paragraph" w:customStyle="1" w:styleId="197">
    <w:name w:val="图表"/>
    <w:link w:val="196"/>
    <w:qFormat/>
    <w:uiPriority w:val="0"/>
    <w:pPr>
      <w:jc w:val="center"/>
    </w:pPr>
    <w:rPr>
      <w:rFonts w:ascii="Calibri" w:hAnsi="Calibri" w:eastAsia="Times New Roman" w:cs="Times New Roman"/>
      <w:color w:val="800000"/>
      <w:spacing w:val="20"/>
      <w:kern w:val="2"/>
      <w:sz w:val="21"/>
      <w:szCs w:val="24"/>
      <w:lang w:val="en-US" w:eastAsia="zh-CN" w:bidi="ar-SA"/>
    </w:rPr>
  </w:style>
  <w:style w:type="character" w:customStyle="1" w:styleId="198">
    <w:name w:val="title_tab"/>
    <w:basedOn w:val="85"/>
    <w:qFormat/>
    <w:uiPriority w:val="0"/>
  </w:style>
  <w:style w:type="character" w:customStyle="1" w:styleId="199">
    <w:name w:val="正文文本 (2) + 10 pt6"/>
    <w:qFormat/>
    <w:uiPriority w:val="99"/>
    <w:rPr>
      <w:rFonts w:ascii="MingLiU" w:eastAsia="MingLiU" w:cs="MingLiU"/>
      <w:spacing w:val="150"/>
      <w:sz w:val="20"/>
      <w:szCs w:val="20"/>
      <w:u w:val="none"/>
      <w:shd w:val="clear" w:color="auto" w:fill="FFFFFF"/>
    </w:rPr>
  </w:style>
  <w:style w:type="character" w:customStyle="1" w:styleId="200">
    <w:name w:val="编制日期 Char Char"/>
    <w:link w:val="201"/>
    <w:qFormat/>
    <w:uiPriority w:val="0"/>
    <w:rPr>
      <w:rFonts w:ascii="宋体" w:hAnsi="宋体"/>
      <w:sz w:val="32"/>
      <w:szCs w:val="28"/>
    </w:rPr>
  </w:style>
  <w:style w:type="paragraph" w:customStyle="1" w:styleId="201">
    <w:name w:val="编制日期"/>
    <w:basedOn w:val="1"/>
    <w:link w:val="200"/>
    <w:qFormat/>
    <w:uiPriority w:val="0"/>
    <w:pPr>
      <w:keepNext/>
      <w:widowControl w:val="0"/>
      <w:tabs>
        <w:tab w:val="left" w:pos="2190"/>
      </w:tabs>
      <w:adjustRightInd w:val="0"/>
      <w:snapToGrid w:val="0"/>
      <w:spacing w:line="360" w:lineRule="auto"/>
      <w:jc w:val="center"/>
    </w:pPr>
    <w:rPr>
      <w:rFonts w:cs="Times New Roman"/>
      <w:sz w:val="32"/>
      <w:szCs w:val="28"/>
    </w:rPr>
  </w:style>
  <w:style w:type="character" w:customStyle="1" w:styleId="202">
    <w:name w:val="正文文本 (2) + Georgia8"/>
    <w:qFormat/>
    <w:uiPriority w:val="99"/>
    <w:rPr>
      <w:rFonts w:ascii="Georgia" w:hAnsi="Georgia" w:eastAsia="MingLiU" w:cs="Georgia"/>
      <w:sz w:val="20"/>
      <w:szCs w:val="20"/>
      <w:u w:val="none"/>
      <w:shd w:val="clear" w:color="auto" w:fill="FFFFFF"/>
      <w:lang w:val="en-US" w:eastAsia="en-US"/>
    </w:rPr>
  </w:style>
  <w:style w:type="character" w:customStyle="1" w:styleId="203">
    <w:name w:val="环评正文 Char"/>
    <w:qFormat/>
    <w:uiPriority w:val="0"/>
    <w:rPr>
      <w:rFonts w:ascii="仿宋_GB2312" w:hAnsi="Times New Roman" w:eastAsia="仿宋_GB2312" w:cs="宋体"/>
      <w:sz w:val="28"/>
      <w:szCs w:val="20"/>
    </w:rPr>
  </w:style>
  <w:style w:type="character" w:customStyle="1" w:styleId="204">
    <w:name w:val="正文文本 (2) + 10 pt16"/>
    <w:qFormat/>
    <w:uiPriority w:val="99"/>
    <w:rPr>
      <w:rFonts w:ascii="MingLiU" w:eastAsia="MingLiU" w:cs="MingLiU"/>
      <w:spacing w:val="120"/>
      <w:sz w:val="20"/>
      <w:szCs w:val="20"/>
      <w:u w:val="none"/>
      <w:shd w:val="clear" w:color="auto" w:fill="FFFFFF"/>
    </w:rPr>
  </w:style>
  <w:style w:type="character" w:customStyle="1" w:styleId="205">
    <w:name w:val="干标题(a) Char Char"/>
    <w:qFormat/>
    <w:uiPriority w:val="0"/>
    <w:rPr>
      <w:rFonts w:ascii="Arial" w:hAnsi="Arial" w:eastAsia="黑体"/>
      <w:kern w:val="2"/>
      <w:sz w:val="21"/>
      <w:szCs w:val="21"/>
    </w:rPr>
  </w:style>
  <w:style w:type="character" w:customStyle="1" w:styleId="206">
    <w:name w:val="样式 样式 标题 3条标题头标题3H3h33rd level第二层条标题 3 Char小标题小节标题标题 3 C...3 + 自... Char"/>
    <w:link w:val="207"/>
    <w:qFormat/>
    <w:uiPriority w:val="0"/>
    <w:rPr>
      <w:rFonts w:ascii="黑体" w:hAnsi="Times New Roman" w:eastAsia="黑体"/>
      <w:sz w:val="24"/>
      <w:szCs w:val="24"/>
    </w:rPr>
  </w:style>
  <w:style w:type="paragraph" w:customStyle="1" w:styleId="207">
    <w:name w:val="样式 样式 标题 3条标题头标题3H3h33rd level第二层条标题 3 Char小标题小节标题标题 3 C...3 + 自..."/>
    <w:basedOn w:val="208"/>
    <w:link w:val="206"/>
    <w:qFormat/>
    <w:uiPriority w:val="0"/>
    <w:rPr>
      <w:rFonts w:ascii="黑体"/>
      <w:color w:val="auto"/>
    </w:rPr>
  </w:style>
  <w:style w:type="paragraph" w:customStyle="1" w:styleId="208">
    <w:name w:val="样式 标题 3条标题头标题3H3h33rd level第二层条标题 3 Char小标题小节标题标题 3 C...3"/>
    <w:basedOn w:val="7"/>
    <w:next w:val="1"/>
    <w:qFormat/>
    <w:uiPriority w:val="0"/>
    <w:pPr>
      <w:widowControl w:val="0"/>
      <w:spacing w:line="720" w:lineRule="auto"/>
      <w:jc w:val="both"/>
    </w:pPr>
    <w:rPr>
      <w:bCs w:val="0"/>
      <w:color w:val="000000"/>
      <w:sz w:val="24"/>
      <w:szCs w:val="24"/>
    </w:rPr>
  </w:style>
  <w:style w:type="character" w:customStyle="1" w:styleId="209">
    <w:name w:val="yyp Char Char"/>
    <w:link w:val="210"/>
    <w:qFormat/>
    <w:uiPriority w:val="0"/>
    <w:rPr>
      <w:rFonts w:ascii="Times New Roman" w:hAnsi="Times New Roman"/>
      <w:sz w:val="24"/>
      <w:szCs w:val="24"/>
    </w:rPr>
  </w:style>
  <w:style w:type="paragraph" w:customStyle="1" w:styleId="210">
    <w:name w:val="yyp"/>
    <w:basedOn w:val="80"/>
    <w:link w:val="209"/>
    <w:qFormat/>
    <w:uiPriority w:val="0"/>
    <w:pPr>
      <w:widowControl w:val="0"/>
      <w:spacing w:line="360" w:lineRule="auto"/>
      <w:ind w:firstLine="480" w:firstLineChars="200"/>
    </w:pPr>
    <w:rPr>
      <w:rFonts w:ascii="Times New Roman" w:hAnsi="Times New Roman"/>
      <w:sz w:val="24"/>
      <w:szCs w:val="24"/>
    </w:rPr>
  </w:style>
  <w:style w:type="character" w:customStyle="1" w:styleId="211">
    <w:name w:val="Char Char22"/>
    <w:qFormat/>
    <w:uiPriority w:val="0"/>
    <w:rPr>
      <w:rFonts w:eastAsia="宋体"/>
      <w:kern w:val="2"/>
      <w:sz w:val="24"/>
      <w:szCs w:val="24"/>
      <w:lang w:val="en-US" w:eastAsia="zh-CN" w:bidi="ar-SA"/>
    </w:rPr>
  </w:style>
  <w:style w:type="character" w:customStyle="1" w:styleId="212">
    <w:name w:val="正文1 Char Char"/>
    <w:link w:val="213"/>
    <w:qFormat/>
    <w:uiPriority w:val="0"/>
    <w:rPr>
      <w:rFonts w:ascii="宋体" w:eastAsia="Times New Roman"/>
      <w:kern w:val="2"/>
      <w:sz w:val="24"/>
      <w:szCs w:val="22"/>
    </w:rPr>
  </w:style>
  <w:style w:type="paragraph" w:customStyle="1" w:styleId="213">
    <w:name w:val="正文12"/>
    <w:link w:val="212"/>
    <w:qFormat/>
    <w:uiPriority w:val="0"/>
    <w:pPr>
      <w:widowControl w:val="0"/>
      <w:adjustRightInd w:val="0"/>
      <w:spacing w:line="360" w:lineRule="atLeast"/>
      <w:textAlignment w:val="baseline"/>
    </w:pPr>
    <w:rPr>
      <w:rFonts w:ascii="宋体" w:hAnsi="Calibri" w:eastAsia="Times New Roman" w:cs="Times New Roman"/>
      <w:kern w:val="2"/>
      <w:sz w:val="24"/>
      <w:szCs w:val="22"/>
      <w:lang w:val="en-US" w:eastAsia="zh-CN" w:bidi="ar-SA"/>
    </w:rPr>
  </w:style>
  <w:style w:type="character" w:customStyle="1" w:styleId="214">
    <w:name w:val="正文11 Char Char Char Char Char"/>
    <w:qFormat/>
    <w:uiPriority w:val="0"/>
    <w:rPr>
      <w:rFonts w:ascii="宋体" w:hAnsi="宋体" w:eastAsia="宋体"/>
      <w:snapToGrid w:val="0"/>
      <w:sz w:val="24"/>
      <w:szCs w:val="24"/>
      <w:lang w:val="en-US" w:eastAsia="zh-CN" w:bidi="ar-SA"/>
    </w:rPr>
  </w:style>
  <w:style w:type="character" w:customStyle="1" w:styleId="215">
    <w:name w:val="表文字 Char1"/>
    <w:qFormat/>
    <w:locked/>
    <w:uiPriority w:val="0"/>
    <w:rPr>
      <w:szCs w:val="21"/>
      <w:lang w:val="en-US" w:eastAsia="zh-CN" w:bidi="ar-SA"/>
    </w:rPr>
  </w:style>
  <w:style w:type="character" w:customStyle="1" w:styleId="216">
    <w:name w:val="正文00 Char"/>
    <w:link w:val="217"/>
    <w:qFormat/>
    <w:uiPriority w:val="0"/>
    <w:rPr>
      <w:rFonts w:ascii="Times New Roman" w:hAnsi="Times New Roman" w:cs="宋体"/>
      <w:kern w:val="2"/>
      <w:sz w:val="24"/>
      <w:szCs w:val="24"/>
    </w:rPr>
  </w:style>
  <w:style w:type="paragraph" w:customStyle="1" w:styleId="217">
    <w:name w:val="正文00"/>
    <w:basedOn w:val="1"/>
    <w:next w:val="218"/>
    <w:link w:val="216"/>
    <w:qFormat/>
    <w:uiPriority w:val="0"/>
    <w:pPr>
      <w:widowControl w:val="0"/>
      <w:spacing w:line="360" w:lineRule="auto"/>
      <w:ind w:firstLine="480" w:firstLineChars="200"/>
    </w:pPr>
    <w:rPr>
      <w:rFonts w:ascii="Times New Roman" w:hAnsi="Times New Roman"/>
      <w:kern w:val="2"/>
    </w:rPr>
  </w:style>
  <w:style w:type="paragraph" w:customStyle="1" w:styleId="218">
    <w:name w:val="样式 Times New Roman 五号 居中1"/>
    <w:basedOn w:val="1"/>
    <w:qFormat/>
    <w:uiPriority w:val="0"/>
    <w:pPr>
      <w:widowControl w:val="0"/>
      <w:jc w:val="center"/>
    </w:pPr>
    <w:rPr>
      <w:rFonts w:ascii="Times New Roman" w:hAnsi="Times New Roman"/>
      <w:kern w:val="2"/>
      <w:sz w:val="21"/>
      <w:szCs w:val="20"/>
    </w:rPr>
  </w:style>
  <w:style w:type="character" w:customStyle="1" w:styleId="219">
    <w:name w:val="小小标题 Char Char"/>
    <w:link w:val="220"/>
    <w:qFormat/>
    <w:uiPriority w:val="0"/>
    <w:rPr>
      <w:rFonts w:ascii="仿宋_GB2312" w:hAnsi="Times New Roman" w:eastAsia="黑体"/>
      <w:b/>
      <w:sz w:val="24"/>
      <w:szCs w:val="32"/>
      <w:lang w:val="zh-CN"/>
    </w:rPr>
  </w:style>
  <w:style w:type="paragraph" w:customStyle="1" w:styleId="220">
    <w:name w:val="小小标题"/>
    <w:basedOn w:val="1"/>
    <w:link w:val="219"/>
    <w:qFormat/>
    <w:uiPriority w:val="0"/>
    <w:pPr>
      <w:topLinePunct/>
      <w:spacing w:line="360" w:lineRule="auto"/>
      <w:ind w:firstLine="482"/>
    </w:pPr>
    <w:rPr>
      <w:rFonts w:ascii="仿宋_GB2312" w:hAnsi="Times New Roman" w:eastAsia="黑体" w:cs="Times New Roman"/>
      <w:b/>
      <w:szCs w:val="32"/>
      <w:lang w:val="zh-CN"/>
    </w:rPr>
  </w:style>
  <w:style w:type="character" w:customStyle="1" w:styleId="221">
    <w:name w:val="sort"/>
    <w:basedOn w:val="85"/>
    <w:qFormat/>
    <w:uiPriority w:val="0"/>
  </w:style>
  <w:style w:type="character" w:customStyle="1" w:styleId="222">
    <w:name w:val="正文文本 (2) + 10 pt15"/>
    <w:qFormat/>
    <w:uiPriority w:val="99"/>
    <w:rPr>
      <w:rFonts w:ascii="MingLiU" w:eastAsia="MingLiU" w:cs="MingLiU"/>
      <w:sz w:val="20"/>
      <w:szCs w:val="20"/>
      <w:u w:val="none"/>
      <w:shd w:val="clear" w:color="auto" w:fill="FFFFFF"/>
    </w:rPr>
  </w:style>
  <w:style w:type="character" w:customStyle="1" w:styleId="223">
    <w:name w:val="bds_nopic1"/>
    <w:basedOn w:val="85"/>
    <w:qFormat/>
    <w:uiPriority w:val="0"/>
  </w:style>
  <w:style w:type="character" w:customStyle="1" w:styleId="224">
    <w:name w:val="纯文本2"/>
    <w:qFormat/>
    <w:uiPriority w:val="0"/>
    <w:rPr>
      <w:rFonts w:ascii="宋体" w:hAnsi="Courier New" w:eastAsia="宋体"/>
      <w:kern w:val="2"/>
      <w:sz w:val="21"/>
      <w:lang w:val="en-US" w:eastAsia="zh-CN" w:bidi="ar-SA"/>
    </w:rPr>
  </w:style>
  <w:style w:type="character" w:customStyle="1" w:styleId="225">
    <w:name w:val="正文首行缩进 2 Char"/>
    <w:link w:val="81"/>
    <w:qFormat/>
    <w:uiPriority w:val="0"/>
    <w:rPr>
      <w:rFonts w:ascii="仿宋_GB2312" w:hAnsi="Times New Roman" w:eastAsia="仿宋_GB2312"/>
      <w:sz w:val="28"/>
    </w:rPr>
  </w:style>
  <w:style w:type="character" w:customStyle="1" w:styleId="226">
    <w:name w:val="表格文字 Char Char"/>
    <w:link w:val="131"/>
    <w:qFormat/>
    <w:uiPriority w:val="0"/>
    <w:rPr>
      <w:spacing w:val="6"/>
      <w:sz w:val="24"/>
    </w:rPr>
  </w:style>
  <w:style w:type="character" w:customStyle="1" w:styleId="227">
    <w:name w:val="Char Char23"/>
    <w:qFormat/>
    <w:uiPriority w:val="0"/>
    <w:rPr>
      <w:sz w:val="18"/>
    </w:rPr>
  </w:style>
  <w:style w:type="character" w:customStyle="1" w:styleId="228">
    <w:name w:val="正文文字缩进 2 Char Char Char"/>
    <w:qFormat/>
    <w:uiPriority w:val="0"/>
    <w:rPr>
      <w:rFonts w:ascii="宋体" w:eastAsia="宋体"/>
      <w:kern w:val="2"/>
      <w:sz w:val="28"/>
      <w:lang w:val="en-US" w:eastAsia="zh-CN" w:bidi="ar-SA"/>
    </w:rPr>
  </w:style>
  <w:style w:type="character" w:customStyle="1" w:styleId="229">
    <w:name w:val="样式 样式 段前: 0.5 行 + 首行缩进:  2 字符 段前: 0.5 行 Char Char"/>
    <w:link w:val="230"/>
    <w:qFormat/>
    <w:uiPriority w:val="0"/>
    <w:rPr>
      <w:rFonts w:ascii="Times New Roman" w:hAnsi="Times New Roman"/>
      <w:color w:val="000000"/>
      <w:sz w:val="24"/>
    </w:rPr>
  </w:style>
  <w:style w:type="paragraph" w:customStyle="1" w:styleId="230">
    <w:name w:val="样式 样式 段前: 0.5 行 + 首行缩进:  2 字符 段前: 0.5 行"/>
    <w:basedOn w:val="1"/>
    <w:link w:val="229"/>
    <w:qFormat/>
    <w:uiPriority w:val="0"/>
    <w:pPr>
      <w:autoSpaceDE w:val="0"/>
      <w:autoSpaceDN w:val="0"/>
      <w:spacing w:beforeLines="50" w:line="360" w:lineRule="auto"/>
      <w:ind w:firstLine="480" w:firstLineChars="200"/>
      <w:jc w:val="both"/>
    </w:pPr>
    <w:rPr>
      <w:rFonts w:ascii="Times New Roman" w:hAnsi="Times New Roman" w:cs="Times New Roman"/>
      <w:color w:val="000000"/>
      <w:szCs w:val="20"/>
    </w:rPr>
  </w:style>
  <w:style w:type="character" w:customStyle="1" w:styleId="231">
    <w:name w:val="结束语 Char"/>
    <w:link w:val="30"/>
    <w:qFormat/>
    <w:uiPriority w:val="0"/>
    <w:rPr>
      <w:rFonts w:ascii="仿宋_GB2312" w:hAnsi="Times New Roman" w:eastAsia="仿宋_GB2312"/>
      <w:sz w:val="28"/>
    </w:rPr>
  </w:style>
  <w:style w:type="character" w:customStyle="1" w:styleId="232">
    <w:name w:val="图1-1 Char Char"/>
    <w:qFormat/>
    <w:uiPriority w:val="0"/>
    <w:rPr>
      <w:rFonts w:eastAsia="宋体"/>
      <w:b/>
      <w:spacing w:val="12"/>
      <w:w w:val="90"/>
      <w:kern w:val="2"/>
      <w:sz w:val="21"/>
      <w:szCs w:val="24"/>
      <w:lang w:val="en-US" w:eastAsia="zh-CN" w:bidi="ar-SA"/>
    </w:rPr>
  </w:style>
  <w:style w:type="character" w:customStyle="1" w:styleId="233">
    <w:name w:val="正文文本 (2) + 10 pt5"/>
    <w:qFormat/>
    <w:uiPriority w:val="99"/>
    <w:rPr>
      <w:rFonts w:ascii="MingLiU" w:eastAsia="MingLiU" w:cs="MingLiU"/>
      <w:spacing w:val="50"/>
      <w:sz w:val="20"/>
      <w:szCs w:val="20"/>
      <w:u w:val="none"/>
      <w:shd w:val="clear" w:color="auto" w:fill="FFFFFF"/>
    </w:rPr>
  </w:style>
  <w:style w:type="character" w:customStyle="1" w:styleId="234">
    <w:name w:val="电子邮件签名 Char1"/>
    <w:semiHidden/>
    <w:qFormat/>
    <w:uiPriority w:val="99"/>
    <w:rPr>
      <w:rFonts w:ascii="Calibri" w:hAnsi="Calibri" w:eastAsia="宋体" w:cs="Times New Roman"/>
    </w:rPr>
  </w:style>
  <w:style w:type="character" w:customStyle="1" w:styleId="235">
    <w:name w:val="标题 Char4"/>
    <w:qFormat/>
    <w:locked/>
    <w:uiPriority w:val="0"/>
    <w:rPr>
      <w:rFonts w:ascii="Arial" w:hAnsi="Arial"/>
      <w:b/>
      <w:sz w:val="32"/>
    </w:rPr>
  </w:style>
  <w:style w:type="character" w:customStyle="1" w:styleId="236">
    <w:name w:val="样式 表4.1 + 黑色 Char Char"/>
    <w:link w:val="237"/>
    <w:qFormat/>
    <w:uiPriority w:val="99"/>
    <w:rPr>
      <w:rFonts w:ascii="黑体" w:hAnsi="Times New Roman" w:eastAsia="黑体"/>
      <w:b/>
      <w:bCs/>
      <w:color w:val="000000"/>
      <w:kern w:val="2"/>
      <w:sz w:val="24"/>
      <w:szCs w:val="26"/>
    </w:rPr>
  </w:style>
  <w:style w:type="paragraph" w:customStyle="1" w:styleId="237">
    <w:name w:val="样式 表4.1 + 黑色"/>
    <w:basedOn w:val="1"/>
    <w:link w:val="236"/>
    <w:qFormat/>
    <w:uiPriority w:val="99"/>
    <w:pPr>
      <w:widowControl w:val="0"/>
      <w:tabs>
        <w:tab w:val="left" w:pos="726"/>
        <w:tab w:val="center" w:pos="4060"/>
        <w:tab w:val="right" w:pos="8261"/>
      </w:tabs>
      <w:suppressAutoHyphens/>
      <w:adjustRightInd w:val="0"/>
      <w:spacing w:before="240" w:line="0" w:lineRule="atLeast"/>
      <w:ind w:left="2" w:firstLine="4"/>
      <w:jc w:val="both"/>
    </w:pPr>
    <w:rPr>
      <w:rFonts w:ascii="黑体" w:hAnsi="Times New Roman" w:eastAsia="黑体" w:cs="Times New Roman"/>
      <w:b/>
      <w:bCs/>
      <w:color w:val="000000"/>
      <w:kern w:val="2"/>
      <w:szCs w:val="26"/>
    </w:rPr>
  </w:style>
  <w:style w:type="character" w:customStyle="1" w:styleId="238">
    <w:name w:val="正文文本 Char1"/>
    <w:link w:val="32"/>
    <w:qFormat/>
    <w:uiPriority w:val="0"/>
    <w:rPr>
      <w:color w:val="000000"/>
      <w:kern w:val="2"/>
      <w:sz w:val="24"/>
      <w:szCs w:val="22"/>
    </w:rPr>
  </w:style>
  <w:style w:type="character" w:customStyle="1" w:styleId="239">
    <w:name w:val="Char Char18"/>
    <w:qFormat/>
    <w:uiPriority w:val="0"/>
    <w:rPr>
      <w:rFonts w:eastAsia="宋体"/>
      <w:kern w:val="2"/>
      <w:sz w:val="24"/>
      <w:szCs w:val="24"/>
      <w:lang w:val="en-US" w:eastAsia="zh-CN" w:bidi="ar-SA"/>
    </w:rPr>
  </w:style>
  <w:style w:type="character" w:customStyle="1" w:styleId="240">
    <w:name w:val="description"/>
    <w:basedOn w:val="85"/>
    <w:qFormat/>
    <w:uiPriority w:val="0"/>
  </w:style>
  <w:style w:type="character" w:customStyle="1" w:styleId="241">
    <w:name w:val="Char Char28"/>
    <w:qFormat/>
    <w:uiPriority w:val="0"/>
    <w:rPr>
      <w:rFonts w:hint="default" w:ascii="Times New Roman" w:hAnsi="Times New Roman" w:eastAsia="黑体" w:cs="Times New Roman"/>
      <w:sz w:val="24"/>
      <w:szCs w:val="24"/>
    </w:rPr>
  </w:style>
  <w:style w:type="character" w:customStyle="1" w:styleId="242">
    <w:name w:val="样式 样式 方正宋三简体 14 磅 行距: 1.5 倍行距1 + 首行缩进:  2 字符 Char Char"/>
    <w:link w:val="243"/>
    <w:qFormat/>
    <w:uiPriority w:val="0"/>
    <w:rPr>
      <w:rFonts w:ascii="宋体" w:hAnsi="方正宋三简体"/>
      <w:sz w:val="27"/>
      <w:szCs w:val="27"/>
    </w:rPr>
  </w:style>
  <w:style w:type="paragraph" w:customStyle="1" w:styleId="243">
    <w:name w:val="样式 样式 方正宋三简体 14 磅 行距: 1.5 倍行距1 + 首行缩进:  2 字符"/>
    <w:basedOn w:val="1"/>
    <w:link w:val="242"/>
    <w:qFormat/>
    <w:uiPriority w:val="0"/>
    <w:pPr>
      <w:widowControl w:val="0"/>
      <w:ind w:firstLine="200" w:firstLineChars="200"/>
      <w:jc w:val="both"/>
    </w:pPr>
    <w:rPr>
      <w:rFonts w:hAnsi="方正宋三简体" w:cs="Times New Roman"/>
      <w:sz w:val="27"/>
      <w:szCs w:val="27"/>
    </w:rPr>
  </w:style>
  <w:style w:type="character" w:customStyle="1" w:styleId="244">
    <w:name w:val="Char Char25"/>
    <w:qFormat/>
    <w:uiPriority w:val="0"/>
    <w:rPr>
      <w:rFonts w:ascii="宋体" w:eastAsia="宋体"/>
      <w:color w:val="000000"/>
      <w:sz w:val="36"/>
      <w:lang w:val="en-US" w:eastAsia="zh-CN" w:bidi="ar-SA"/>
    </w:rPr>
  </w:style>
  <w:style w:type="character" w:customStyle="1" w:styleId="245">
    <w:name w:val="Char Char Char Char11"/>
    <w:qFormat/>
    <w:uiPriority w:val="0"/>
    <w:rPr>
      <w:rFonts w:hint="eastAsia" w:ascii="宋体" w:hAnsi="Courier New" w:eastAsia="宋体" w:cs="Courier New"/>
      <w:sz w:val="21"/>
      <w:szCs w:val="21"/>
      <w:lang w:val="en-US" w:eastAsia="zh-CN" w:bidi="ar-SA"/>
    </w:rPr>
  </w:style>
  <w:style w:type="character" w:customStyle="1" w:styleId="246">
    <w:name w:val="body text 1 Char Char Char"/>
    <w:link w:val="247"/>
    <w:qFormat/>
    <w:uiPriority w:val="0"/>
    <w:rPr>
      <w:rFonts w:ascii="Times New Roman" w:hAnsi="Times New Roman"/>
      <w:snapToGrid w:val="0"/>
      <w:kern w:val="2"/>
      <w:sz w:val="24"/>
      <w:szCs w:val="24"/>
    </w:rPr>
  </w:style>
  <w:style w:type="paragraph" w:customStyle="1" w:styleId="247">
    <w:name w:val="body text 1"/>
    <w:basedOn w:val="186"/>
    <w:link w:val="246"/>
    <w:qFormat/>
    <w:uiPriority w:val="0"/>
    <w:pPr>
      <w:tabs>
        <w:tab w:val="clear" w:pos="567"/>
      </w:tabs>
      <w:spacing w:line="360" w:lineRule="auto"/>
      <w:ind w:left="0" w:firstLine="475"/>
    </w:pPr>
    <w:rPr>
      <w:rFonts w:ascii="Times New Roman"/>
      <w:snapToGrid w:val="0"/>
      <w:szCs w:val="24"/>
    </w:rPr>
  </w:style>
  <w:style w:type="character" w:customStyle="1" w:styleId="248">
    <w:name w:val="bt Char1"/>
    <w:qFormat/>
    <w:uiPriority w:val="0"/>
    <w:rPr>
      <w:kern w:val="2"/>
      <w:sz w:val="21"/>
      <w:szCs w:val="22"/>
    </w:rPr>
  </w:style>
  <w:style w:type="character" w:customStyle="1" w:styleId="249">
    <w:name w:val="bds_more2"/>
    <w:basedOn w:val="85"/>
    <w:qFormat/>
    <w:uiPriority w:val="0"/>
  </w:style>
  <w:style w:type="character" w:customStyle="1" w:styleId="250">
    <w:name w:val="font191"/>
    <w:qFormat/>
    <w:uiPriority w:val="0"/>
    <w:rPr>
      <w:rFonts w:hint="default" w:ascii="Times New Roman" w:hAnsi="Times New Roman" w:cs="Times New Roman"/>
      <w:b/>
      <w:bCs/>
      <w:color w:val="000000"/>
      <w:sz w:val="22"/>
      <w:szCs w:val="22"/>
      <w:u w:val="none"/>
    </w:rPr>
  </w:style>
  <w:style w:type="character" w:customStyle="1" w:styleId="251">
    <w:name w:val="样式 德胜表格内容 + 紧缩量  0.6 磅 Char Char"/>
    <w:basedOn w:val="252"/>
    <w:link w:val="254"/>
    <w:qFormat/>
    <w:uiPriority w:val="0"/>
    <w:rPr>
      <w:snapToGrid w:val="0"/>
      <w:color w:val="0000FF"/>
      <w:szCs w:val="21"/>
    </w:rPr>
  </w:style>
  <w:style w:type="character" w:customStyle="1" w:styleId="252">
    <w:name w:val="德胜表格内容 Char Char"/>
    <w:link w:val="253"/>
    <w:qFormat/>
    <w:uiPriority w:val="0"/>
    <w:rPr>
      <w:snapToGrid w:val="0"/>
      <w:color w:val="0000FF"/>
      <w:szCs w:val="21"/>
    </w:rPr>
  </w:style>
  <w:style w:type="paragraph" w:customStyle="1" w:styleId="253">
    <w:name w:val="德胜表格内容"/>
    <w:basedOn w:val="1"/>
    <w:link w:val="252"/>
    <w:qFormat/>
    <w:uiPriority w:val="0"/>
    <w:pPr>
      <w:widowControl w:val="0"/>
      <w:adjustRightInd w:val="0"/>
      <w:snapToGrid w:val="0"/>
      <w:jc w:val="center"/>
    </w:pPr>
    <w:rPr>
      <w:rFonts w:ascii="Calibri" w:hAnsi="Calibri" w:cs="Times New Roman"/>
      <w:snapToGrid w:val="0"/>
      <w:color w:val="0000FF"/>
      <w:sz w:val="20"/>
      <w:szCs w:val="21"/>
    </w:rPr>
  </w:style>
  <w:style w:type="paragraph" w:customStyle="1" w:styleId="254">
    <w:name w:val="样式 德胜表格内容 + 紧缩量  0.6 磅"/>
    <w:basedOn w:val="253"/>
    <w:link w:val="251"/>
    <w:qFormat/>
    <w:uiPriority w:val="0"/>
  </w:style>
  <w:style w:type="character" w:customStyle="1" w:styleId="255">
    <w:name w:val="sidecatalog-index1"/>
    <w:qFormat/>
    <w:uiPriority w:val="0"/>
    <w:rPr>
      <w:rFonts w:ascii="Arial" w:hAnsi="Arial" w:cs="Arial"/>
      <w:b/>
      <w:color w:val="999999"/>
      <w:sz w:val="21"/>
      <w:szCs w:val="21"/>
    </w:rPr>
  </w:style>
  <w:style w:type="character" w:customStyle="1" w:styleId="256">
    <w:name w:val="【正文】 Char Char"/>
    <w:link w:val="109"/>
    <w:qFormat/>
    <w:uiPriority w:val="0"/>
    <w:rPr>
      <w:rFonts w:ascii="宋体" w:hAnsi="宋体"/>
      <w:sz w:val="24"/>
      <w:szCs w:val="24"/>
    </w:rPr>
  </w:style>
  <w:style w:type="character" w:customStyle="1" w:styleId="257">
    <w:name w:val="font-family:times"/>
    <w:basedOn w:val="85"/>
    <w:qFormat/>
    <w:uiPriority w:val="0"/>
  </w:style>
  <w:style w:type="character" w:customStyle="1" w:styleId="258">
    <w:name w:val="bds_more1"/>
    <w:basedOn w:val="85"/>
    <w:qFormat/>
    <w:uiPriority w:val="0"/>
  </w:style>
  <w:style w:type="character" w:customStyle="1" w:styleId="259">
    <w:name w:val="Table Head Char Char"/>
    <w:link w:val="260"/>
    <w:qFormat/>
    <w:uiPriority w:val="0"/>
    <w:rPr>
      <w:rFonts w:ascii="Arial" w:hAnsi="Arial" w:eastAsia="仿宋_GB2312"/>
      <w:b/>
      <w:sz w:val="18"/>
      <w:szCs w:val="24"/>
    </w:rPr>
  </w:style>
  <w:style w:type="paragraph" w:customStyle="1" w:styleId="260">
    <w:name w:val="Table Head"/>
    <w:basedOn w:val="1"/>
    <w:next w:val="1"/>
    <w:link w:val="259"/>
    <w:qFormat/>
    <w:uiPriority w:val="0"/>
    <w:pPr>
      <w:widowControl w:val="0"/>
      <w:spacing w:before="80" w:after="80"/>
      <w:jc w:val="center"/>
    </w:pPr>
    <w:rPr>
      <w:rFonts w:ascii="Arial" w:hAnsi="Arial" w:eastAsia="仿宋_GB2312" w:cs="Times New Roman"/>
      <w:b/>
      <w:sz w:val="18"/>
    </w:rPr>
  </w:style>
  <w:style w:type="character" w:customStyle="1" w:styleId="261">
    <w:name w:val="css-text3"/>
    <w:basedOn w:val="85"/>
    <w:qFormat/>
    <w:uiPriority w:val="0"/>
  </w:style>
  <w:style w:type="character" w:customStyle="1" w:styleId="262">
    <w:name w:val="正文11 Char Char1"/>
    <w:qFormat/>
    <w:uiPriority w:val="0"/>
    <w:rPr>
      <w:rFonts w:ascii="宋体" w:hAnsi="宋体" w:eastAsia="宋体"/>
      <w:snapToGrid w:val="0"/>
      <w:sz w:val="24"/>
      <w:szCs w:val="24"/>
      <w:lang w:val="en-US" w:eastAsia="zh-CN" w:bidi="ar-SA"/>
    </w:rPr>
  </w:style>
  <w:style w:type="character" w:customStyle="1" w:styleId="263">
    <w:name w:val="Normal Char Char"/>
    <w:link w:val="264"/>
    <w:qFormat/>
    <w:uiPriority w:val="0"/>
    <w:rPr>
      <w:rFonts w:ascii="宋体" w:hAnsi="Times New Roman"/>
      <w:kern w:val="2"/>
      <w:sz w:val="34"/>
      <w:szCs w:val="22"/>
    </w:rPr>
  </w:style>
  <w:style w:type="paragraph" w:customStyle="1" w:styleId="264">
    <w:name w:val="正文2"/>
    <w:link w:val="263"/>
    <w:qFormat/>
    <w:uiPriority w:val="0"/>
    <w:pPr>
      <w:widowControl w:val="0"/>
      <w:adjustRightInd w:val="0"/>
      <w:spacing w:line="360" w:lineRule="atLeast"/>
      <w:textAlignment w:val="baseline"/>
    </w:pPr>
    <w:rPr>
      <w:rFonts w:ascii="宋体" w:hAnsi="Times New Roman" w:eastAsia="宋体" w:cs="Times New Roman"/>
      <w:kern w:val="2"/>
      <w:sz w:val="34"/>
      <w:szCs w:val="22"/>
      <w:lang w:val="en-US" w:eastAsia="zh-CN" w:bidi="ar-SA"/>
    </w:rPr>
  </w:style>
  <w:style w:type="character" w:customStyle="1" w:styleId="265">
    <w:name w:val="Char Char131"/>
    <w:qFormat/>
    <w:uiPriority w:val="0"/>
    <w:rPr>
      <w:sz w:val="18"/>
      <w:szCs w:val="18"/>
    </w:rPr>
  </w:style>
  <w:style w:type="character" w:customStyle="1" w:styleId="266">
    <w:name w:val="标题 1 Char1 Char"/>
    <w:qFormat/>
    <w:uiPriority w:val="0"/>
    <w:rPr>
      <w:rFonts w:ascii="宋体" w:hAnsi="宋体"/>
      <w:b/>
      <w:kern w:val="44"/>
      <w:sz w:val="44"/>
      <w:szCs w:val="30"/>
    </w:rPr>
  </w:style>
  <w:style w:type="character" w:customStyle="1" w:styleId="267">
    <w:name w:val="表13.9 Char Char"/>
    <w:link w:val="268"/>
    <w:qFormat/>
    <w:uiPriority w:val="0"/>
    <w:rPr>
      <w:rFonts w:ascii="黑体" w:hAnsi="Times New Roman" w:eastAsia="黑体"/>
      <w:b/>
      <w:sz w:val="24"/>
      <w:szCs w:val="24"/>
    </w:rPr>
  </w:style>
  <w:style w:type="paragraph" w:customStyle="1" w:styleId="268">
    <w:name w:val="表13.9"/>
    <w:basedOn w:val="1"/>
    <w:link w:val="267"/>
    <w:qFormat/>
    <w:uiPriority w:val="0"/>
    <w:pPr>
      <w:widowControl w:val="0"/>
      <w:tabs>
        <w:tab w:val="left" w:pos="4080"/>
        <w:tab w:val="right" w:pos="8261"/>
      </w:tabs>
      <w:suppressAutoHyphens/>
      <w:adjustRightInd w:val="0"/>
      <w:spacing w:before="240" w:line="0" w:lineRule="atLeast"/>
      <w:ind w:left="3420" w:hanging="420"/>
      <w:jc w:val="both"/>
    </w:pPr>
    <w:rPr>
      <w:rFonts w:ascii="黑体" w:hAnsi="Times New Roman" w:eastAsia="黑体" w:cs="Times New Roman"/>
      <w:b/>
    </w:rPr>
  </w:style>
  <w:style w:type="character" w:customStyle="1" w:styleId="269">
    <w:name w:val="question-title2"/>
    <w:basedOn w:val="85"/>
    <w:qFormat/>
    <w:uiPriority w:val="0"/>
  </w:style>
  <w:style w:type="character" w:customStyle="1" w:styleId="270">
    <w:name w:val="表格内容1 Char"/>
    <w:qFormat/>
    <w:uiPriority w:val="0"/>
    <w:rPr>
      <w:rFonts w:ascii="仿宋" w:hAnsi="仿宋" w:eastAsia="仿宋"/>
      <w:kern w:val="2"/>
      <w:sz w:val="21"/>
      <w:szCs w:val="21"/>
    </w:rPr>
  </w:style>
  <w:style w:type="character" w:customStyle="1" w:styleId="271">
    <w:name w:val="Char Char19"/>
    <w:qFormat/>
    <w:uiPriority w:val="0"/>
    <w:rPr>
      <w:rFonts w:eastAsia="黑体"/>
      <w:kern w:val="2"/>
      <w:sz w:val="24"/>
      <w:szCs w:val="24"/>
      <w:lang w:val="en-US" w:eastAsia="zh-CN" w:bidi="ar-SA"/>
    </w:rPr>
  </w:style>
  <w:style w:type="character" w:customStyle="1" w:styleId="272">
    <w:name w:val="Char Char251"/>
    <w:qFormat/>
    <w:uiPriority w:val="0"/>
    <w:rPr>
      <w:rFonts w:ascii="宋体" w:eastAsia="宋体"/>
      <w:color w:val="000000"/>
      <w:sz w:val="36"/>
      <w:lang w:val="en-US" w:eastAsia="zh-CN" w:bidi="ar-SA"/>
    </w:rPr>
  </w:style>
  <w:style w:type="character" w:customStyle="1" w:styleId="273">
    <w:name w:val="批注框文本 Char Char"/>
    <w:qFormat/>
    <w:uiPriority w:val="0"/>
    <w:rPr>
      <w:rFonts w:ascii="Times New Roman" w:hAnsi="Times New Roman" w:eastAsia="宋体" w:cs="Times New Roman"/>
      <w:sz w:val="18"/>
      <w:szCs w:val="18"/>
    </w:rPr>
  </w:style>
  <w:style w:type="character" w:customStyle="1" w:styleId="274">
    <w:name w:val="正文文本缩进 Char"/>
    <w:qFormat/>
    <w:uiPriority w:val="0"/>
    <w:rPr>
      <w:rFonts w:ascii="Times New Roman" w:hAnsi="Times New Roman" w:eastAsia="宋体" w:cs="Times New Roman"/>
      <w:szCs w:val="24"/>
    </w:rPr>
  </w:style>
  <w:style w:type="character" w:customStyle="1" w:styleId="275">
    <w:name w:val="签名 Char1"/>
    <w:semiHidden/>
    <w:qFormat/>
    <w:uiPriority w:val="99"/>
    <w:rPr>
      <w:rFonts w:ascii="Calibri" w:hAnsi="Calibri" w:eastAsia="宋体" w:cs="Times New Roman"/>
    </w:rPr>
  </w:style>
  <w:style w:type="character" w:customStyle="1" w:styleId="276">
    <w:name w:val="表格 Char Char"/>
    <w:link w:val="125"/>
    <w:qFormat/>
    <w:locked/>
    <w:uiPriority w:val="0"/>
    <w:rPr>
      <w:rFonts w:cs="宋体"/>
      <w:color w:val="000000"/>
      <w:sz w:val="21"/>
      <w:szCs w:val="21"/>
    </w:rPr>
  </w:style>
  <w:style w:type="character" w:customStyle="1" w:styleId="277">
    <w:name w:val="标题3.5 Char Char"/>
    <w:link w:val="278"/>
    <w:qFormat/>
    <w:uiPriority w:val="0"/>
    <w:rPr>
      <w:rFonts w:ascii="仿宋_GB2312" w:hAnsi="Times New Roman" w:eastAsia="黑体"/>
      <w:b/>
      <w:sz w:val="28"/>
      <w:szCs w:val="32"/>
    </w:rPr>
  </w:style>
  <w:style w:type="paragraph" w:customStyle="1" w:styleId="278">
    <w:name w:val="标题3.5"/>
    <w:basedOn w:val="279"/>
    <w:next w:val="280"/>
    <w:link w:val="277"/>
    <w:qFormat/>
    <w:uiPriority w:val="0"/>
    <w:pPr>
      <w:spacing w:beforeLines="100"/>
    </w:pPr>
    <w:rPr>
      <w:rFonts w:hAnsi="Times New Roman"/>
    </w:rPr>
  </w:style>
  <w:style w:type="paragraph" w:customStyle="1" w:styleId="279">
    <w:name w:val="标题3"/>
    <w:basedOn w:val="1"/>
    <w:next w:val="1"/>
    <w:link w:val="504"/>
    <w:qFormat/>
    <w:uiPriority w:val="0"/>
    <w:pPr>
      <w:widowControl w:val="0"/>
      <w:topLinePunct/>
      <w:spacing w:line="360" w:lineRule="auto"/>
      <w:outlineLvl w:val="2"/>
    </w:pPr>
    <w:rPr>
      <w:rFonts w:ascii="仿宋_GB2312" w:hAnsi="Calibri" w:eastAsia="黑体" w:cs="Times New Roman"/>
      <w:b/>
      <w:sz w:val="28"/>
      <w:szCs w:val="32"/>
    </w:rPr>
  </w:style>
  <w:style w:type="paragraph" w:customStyle="1" w:styleId="280">
    <w:name w:val="环评正文"/>
    <w:basedOn w:val="1"/>
    <w:next w:val="1"/>
    <w:link w:val="709"/>
    <w:qFormat/>
    <w:uiPriority w:val="0"/>
    <w:pPr>
      <w:spacing w:line="360" w:lineRule="auto"/>
      <w:ind w:firstLine="200" w:firstLineChars="200"/>
    </w:pPr>
    <w:rPr>
      <w:rFonts w:ascii="仿宋_GB2312" w:hAnsi="Times New Roman" w:eastAsia="仿宋_GB2312"/>
      <w:sz w:val="28"/>
      <w:szCs w:val="20"/>
    </w:rPr>
  </w:style>
  <w:style w:type="character" w:customStyle="1" w:styleId="281">
    <w:name w:val="正文文本缩进 3 Char1"/>
    <w:qFormat/>
    <w:uiPriority w:val="0"/>
    <w:rPr>
      <w:rFonts w:ascii="Calibri" w:hAnsi="Calibri" w:eastAsia="宋体" w:cs="Times New Roman"/>
      <w:sz w:val="16"/>
      <w:szCs w:val="16"/>
    </w:rPr>
  </w:style>
  <w:style w:type="character" w:customStyle="1" w:styleId="282">
    <w:name w:val="标题 2 Char1"/>
    <w:link w:val="5"/>
    <w:qFormat/>
    <w:uiPriority w:val="0"/>
    <w:rPr>
      <w:rFonts w:eastAsia="黑体"/>
      <w:bCs/>
      <w:sz w:val="28"/>
      <w:szCs w:val="32"/>
    </w:rPr>
  </w:style>
  <w:style w:type="character" w:customStyle="1" w:styleId="283">
    <w:name w:val="span1"/>
    <w:basedOn w:val="85"/>
    <w:qFormat/>
    <w:uiPriority w:val="0"/>
  </w:style>
  <w:style w:type="character" w:customStyle="1" w:styleId="284">
    <w:name w:val="Char Char21"/>
    <w:qFormat/>
    <w:uiPriority w:val="0"/>
    <w:rPr>
      <w:rFonts w:eastAsia="宋体"/>
      <w:kern w:val="2"/>
      <w:sz w:val="21"/>
      <w:szCs w:val="24"/>
      <w:lang w:val="en-US" w:eastAsia="zh-CN" w:bidi="ar-SA"/>
    </w:rPr>
  </w:style>
  <w:style w:type="character" w:customStyle="1" w:styleId="285">
    <w:name w:val="表4.10 Char Char"/>
    <w:link w:val="286"/>
    <w:qFormat/>
    <w:uiPriority w:val="99"/>
    <w:rPr>
      <w:rFonts w:ascii="黑体" w:hAnsi="Times New Roman" w:eastAsia="黑体" w:cs="宋体"/>
      <w:b/>
      <w:bCs/>
      <w:color w:val="000000"/>
      <w:spacing w:val="6"/>
      <w:kern w:val="2"/>
      <w:sz w:val="24"/>
      <w:szCs w:val="24"/>
    </w:rPr>
  </w:style>
  <w:style w:type="paragraph" w:customStyle="1" w:styleId="286">
    <w:name w:val="表4.10"/>
    <w:basedOn w:val="1"/>
    <w:link w:val="285"/>
    <w:qFormat/>
    <w:uiPriority w:val="99"/>
    <w:pPr>
      <w:widowControl w:val="0"/>
      <w:tabs>
        <w:tab w:val="left" w:pos="726"/>
        <w:tab w:val="center" w:pos="4060"/>
        <w:tab w:val="right" w:pos="8261"/>
      </w:tabs>
      <w:suppressAutoHyphens/>
      <w:adjustRightInd w:val="0"/>
      <w:spacing w:beforeLines="100" w:line="0" w:lineRule="atLeast"/>
      <w:ind w:left="2" w:firstLine="4"/>
      <w:jc w:val="center"/>
    </w:pPr>
    <w:rPr>
      <w:rFonts w:ascii="黑体" w:hAnsi="Times New Roman" w:eastAsia="黑体"/>
      <w:b/>
      <w:bCs/>
      <w:color w:val="000000"/>
      <w:spacing w:val="6"/>
      <w:kern w:val="2"/>
    </w:rPr>
  </w:style>
  <w:style w:type="character" w:customStyle="1" w:styleId="287">
    <w:name w:val="样式 尾注引用"/>
    <w:qFormat/>
    <w:uiPriority w:val="0"/>
    <w:rPr>
      <w:rFonts w:ascii="Times New Roman" w:hAnsi="Times New Roman" w:eastAsia="宋体"/>
      <w:sz w:val="24"/>
      <w:szCs w:val="28"/>
      <w:vertAlign w:val="superscript"/>
    </w:rPr>
  </w:style>
  <w:style w:type="character" w:customStyle="1" w:styleId="288">
    <w:name w:val="表格备注 Char"/>
    <w:link w:val="289"/>
    <w:qFormat/>
    <w:uiPriority w:val="0"/>
    <w:rPr>
      <w:rFonts w:ascii="Times New Roman" w:hAnsi="Times New Roman" w:eastAsia="仿宋_GB2312"/>
    </w:rPr>
  </w:style>
  <w:style w:type="paragraph" w:customStyle="1" w:styleId="289">
    <w:name w:val="表格备注"/>
    <w:basedOn w:val="1"/>
    <w:link w:val="288"/>
    <w:qFormat/>
    <w:uiPriority w:val="0"/>
    <w:pPr>
      <w:widowControl w:val="0"/>
      <w:adjustRightInd w:val="0"/>
      <w:snapToGrid w:val="0"/>
      <w:ind w:firstLine="200" w:firstLineChars="200"/>
      <w:jc w:val="both"/>
    </w:pPr>
    <w:rPr>
      <w:rFonts w:ascii="Times New Roman" w:hAnsi="Times New Roman" w:eastAsia="仿宋_GB2312" w:cs="Times New Roman"/>
      <w:sz w:val="20"/>
      <w:szCs w:val="20"/>
    </w:rPr>
  </w:style>
  <w:style w:type="character" w:customStyle="1" w:styleId="290">
    <w:name w:val="表题 Char1"/>
    <w:link w:val="291"/>
    <w:qFormat/>
    <w:uiPriority w:val="0"/>
    <w:rPr>
      <w:rFonts w:ascii="仿宋_GB2312" w:hAnsi="Times New Roman"/>
      <w:b/>
      <w:sz w:val="24"/>
      <w:szCs w:val="28"/>
    </w:rPr>
  </w:style>
  <w:style w:type="paragraph" w:customStyle="1" w:styleId="291">
    <w:name w:val="表题"/>
    <w:basedOn w:val="1"/>
    <w:link w:val="290"/>
    <w:qFormat/>
    <w:uiPriority w:val="0"/>
    <w:pPr>
      <w:widowControl w:val="0"/>
      <w:tabs>
        <w:tab w:val="left" w:pos="0"/>
      </w:tabs>
      <w:spacing w:line="300" w:lineRule="exact"/>
      <w:ind w:firstLine="300" w:firstLineChars="300"/>
      <w:jc w:val="both"/>
    </w:pPr>
    <w:rPr>
      <w:rFonts w:ascii="仿宋_GB2312" w:hAnsi="Times New Roman" w:cs="Times New Roman"/>
      <w:b/>
      <w:szCs w:val="28"/>
    </w:rPr>
  </w:style>
  <w:style w:type="character" w:customStyle="1" w:styleId="292">
    <w:name w:val="Char Char2"/>
    <w:qFormat/>
    <w:uiPriority w:val="0"/>
    <w:rPr>
      <w:rFonts w:hint="eastAsia" w:ascii="宋体" w:hAnsi="宋体" w:eastAsia="宋体"/>
      <w:kern w:val="2"/>
      <w:sz w:val="36"/>
      <w:lang w:val="en-US" w:eastAsia="zh-CN" w:bidi="ar-SA"/>
    </w:rPr>
  </w:style>
  <w:style w:type="character" w:customStyle="1" w:styleId="293">
    <w:name w:val="正文 + 首行缩进:  2 字符 Char Char"/>
    <w:qFormat/>
    <w:uiPriority w:val="0"/>
    <w:rPr>
      <w:rFonts w:eastAsia="宋体"/>
      <w:spacing w:val="12"/>
      <w:kern w:val="2"/>
      <w:sz w:val="24"/>
      <w:lang w:val="en-US" w:eastAsia="zh-CN" w:bidi="ar-SA"/>
    </w:rPr>
  </w:style>
  <w:style w:type="character" w:customStyle="1" w:styleId="294">
    <w:name w:val="style131"/>
    <w:qFormat/>
    <w:uiPriority w:val="0"/>
    <w:rPr>
      <w:rFonts w:hint="default" w:ascii="Arial" w:hAnsi="Arial" w:cs="Arial"/>
      <w:sz w:val="18"/>
      <w:szCs w:val="18"/>
    </w:rPr>
  </w:style>
  <w:style w:type="character" w:customStyle="1" w:styleId="295">
    <w:name w:val="bgbt Char Char"/>
    <w:link w:val="296"/>
    <w:semiHidden/>
    <w:qFormat/>
    <w:uiPriority w:val="0"/>
    <w:rPr>
      <w:rFonts w:ascii="黑体" w:hAnsi="Times New Roman" w:eastAsia="黑体"/>
      <w:sz w:val="24"/>
    </w:rPr>
  </w:style>
  <w:style w:type="paragraph" w:customStyle="1" w:styleId="296">
    <w:name w:val="bgbt"/>
    <w:basedOn w:val="1"/>
    <w:link w:val="295"/>
    <w:semiHidden/>
    <w:qFormat/>
    <w:uiPriority w:val="0"/>
    <w:pPr>
      <w:widowControl w:val="0"/>
      <w:jc w:val="center"/>
    </w:pPr>
    <w:rPr>
      <w:rFonts w:ascii="黑体" w:hAnsi="Times New Roman" w:eastAsia="黑体" w:cs="Times New Roman"/>
      <w:szCs w:val="20"/>
    </w:rPr>
  </w:style>
  <w:style w:type="character" w:customStyle="1" w:styleId="297">
    <w:name w:val="st"/>
    <w:basedOn w:val="85"/>
    <w:qFormat/>
    <w:uiPriority w:val="0"/>
  </w:style>
  <w:style w:type="character" w:customStyle="1" w:styleId="298">
    <w:name w:val="标题1.1.1.1.1 Char"/>
    <w:qFormat/>
    <w:uiPriority w:val="0"/>
    <w:rPr>
      <w:b/>
      <w:bCs/>
      <w:kern w:val="2"/>
      <w:sz w:val="28"/>
      <w:szCs w:val="28"/>
    </w:rPr>
  </w:style>
  <w:style w:type="character" w:customStyle="1" w:styleId="299">
    <w:name w:val="表格文字 Char Char Char"/>
    <w:qFormat/>
    <w:uiPriority w:val="0"/>
    <w:rPr>
      <w:rFonts w:eastAsia="宋体"/>
      <w:kern w:val="2"/>
      <w:sz w:val="21"/>
      <w:lang w:val="en-US" w:eastAsia="zh-CN" w:bidi="ar-SA"/>
    </w:rPr>
  </w:style>
  <w:style w:type="character" w:customStyle="1" w:styleId="300">
    <w:name w:val="11 Char Char"/>
    <w:link w:val="301"/>
    <w:qFormat/>
    <w:uiPriority w:val="0"/>
    <w:rPr>
      <w:rFonts w:ascii="仿宋_GB2312" w:hAnsi="Times New Roman" w:eastAsia="仿宋_GB2312"/>
      <w:color w:val="0000FF"/>
      <w:sz w:val="24"/>
      <w:szCs w:val="24"/>
      <w:lang w:val="en-US" w:eastAsia="zh-CN"/>
    </w:rPr>
  </w:style>
  <w:style w:type="paragraph" w:customStyle="1" w:styleId="301">
    <w:name w:val="11"/>
    <w:basedOn w:val="32"/>
    <w:link w:val="300"/>
    <w:qFormat/>
    <w:uiPriority w:val="0"/>
    <w:pPr>
      <w:widowControl w:val="0"/>
      <w:autoSpaceDE w:val="0"/>
      <w:autoSpaceDN w:val="0"/>
      <w:adjustRightInd w:val="0"/>
      <w:spacing w:line="360" w:lineRule="auto"/>
      <w:ind w:firstLine="480" w:firstLineChars="200"/>
      <w:textAlignment w:val="baseline"/>
    </w:pPr>
    <w:rPr>
      <w:rFonts w:ascii="仿宋_GB2312" w:hAnsi="Times New Roman" w:eastAsia="仿宋_GB2312"/>
      <w:color w:val="0000FF"/>
      <w:kern w:val="0"/>
      <w:szCs w:val="24"/>
    </w:rPr>
  </w:style>
  <w:style w:type="character" w:customStyle="1" w:styleId="302">
    <w:name w:val="Char21"/>
    <w:qFormat/>
    <w:uiPriority w:val="0"/>
    <w:rPr>
      <w:rFonts w:hint="eastAsia" w:ascii="宋体" w:hAnsi="宋体" w:eastAsia="宋体"/>
      <w:b/>
      <w:bCs/>
      <w:kern w:val="44"/>
      <w:sz w:val="44"/>
      <w:szCs w:val="44"/>
      <w:lang w:val="en-US" w:eastAsia="zh-CN" w:bidi="ar-SA"/>
    </w:rPr>
  </w:style>
  <w:style w:type="character" w:customStyle="1" w:styleId="303">
    <w:name w:val="样式 首行缩进:  2 字符 Char Char"/>
    <w:link w:val="304"/>
    <w:qFormat/>
    <w:uiPriority w:val="0"/>
    <w:rPr>
      <w:rFonts w:ascii="宋体" w:cs="宋体"/>
      <w:sz w:val="28"/>
      <w:szCs w:val="28"/>
    </w:rPr>
  </w:style>
  <w:style w:type="paragraph" w:customStyle="1" w:styleId="304">
    <w:name w:val="样式 首行缩进:  2 字符"/>
    <w:basedOn w:val="1"/>
    <w:link w:val="303"/>
    <w:qFormat/>
    <w:uiPriority w:val="0"/>
    <w:pPr>
      <w:widowControl w:val="0"/>
      <w:spacing w:line="440" w:lineRule="exact"/>
      <w:ind w:firstLine="200" w:firstLineChars="200"/>
      <w:jc w:val="both"/>
    </w:pPr>
    <w:rPr>
      <w:rFonts w:hAnsi="Calibri"/>
      <w:sz w:val="28"/>
      <w:szCs w:val="28"/>
    </w:rPr>
  </w:style>
  <w:style w:type="character" w:customStyle="1" w:styleId="305">
    <w:name w:val="签名 Char"/>
    <w:link w:val="56"/>
    <w:qFormat/>
    <w:uiPriority w:val="0"/>
    <w:rPr>
      <w:rFonts w:ascii="仿宋_GB2312" w:hAnsi="Times New Roman" w:eastAsia="仿宋_GB2312"/>
      <w:sz w:val="28"/>
    </w:rPr>
  </w:style>
  <w:style w:type="character" w:customStyle="1" w:styleId="306">
    <w:name w:val="标题 3 Char"/>
    <w:qFormat/>
    <w:uiPriority w:val="9"/>
    <w:rPr>
      <w:rFonts w:ascii="Calibri" w:hAnsi="Calibri" w:eastAsia="宋体" w:cs="Times New Roman"/>
      <w:b/>
      <w:bCs/>
      <w:sz w:val="32"/>
      <w:szCs w:val="32"/>
    </w:rPr>
  </w:style>
  <w:style w:type="character" w:customStyle="1" w:styleId="307">
    <w:name w:val="款 Char Char"/>
    <w:qFormat/>
    <w:uiPriority w:val="0"/>
    <w:rPr>
      <w:rFonts w:ascii="Arial" w:hAnsi="Arial" w:eastAsia="宋体" w:cs="Times New Roman"/>
      <w:b/>
      <w:bCs/>
      <w:sz w:val="24"/>
      <w:szCs w:val="28"/>
    </w:rPr>
  </w:style>
  <w:style w:type="character" w:customStyle="1" w:styleId="308">
    <w:name w:val="批注框文本 Char1"/>
    <w:semiHidden/>
    <w:qFormat/>
    <w:uiPriority w:val="99"/>
    <w:rPr>
      <w:rFonts w:ascii="Calibri" w:hAnsi="Calibri" w:eastAsia="宋体" w:cs="Times New Roman"/>
      <w:sz w:val="18"/>
      <w:szCs w:val="18"/>
    </w:rPr>
  </w:style>
  <w:style w:type="character" w:customStyle="1" w:styleId="309">
    <w:name w:val="赵一级标题 Char Char"/>
    <w:link w:val="310"/>
    <w:qFormat/>
    <w:uiPriority w:val="0"/>
    <w:rPr>
      <w:b/>
      <w:bCs/>
      <w:kern w:val="2"/>
      <w:sz w:val="24"/>
      <w:szCs w:val="24"/>
    </w:rPr>
  </w:style>
  <w:style w:type="paragraph" w:customStyle="1" w:styleId="310">
    <w:name w:val="赵一级标题"/>
    <w:basedOn w:val="1"/>
    <w:link w:val="309"/>
    <w:qFormat/>
    <w:uiPriority w:val="0"/>
    <w:pPr>
      <w:widowControl w:val="0"/>
      <w:jc w:val="both"/>
    </w:pPr>
    <w:rPr>
      <w:rFonts w:ascii="Calibri" w:hAnsi="Calibri" w:cs="Times New Roman"/>
      <w:b/>
      <w:bCs/>
      <w:kern w:val="2"/>
    </w:rPr>
  </w:style>
  <w:style w:type="character" w:customStyle="1" w:styleId="311">
    <w:name w:val="标题 4 Char1"/>
    <w:link w:val="8"/>
    <w:qFormat/>
    <w:uiPriority w:val="9"/>
    <w:rPr>
      <w:rFonts w:ascii="Times New Roman" w:hAnsi="Times New Roman" w:cs="宋体"/>
      <w:sz w:val="24"/>
      <w:lang w:val="zh-CN"/>
    </w:rPr>
  </w:style>
  <w:style w:type="character" w:customStyle="1" w:styleId="312">
    <w:name w:val="BG Char Char"/>
    <w:link w:val="313"/>
    <w:semiHidden/>
    <w:qFormat/>
    <w:uiPriority w:val="0"/>
    <w:rPr>
      <w:rFonts w:ascii="Times New Roman" w:hAnsi="Times New Roman"/>
    </w:rPr>
  </w:style>
  <w:style w:type="paragraph" w:customStyle="1" w:styleId="313">
    <w:name w:val="BG"/>
    <w:basedOn w:val="1"/>
    <w:link w:val="312"/>
    <w:semiHidden/>
    <w:qFormat/>
    <w:uiPriority w:val="0"/>
    <w:pPr>
      <w:widowControl w:val="0"/>
      <w:adjustRightInd w:val="0"/>
      <w:snapToGrid w:val="0"/>
      <w:jc w:val="center"/>
    </w:pPr>
    <w:rPr>
      <w:rFonts w:ascii="Times New Roman" w:hAnsi="Times New Roman" w:cs="Times New Roman"/>
      <w:sz w:val="20"/>
      <w:szCs w:val="20"/>
    </w:rPr>
  </w:style>
  <w:style w:type="character" w:customStyle="1" w:styleId="314">
    <w:name w:val="grame"/>
    <w:basedOn w:val="85"/>
    <w:qFormat/>
    <w:uiPriority w:val="0"/>
  </w:style>
  <w:style w:type="character" w:customStyle="1" w:styleId="315">
    <w:name w:val="Char Char181"/>
    <w:qFormat/>
    <w:uiPriority w:val="0"/>
    <w:rPr>
      <w:rFonts w:eastAsia="宋体"/>
      <w:kern w:val="2"/>
      <w:sz w:val="24"/>
      <w:szCs w:val="24"/>
      <w:lang w:val="en-US" w:eastAsia="zh-CN" w:bidi="ar-SA"/>
    </w:rPr>
  </w:style>
  <w:style w:type="character" w:customStyle="1" w:styleId="316">
    <w:name w:val="正文1 Char Char Char"/>
    <w:qFormat/>
    <w:locked/>
    <w:uiPriority w:val="0"/>
    <w:rPr>
      <w:rFonts w:ascii="仿宋_GB2312" w:hAnsi="Times New Roman" w:eastAsia="仿宋_GB2312"/>
      <w:kern w:val="2"/>
      <w:sz w:val="28"/>
      <w:szCs w:val="28"/>
    </w:rPr>
  </w:style>
  <w:style w:type="character" w:customStyle="1" w:styleId="317">
    <w:name w:val="1.1.1标题 3 Char"/>
    <w:qFormat/>
    <w:uiPriority w:val="0"/>
    <w:rPr>
      <w:rFonts w:eastAsia="宋体"/>
      <w:spacing w:val="8"/>
      <w:kern w:val="2"/>
      <w:sz w:val="24"/>
      <w:lang w:bidi="ar-SA"/>
    </w:rPr>
  </w:style>
  <w:style w:type="character" w:customStyle="1" w:styleId="318">
    <w:name w:val="环评正文2 Char Char"/>
    <w:link w:val="319"/>
    <w:qFormat/>
    <w:uiPriority w:val="0"/>
    <w:rPr>
      <w:rFonts w:ascii="宋体" w:hAnsi="宋体" w:eastAsia="仿宋_GB2312"/>
      <w:color w:val="000000"/>
      <w:kern w:val="16"/>
      <w:sz w:val="24"/>
      <w:szCs w:val="24"/>
    </w:rPr>
  </w:style>
  <w:style w:type="paragraph" w:customStyle="1" w:styleId="319">
    <w:name w:val="环评正文2"/>
    <w:basedOn w:val="1"/>
    <w:link w:val="318"/>
    <w:qFormat/>
    <w:uiPriority w:val="0"/>
    <w:pPr>
      <w:widowControl w:val="0"/>
      <w:spacing w:line="360" w:lineRule="auto"/>
      <w:ind w:firstLine="200" w:firstLineChars="200"/>
      <w:jc w:val="both"/>
    </w:pPr>
    <w:rPr>
      <w:rFonts w:eastAsia="仿宋_GB2312" w:cs="Times New Roman"/>
      <w:color w:val="000000"/>
      <w:kern w:val="16"/>
    </w:rPr>
  </w:style>
  <w:style w:type="character" w:customStyle="1" w:styleId="320">
    <w:name w:val="注释标题 Char"/>
    <w:link w:val="18"/>
    <w:qFormat/>
    <w:uiPriority w:val="0"/>
    <w:rPr>
      <w:rFonts w:ascii="Times New Roman" w:hAnsi="Times New Roman"/>
    </w:rPr>
  </w:style>
  <w:style w:type="character" w:customStyle="1" w:styleId="321">
    <w:name w:val="content"/>
    <w:basedOn w:val="85"/>
    <w:qFormat/>
    <w:uiPriority w:val="0"/>
  </w:style>
  <w:style w:type="character" w:customStyle="1" w:styleId="322">
    <w:name w:val="图表标题 Char"/>
    <w:qFormat/>
    <w:uiPriority w:val="0"/>
    <w:rPr>
      <w:rFonts w:ascii="Times New Roman" w:hAnsi="Times New Roman" w:eastAsia="仿宋_GB2312" w:cs="Times New Roman"/>
      <w:color w:val="000000"/>
      <w:kern w:val="0"/>
      <w:sz w:val="24"/>
      <w:szCs w:val="21"/>
    </w:rPr>
  </w:style>
  <w:style w:type="character" w:customStyle="1" w:styleId="323">
    <w:name w:val="123YJ Char"/>
    <w:qFormat/>
    <w:uiPriority w:val="0"/>
    <w:rPr>
      <w:rFonts w:eastAsia="宋体"/>
      <w:kern w:val="2"/>
      <w:sz w:val="18"/>
      <w:szCs w:val="18"/>
      <w:lang w:val="en-US" w:eastAsia="zh-CN" w:bidi="ar-SA"/>
    </w:rPr>
  </w:style>
  <w:style w:type="character" w:customStyle="1" w:styleId="324">
    <w:name w:val="表格-题注（OPCC宋体） Char Char"/>
    <w:link w:val="325"/>
    <w:qFormat/>
    <w:uiPriority w:val="0"/>
    <w:rPr>
      <w:rFonts w:ascii="楷体_GB2312" w:hAnsi="Times New Roman" w:eastAsia="楷体_GB2312" w:cs="宋体"/>
      <w:snapToGrid w:val="0"/>
      <w:szCs w:val="21"/>
    </w:rPr>
  </w:style>
  <w:style w:type="paragraph" w:customStyle="1" w:styleId="325">
    <w:name w:val="表格-题注（OPCC宋体）"/>
    <w:basedOn w:val="1"/>
    <w:link w:val="324"/>
    <w:qFormat/>
    <w:uiPriority w:val="0"/>
    <w:pPr>
      <w:widowControl w:val="0"/>
      <w:spacing w:line="336" w:lineRule="auto"/>
      <w:ind w:firstLine="420" w:firstLineChars="200"/>
      <w:jc w:val="center"/>
    </w:pPr>
    <w:rPr>
      <w:rFonts w:ascii="楷体_GB2312" w:hAnsi="Times New Roman" w:eastAsia="楷体_GB2312"/>
      <w:snapToGrid w:val="0"/>
      <w:sz w:val="20"/>
      <w:szCs w:val="21"/>
    </w:rPr>
  </w:style>
  <w:style w:type="character" w:customStyle="1" w:styleId="326">
    <w:name w:val="font31"/>
    <w:qFormat/>
    <w:uiPriority w:val="0"/>
    <w:rPr>
      <w:rFonts w:hint="default" w:ascii="ˎ̥" w:hAnsi="ˎ̥"/>
      <w:color w:val="000000"/>
      <w:sz w:val="36"/>
      <w:u w:val="none"/>
    </w:rPr>
  </w:style>
  <w:style w:type="character" w:customStyle="1" w:styleId="327">
    <w:name w:val="表内字 Char Char"/>
    <w:link w:val="328"/>
    <w:qFormat/>
    <w:uiPriority w:val="0"/>
    <w:rPr>
      <w:rFonts w:ascii="Times New Roman" w:hAnsi="Times New Roman"/>
      <w:color w:val="000000"/>
      <w:kern w:val="2"/>
      <w:sz w:val="21"/>
      <w:szCs w:val="22"/>
    </w:rPr>
  </w:style>
  <w:style w:type="paragraph" w:customStyle="1" w:styleId="328">
    <w:name w:val="表内字"/>
    <w:link w:val="327"/>
    <w:qFormat/>
    <w:uiPriority w:val="0"/>
    <w:pPr>
      <w:spacing w:line="312" w:lineRule="auto"/>
      <w:jc w:val="center"/>
    </w:pPr>
    <w:rPr>
      <w:rFonts w:ascii="Times New Roman" w:hAnsi="Times New Roman" w:eastAsia="宋体" w:cs="Times New Roman"/>
      <w:color w:val="000000"/>
      <w:kern w:val="2"/>
      <w:sz w:val="21"/>
      <w:szCs w:val="22"/>
      <w:lang w:val="en-US" w:eastAsia="zh-CN" w:bidi="ar-SA"/>
    </w:rPr>
  </w:style>
  <w:style w:type="character" w:customStyle="1" w:styleId="329">
    <w:name w:val="st1"/>
    <w:basedOn w:val="85"/>
    <w:qFormat/>
    <w:uiPriority w:val="0"/>
  </w:style>
  <w:style w:type="character" w:customStyle="1" w:styleId="330">
    <w:name w:val="apple-style-span"/>
    <w:basedOn w:val="85"/>
    <w:qFormat/>
    <w:uiPriority w:val="0"/>
  </w:style>
  <w:style w:type="character" w:customStyle="1" w:styleId="331">
    <w:name w:val="样式 正文首行缩进 + 隶书 Char Char"/>
    <w:link w:val="332"/>
    <w:qFormat/>
    <w:uiPriority w:val="0"/>
    <w:rPr>
      <w:rFonts w:ascii="宋体" w:hAnsi="隶书"/>
      <w:color w:val="000000"/>
      <w:sz w:val="24"/>
      <w:szCs w:val="24"/>
    </w:rPr>
  </w:style>
  <w:style w:type="paragraph" w:customStyle="1" w:styleId="332">
    <w:name w:val="样式 正文首行缩进 + 隶书"/>
    <w:basedOn w:val="32"/>
    <w:link w:val="331"/>
    <w:qFormat/>
    <w:uiPriority w:val="0"/>
    <w:pPr>
      <w:widowControl w:val="0"/>
      <w:spacing w:after="120"/>
      <w:jc w:val="both"/>
    </w:pPr>
    <w:rPr>
      <w:rFonts w:ascii="宋体" w:hAnsi="隶书"/>
      <w:kern w:val="0"/>
      <w:szCs w:val="24"/>
    </w:rPr>
  </w:style>
  <w:style w:type="character" w:customStyle="1" w:styleId="333">
    <w:name w:val="Char Char151"/>
    <w:qFormat/>
    <w:uiPriority w:val="0"/>
    <w:rPr>
      <w:kern w:val="2"/>
      <w:sz w:val="24"/>
      <w:lang w:bidi="ar-SA"/>
    </w:rPr>
  </w:style>
  <w:style w:type="character" w:customStyle="1" w:styleId="334">
    <w:name w:val="正文文本缩进 3 Char Char"/>
    <w:qFormat/>
    <w:uiPriority w:val="0"/>
    <w:rPr>
      <w:rFonts w:ascii="Times New Roman" w:hAnsi="Times New Roman" w:eastAsia="宋体" w:cs="Times New Roman"/>
      <w:sz w:val="24"/>
      <w:szCs w:val="20"/>
    </w:rPr>
  </w:style>
  <w:style w:type="character" w:customStyle="1" w:styleId="335">
    <w:name w:val="报告正文-连续目录 Char Char"/>
    <w:link w:val="336"/>
    <w:qFormat/>
    <w:uiPriority w:val="0"/>
    <w:rPr>
      <w:rFonts w:ascii="Arial" w:hAnsi="Arial"/>
      <w:snapToGrid w:val="0"/>
      <w:sz w:val="24"/>
      <w:szCs w:val="24"/>
    </w:rPr>
  </w:style>
  <w:style w:type="paragraph" w:customStyle="1" w:styleId="336">
    <w:name w:val="报告正文-连续目录"/>
    <w:basedOn w:val="1"/>
    <w:link w:val="335"/>
    <w:qFormat/>
    <w:uiPriority w:val="0"/>
    <w:pPr>
      <w:widowControl w:val="0"/>
      <w:spacing w:line="440" w:lineRule="exact"/>
      <w:ind w:firstLine="200" w:firstLineChars="200"/>
      <w:jc w:val="both"/>
    </w:pPr>
    <w:rPr>
      <w:rFonts w:ascii="Arial" w:hAnsi="Arial" w:cs="Times New Roman"/>
      <w:snapToGrid w:val="0"/>
    </w:rPr>
  </w:style>
  <w:style w:type="character" w:customStyle="1" w:styleId="337">
    <w:name w:val="font41"/>
    <w:qFormat/>
    <w:uiPriority w:val="0"/>
    <w:rPr>
      <w:rFonts w:hint="default" w:ascii="Times New Roman" w:hAnsi="Times New Roman" w:cs="Times New Roman"/>
      <w:color w:val="000000"/>
      <w:sz w:val="21"/>
      <w:szCs w:val="21"/>
      <w:u w:val="none"/>
      <w:vertAlign w:val="superscript"/>
    </w:rPr>
  </w:style>
  <w:style w:type="character" w:customStyle="1" w:styleId="338">
    <w:name w:val="正文文本缩进 2 Char1"/>
    <w:semiHidden/>
    <w:qFormat/>
    <w:uiPriority w:val="0"/>
    <w:rPr>
      <w:rFonts w:ascii="Times New Roman" w:hAnsi="Times New Roman" w:eastAsia="宋体" w:cs="Times New Roman"/>
      <w:szCs w:val="24"/>
    </w:rPr>
  </w:style>
  <w:style w:type="character" w:customStyle="1" w:styleId="339">
    <w:name w:val="font-family:宋体"/>
    <w:basedOn w:val="85"/>
    <w:qFormat/>
    <w:uiPriority w:val="0"/>
  </w:style>
  <w:style w:type="character" w:customStyle="1" w:styleId="340">
    <w:name w:val="称呼 Char1"/>
    <w:semiHidden/>
    <w:qFormat/>
    <w:uiPriority w:val="99"/>
    <w:rPr>
      <w:rFonts w:ascii="Calibri" w:hAnsi="Calibri" w:eastAsia="宋体" w:cs="Times New Roman"/>
    </w:rPr>
  </w:style>
  <w:style w:type="character" w:customStyle="1" w:styleId="341">
    <w:name w:val="表格1 Char Char"/>
    <w:qFormat/>
    <w:uiPriority w:val="0"/>
    <w:rPr>
      <w:rFonts w:ascii="宋体" w:hAnsi="宋体" w:eastAsia="宋体"/>
      <w:snapToGrid w:val="0"/>
      <w:sz w:val="24"/>
      <w:szCs w:val="28"/>
      <w:lang w:bidi="ar-SA"/>
    </w:rPr>
  </w:style>
  <w:style w:type="character" w:customStyle="1" w:styleId="342">
    <w:name w:val="表格小四 Char Char"/>
    <w:link w:val="343"/>
    <w:qFormat/>
    <w:uiPriority w:val="0"/>
    <w:rPr>
      <w:rFonts w:ascii="宋体" w:hAnsi="宋体"/>
      <w:snapToGrid w:val="0"/>
      <w:sz w:val="24"/>
      <w:szCs w:val="28"/>
    </w:rPr>
  </w:style>
  <w:style w:type="paragraph" w:customStyle="1" w:styleId="343">
    <w:name w:val="表格小四"/>
    <w:basedOn w:val="1"/>
    <w:link w:val="342"/>
    <w:qFormat/>
    <w:uiPriority w:val="0"/>
    <w:pPr>
      <w:widowControl w:val="0"/>
      <w:adjustRightInd w:val="0"/>
      <w:snapToGrid w:val="0"/>
      <w:jc w:val="center"/>
    </w:pPr>
    <w:rPr>
      <w:rFonts w:cs="Times New Roman"/>
      <w:snapToGrid w:val="0"/>
      <w:szCs w:val="28"/>
    </w:rPr>
  </w:style>
  <w:style w:type="character" w:customStyle="1" w:styleId="344">
    <w:name w:val="标题 Char"/>
    <w:qFormat/>
    <w:uiPriority w:val="10"/>
    <w:rPr>
      <w:rFonts w:ascii="Cambria" w:hAnsi="Cambria" w:eastAsia="宋体" w:cs="Times New Roman"/>
      <w:b/>
      <w:bCs/>
      <w:sz w:val="32"/>
      <w:szCs w:val="32"/>
    </w:rPr>
  </w:style>
  <w:style w:type="character" w:customStyle="1" w:styleId="345">
    <w:name w:val="表中正文 Char Char Char Char Char Char Char Char Char Char Char Char Char Char Char Char Char Char Char Char Char Char Char Char Char Char Char Char Char Char Char Char Char Char Char Char Char Char Char Char Char Char"/>
    <w:link w:val="346"/>
    <w:qFormat/>
    <w:uiPriority w:val="0"/>
    <w:rPr>
      <w:rFonts w:ascii="宋体" w:hAnsi="Arial" w:eastAsia="仿宋_GB2312"/>
      <w:szCs w:val="24"/>
    </w:rPr>
  </w:style>
  <w:style w:type="paragraph" w:customStyle="1" w:styleId="346">
    <w:name w:val="表中正文 Char Char Char Char Char Char Char Char Char Char Char Char Char Char Char Char Char Char Char Char Char Char Char Char Char Char Char Char Char Char Char Char Char Char Char Char Char Char Char Char"/>
    <w:basedOn w:val="1"/>
    <w:link w:val="345"/>
    <w:qFormat/>
    <w:uiPriority w:val="0"/>
    <w:pPr>
      <w:widowControl w:val="0"/>
      <w:autoSpaceDE w:val="0"/>
      <w:autoSpaceDN w:val="0"/>
      <w:adjustRightInd w:val="0"/>
      <w:snapToGrid w:val="0"/>
      <w:jc w:val="center"/>
      <w:textAlignment w:val="baseline"/>
    </w:pPr>
    <w:rPr>
      <w:rFonts w:hAnsi="Arial" w:eastAsia="仿宋_GB2312" w:cs="Times New Roman"/>
      <w:sz w:val="20"/>
    </w:rPr>
  </w:style>
  <w:style w:type="character" w:customStyle="1" w:styleId="347">
    <w:name w:val="bds_more4"/>
    <w:basedOn w:val="85"/>
    <w:qFormat/>
    <w:uiPriority w:val="0"/>
  </w:style>
  <w:style w:type="character" w:customStyle="1" w:styleId="348">
    <w:name w:val="标题 5 Char1"/>
    <w:semiHidden/>
    <w:qFormat/>
    <w:uiPriority w:val="0"/>
    <w:rPr>
      <w:rFonts w:ascii="Times New Roman" w:hAnsi="Times New Roman" w:eastAsia="宋体" w:cs="Times New Roman"/>
      <w:b/>
      <w:bCs/>
      <w:sz w:val="28"/>
      <w:szCs w:val="28"/>
    </w:rPr>
  </w:style>
  <w:style w:type="character" w:customStyle="1" w:styleId="349">
    <w:name w:val="Char Char9"/>
    <w:qFormat/>
    <w:uiPriority w:val="0"/>
    <w:rPr>
      <w:rFonts w:hint="eastAsia" w:ascii="宋体" w:hAnsi="宋体" w:eastAsia="宋体"/>
      <w:color w:val="000000"/>
      <w:sz w:val="36"/>
      <w:lang w:val="en-US" w:eastAsia="zh-CN" w:bidi="ar-SA"/>
    </w:rPr>
  </w:style>
  <w:style w:type="character" w:customStyle="1" w:styleId="350">
    <w:name w:val="正文文本缩进 2 Char"/>
    <w:link w:val="49"/>
    <w:qFormat/>
    <w:uiPriority w:val="0"/>
    <w:rPr>
      <w:rFonts w:ascii="Times New Roman" w:hAnsi="Times New Roman"/>
      <w:szCs w:val="24"/>
    </w:rPr>
  </w:style>
  <w:style w:type="character" w:customStyle="1" w:styleId="351">
    <w:name w:val="style16 style57"/>
    <w:basedOn w:val="85"/>
    <w:qFormat/>
    <w:uiPriority w:val="0"/>
  </w:style>
  <w:style w:type="character" w:customStyle="1" w:styleId="352">
    <w:name w:val="正文文本 (2) + AngsanaUPC10"/>
    <w:qFormat/>
    <w:uiPriority w:val="99"/>
    <w:rPr>
      <w:rFonts w:ascii="AngsanaUPC" w:hAnsi="AngsanaUPC" w:eastAsia="MingLiU" w:cs="AngsanaUPC"/>
      <w:sz w:val="22"/>
      <w:szCs w:val="22"/>
      <w:u w:val="none"/>
      <w:shd w:val="clear" w:color="auto" w:fill="FFFFFF"/>
      <w:lang w:val="en-US" w:eastAsia="en-US"/>
    </w:rPr>
  </w:style>
  <w:style w:type="character" w:customStyle="1" w:styleId="353">
    <w:name w:val="样式 样式 1.1标题2 Char + 小三 加粗 +"/>
    <w:basedOn w:val="354"/>
    <w:qFormat/>
    <w:uiPriority w:val="0"/>
    <w:rPr>
      <w:rFonts w:ascii="Arial" w:hAnsi="Arial" w:eastAsia="黑体"/>
      <w:kern w:val="2"/>
      <w:sz w:val="30"/>
      <w:szCs w:val="32"/>
      <w:lang w:val="en-US" w:eastAsia="zh-CN" w:bidi="ar-SA"/>
    </w:rPr>
  </w:style>
  <w:style w:type="character" w:customStyle="1" w:styleId="354">
    <w:name w:val="样式 1.1标题2 Char + 小三 加粗"/>
    <w:qFormat/>
    <w:uiPriority w:val="0"/>
    <w:rPr>
      <w:rFonts w:ascii="Arial" w:hAnsi="Arial" w:eastAsia="黑体"/>
      <w:bCs/>
      <w:kern w:val="2"/>
      <w:sz w:val="30"/>
      <w:szCs w:val="32"/>
      <w:lang w:val="en-US" w:eastAsia="zh-CN" w:bidi="ar-SA"/>
    </w:rPr>
  </w:style>
  <w:style w:type="character" w:customStyle="1" w:styleId="355">
    <w:name w:val="正文文本 (9) + 间距 1 pt2"/>
    <w:qFormat/>
    <w:uiPriority w:val="99"/>
    <w:rPr>
      <w:rFonts w:ascii="MingLiU" w:eastAsia="MingLiU" w:cs="MingLiU"/>
      <w:spacing w:val="20"/>
      <w:shd w:val="clear" w:color="auto" w:fill="FFFFFF"/>
    </w:rPr>
  </w:style>
  <w:style w:type="character" w:customStyle="1" w:styleId="356">
    <w:name w:val="textjianju21"/>
    <w:qFormat/>
    <w:uiPriority w:val="0"/>
    <w:rPr>
      <w:color w:val="000000"/>
    </w:rPr>
  </w:style>
  <w:style w:type="character" w:customStyle="1" w:styleId="357">
    <w:name w:val="Page Number1"/>
    <w:basedOn w:val="85"/>
    <w:qFormat/>
    <w:uiPriority w:val="0"/>
  </w:style>
  <w:style w:type="character" w:customStyle="1" w:styleId="358">
    <w:name w:val="style12"/>
    <w:basedOn w:val="85"/>
    <w:qFormat/>
    <w:uiPriority w:val="0"/>
  </w:style>
  <w:style w:type="character" w:customStyle="1" w:styleId="359">
    <w:name w:val="正文文本最新 Char Char Char1 Char Char Char Char Char Char Char Char Char"/>
    <w:qFormat/>
    <w:uiPriority w:val="0"/>
    <w:rPr>
      <w:rFonts w:eastAsia="宋体"/>
      <w:b/>
      <w:bCs/>
      <w:kern w:val="2"/>
      <w:sz w:val="28"/>
      <w:szCs w:val="24"/>
      <w:lang w:val="en-US" w:eastAsia="zh-CN" w:bidi="ar-SA"/>
    </w:rPr>
  </w:style>
  <w:style w:type="character" w:customStyle="1" w:styleId="360">
    <w:name w:val="Char Char1 Char Char Char Char Char Char Char Char Char Char Char Char Char Char"/>
    <w:link w:val="361"/>
    <w:qFormat/>
    <w:uiPriority w:val="0"/>
    <w:rPr>
      <w:rFonts w:ascii="Times New Roman" w:hAnsi="Times New Roman"/>
    </w:rPr>
  </w:style>
  <w:style w:type="paragraph" w:customStyle="1" w:styleId="361">
    <w:name w:val="Char Char1 Char Char Char Char Char Char Char Char Char Char Char Char1"/>
    <w:basedOn w:val="1"/>
    <w:link w:val="360"/>
    <w:qFormat/>
    <w:uiPriority w:val="0"/>
    <w:pPr>
      <w:widowControl w:val="0"/>
    </w:pPr>
    <w:rPr>
      <w:rFonts w:ascii="Times New Roman" w:hAnsi="Times New Roman" w:cs="Times New Roman"/>
      <w:sz w:val="20"/>
      <w:szCs w:val="20"/>
    </w:rPr>
  </w:style>
  <w:style w:type="character" w:customStyle="1" w:styleId="362">
    <w:name w:val="Char Char8"/>
    <w:qFormat/>
    <w:uiPriority w:val="0"/>
    <w:rPr>
      <w:rFonts w:hint="eastAsia" w:ascii="黑体" w:eastAsia="黑体"/>
      <w:kern w:val="2"/>
      <w:sz w:val="24"/>
      <w:szCs w:val="24"/>
      <w:lang w:val="en-US" w:eastAsia="zh-CN" w:bidi="ar-SA"/>
    </w:rPr>
  </w:style>
  <w:style w:type="character" w:customStyle="1" w:styleId="363">
    <w:name w:val="表内正文 Char Char"/>
    <w:qFormat/>
    <w:uiPriority w:val="0"/>
    <w:rPr>
      <w:rFonts w:ascii="仿宋_GB2312" w:eastAsia="仿宋_GB2312"/>
      <w:kern w:val="2"/>
      <w:sz w:val="21"/>
      <w:szCs w:val="24"/>
      <w:lang w:val="en-US" w:eastAsia="zh-CN" w:bidi="ar-SA"/>
    </w:rPr>
  </w:style>
  <w:style w:type="character" w:customStyle="1" w:styleId="364">
    <w:name w:val="正文 Char"/>
    <w:qFormat/>
    <w:uiPriority w:val="0"/>
    <w:rPr>
      <w:rFonts w:ascii="Times New Roman" w:hAnsi="Times New Roman" w:eastAsia="宋体" w:cs="Times New Roman"/>
      <w:snapToGrid w:val="0"/>
      <w:kern w:val="0"/>
      <w:sz w:val="24"/>
      <w:szCs w:val="24"/>
    </w:rPr>
  </w:style>
  <w:style w:type="character" w:customStyle="1" w:styleId="365">
    <w:name w:val="样式1 Char Char Char Char Char Char Char"/>
    <w:link w:val="366"/>
    <w:semiHidden/>
    <w:qFormat/>
    <w:uiPriority w:val="0"/>
    <w:rPr>
      <w:rFonts w:ascii="Times New Roman" w:hAnsi="Times New Roman" w:eastAsia="仿宋_GB2312"/>
      <w:spacing w:val="-20"/>
      <w:sz w:val="18"/>
      <w:szCs w:val="24"/>
    </w:rPr>
  </w:style>
  <w:style w:type="paragraph" w:customStyle="1" w:styleId="366">
    <w:name w:val="样式1 Char Char Char Char Char"/>
    <w:basedOn w:val="1"/>
    <w:link w:val="365"/>
    <w:semiHidden/>
    <w:qFormat/>
    <w:uiPriority w:val="0"/>
    <w:pPr>
      <w:widowControl w:val="0"/>
      <w:jc w:val="center"/>
    </w:pPr>
    <w:rPr>
      <w:rFonts w:ascii="Times New Roman" w:hAnsi="Times New Roman" w:eastAsia="仿宋_GB2312" w:cs="Times New Roman"/>
      <w:spacing w:val="-20"/>
      <w:sz w:val="18"/>
    </w:rPr>
  </w:style>
  <w:style w:type="character" w:customStyle="1" w:styleId="367">
    <w:name w:val="目标题 1) Char1"/>
    <w:qFormat/>
    <w:uiPriority w:val="0"/>
    <w:rPr>
      <w:rFonts w:ascii="Arial" w:hAnsi="Arial" w:eastAsia="黑体"/>
      <w:color w:val="000000"/>
      <w:kern w:val="28"/>
      <w:sz w:val="24"/>
    </w:rPr>
  </w:style>
  <w:style w:type="character" w:customStyle="1" w:styleId="368">
    <w:name w:val="图表标题 Char Char"/>
    <w:link w:val="369"/>
    <w:qFormat/>
    <w:uiPriority w:val="0"/>
    <w:rPr>
      <w:rFonts w:ascii="黑体" w:hAnsi="Times New Roman" w:eastAsia="黑体"/>
      <w:b/>
      <w:color w:val="000000"/>
      <w:sz w:val="24"/>
      <w:szCs w:val="21"/>
    </w:rPr>
  </w:style>
  <w:style w:type="paragraph" w:customStyle="1" w:styleId="369">
    <w:name w:val="图表标题"/>
    <w:basedOn w:val="1"/>
    <w:link w:val="368"/>
    <w:qFormat/>
    <w:uiPriority w:val="0"/>
    <w:pPr>
      <w:widowControl w:val="0"/>
      <w:adjustRightInd w:val="0"/>
      <w:snapToGrid w:val="0"/>
      <w:spacing w:line="360" w:lineRule="auto"/>
      <w:jc w:val="center"/>
    </w:pPr>
    <w:rPr>
      <w:rFonts w:ascii="黑体" w:hAnsi="Times New Roman" w:eastAsia="黑体" w:cs="Times New Roman"/>
      <w:b/>
      <w:color w:val="000000"/>
      <w:szCs w:val="21"/>
    </w:rPr>
  </w:style>
  <w:style w:type="character" w:customStyle="1" w:styleId="370">
    <w:name w:val="正文文本 2 Char2"/>
    <w:semiHidden/>
    <w:qFormat/>
    <w:uiPriority w:val="99"/>
    <w:rPr>
      <w:rFonts w:ascii="Calibri" w:hAnsi="Calibri" w:eastAsia="宋体" w:cs="Times New Roman"/>
    </w:rPr>
  </w:style>
  <w:style w:type="character" w:customStyle="1" w:styleId="371">
    <w:name w:val="规划正文样式 Char Char"/>
    <w:qFormat/>
    <w:uiPriority w:val="0"/>
    <w:rPr>
      <w:rFonts w:eastAsia="宋体"/>
      <w:kern w:val="2"/>
      <w:sz w:val="24"/>
      <w:szCs w:val="24"/>
      <w:lang w:val="en-US" w:eastAsia="zh-CN" w:bidi="ar-SA"/>
    </w:rPr>
  </w:style>
  <w:style w:type="character" w:customStyle="1" w:styleId="372">
    <w:name w:val="日期 Char"/>
    <w:link w:val="48"/>
    <w:qFormat/>
    <w:uiPriority w:val="99"/>
  </w:style>
  <w:style w:type="character" w:customStyle="1" w:styleId="373">
    <w:name w:val="注释标题 Char Char"/>
    <w:qFormat/>
    <w:uiPriority w:val="0"/>
    <w:rPr>
      <w:rFonts w:ascii="Times New Roman" w:hAnsi="Times New Roman" w:eastAsia="宋体" w:cs="Times New Roman"/>
      <w:szCs w:val="20"/>
    </w:rPr>
  </w:style>
  <w:style w:type="character" w:customStyle="1" w:styleId="374">
    <w:name w:val="航标 Char Char"/>
    <w:link w:val="375"/>
    <w:qFormat/>
    <w:uiPriority w:val="0"/>
    <w:rPr>
      <w:rFonts w:ascii="仿宋_GB2312" w:hAnsi="Times New Roman" w:eastAsia="仿宋_GB2312"/>
      <w:b/>
      <w:color w:val="000000"/>
      <w:sz w:val="28"/>
    </w:rPr>
  </w:style>
  <w:style w:type="paragraph" w:customStyle="1" w:styleId="375">
    <w:name w:val="航标"/>
    <w:basedOn w:val="1"/>
    <w:next w:val="1"/>
    <w:link w:val="374"/>
    <w:qFormat/>
    <w:uiPriority w:val="0"/>
    <w:pPr>
      <w:widowControl w:val="0"/>
      <w:topLinePunct/>
      <w:spacing w:line="486" w:lineRule="exact"/>
      <w:ind w:firstLine="200" w:firstLineChars="200"/>
    </w:pPr>
    <w:rPr>
      <w:rFonts w:ascii="仿宋_GB2312" w:hAnsi="Times New Roman" w:eastAsia="仿宋_GB2312" w:cs="Times New Roman"/>
      <w:b/>
      <w:color w:val="000000"/>
      <w:sz w:val="28"/>
      <w:szCs w:val="20"/>
    </w:rPr>
  </w:style>
  <w:style w:type="character" w:customStyle="1" w:styleId="376">
    <w:name w:val="表格内容1 Char Char1"/>
    <w:qFormat/>
    <w:uiPriority w:val="0"/>
    <w:rPr>
      <w:rFonts w:eastAsia="宋体"/>
      <w:kern w:val="24"/>
      <w:sz w:val="21"/>
      <w:szCs w:val="24"/>
      <w:lang w:val="en-US" w:eastAsia="zh-CN" w:bidi="ar-SA"/>
    </w:rPr>
  </w:style>
  <w:style w:type="character" w:customStyle="1" w:styleId="377">
    <w:name w:val="000 Char Char"/>
    <w:link w:val="378"/>
    <w:qFormat/>
    <w:uiPriority w:val="0"/>
    <w:rPr>
      <w:rFonts w:ascii="Times New Roman" w:hAnsi="Times New Roman"/>
      <w:sz w:val="24"/>
      <w:szCs w:val="24"/>
    </w:rPr>
  </w:style>
  <w:style w:type="paragraph" w:customStyle="1" w:styleId="378">
    <w:name w:val="000"/>
    <w:basedOn w:val="1"/>
    <w:link w:val="377"/>
    <w:qFormat/>
    <w:uiPriority w:val="0"/>
    <w:pPr>
      <w:widowControl w:val="0"/>
      <w:spacing w:line="360" w:lineRule="auto"/>
      <w:ind w:firstLine="200" w:firstLineChars="200"/>
      <w:jc w:val="both"/>
    </w:pPr>
    <w:rPr>
      <w:rFonts w:ascii="Times New Roman" w:hAnsi="Times New Roman" w:cs="Times New Roman"/>
    </w:rPr>
  </w:style>
  <w:style w:type="character" w:customStyle="1" w:styleId="379">
    <w:name w:val="正文首行缩进 Char2"/>
    <w:qFormat/>
    <w:uiPriority w:val="0"/>
    <w:rPr>
      <w:rFonts w:ascii="Times New Roman" w:hAnsi="Times New Roman" w:eastAsia="宋体" w:cs="Times New Roman"/>
      <w:kern w:val="0"/>
      <w:sz w:val="28"/>
      <w:szCs w:val="20"/>
    </w:rPr>
  </w:style>
  <w:style w:type="character" w:customStyle="1" w:styleId="380">
    <w:name w:val="Char Char"/>
    <w:qFormat/>
    <w:uiPriority w:val="0"/>
    <w:rPr>
      <w:rFonts w:eastAsia="黑体"/>
      <w:b/>
      <w:snapToGrid w:val="0"/>
      <w:sz w:val="24"/>
      <w:szCs w:val="32"/>
      <w:lang w:val="en-US" w:eastAsia="zh-CN" w:bidi="ar-SA"/>
    </w:rPr>
  </w:style>
  <w:style w:type="character" w:customStyle="1" w:styleId="381">
    <w:name w:val="公式说明 Char"/>
    <w:link w:val="382"/>
    <w:qFormat/>
    <w:uiPriority w:val="0"/>
    <w:rPr>
      <w:rFonts w:ascii="Times New Roman" w:hAnsi="Times New Roman" w:eastAsia="仿宋_GB2312"/>
      <w:sz w:val="32"/>
    </w:rPr>
  </w:style>
  <w:style w:type="paragraph" w:customStyle="1" w:styleId="382">
    <w:name w:val="公式说明"/>
    <w:basedOn w:val="1"/>
    <w:link w:val="381"/>
    <w:qFormat/>
    <w:uiPriority w:val="0"/>
    <w:pPr>
      <w:widowControl w:val="0"/>
      <w:tabs>
        <w:tab w:val="left" w:pos="1920"/>
      </w:tabs>
      <w:adjustRightInd w:val="0"/>
      <w:snapToGrid w:val="0"/>
      <w:spacing w:line="620" w:lineRule="exact"/>
      <w:ind w:firstLine="200" w:firstLineChars="200"/>
      <w:jc w:val="both"/>
    </w:pPr>
    <w:rPr>
      <w:rFonts w:ascii="Times New Roman" w:hAnsi="Times New Roman" w:eastAsia="仿宋_GB2312" w:cs="Times New Roman"/>
      <w:sz w:val="32"/>
      <w:szCs w:val="20"/>
    </w:rPr>
  </w:style>
  <w:style w:type="character" w:customStyle="1" w:styleId="383">
    <w:name w:val="正文文字缩进 31 Char Char"/>
    <w:qFormat/>
    <w:uiPriority w:val="0"/>
    <w:rPr>
      <w:rFonts w:eastAsia="宋体"/>
      <w:kern w:val="2"/>
      <w:sz w:val="16"/>
      <w:szCs w:val="16"/>
      <w:lang w:val="en-US" w:eastAsia="zh-CN" w:bidi="ar-SA"/>
    </w:rPr>
  </w:style>
  <w:style w:type="character" w:customStyle="1" w:styleId="384">
    <w:name w:val="正文1 Char Char Char Char"/>
    <w:qFormat/>
    <w:uiPriority w:val="0"/>
    <w:rPr>
      <w:rFonts w:ascii="仿宋_GB2312" w:hAnsi="Times New Roman" w:eastAsia="仿宋_GB2312" w:cs="Times New Roman"/>
      <w:sz w:val="28"/>
      <w:szCs w:val="28"/>
    </w:rPr>
  </w:style>
  <w:style w:type="character" w:customStyle="1" w:styleId="385">
    <w:name w:val="【表中文字】 Char Char"/>
    <w:link w:val="111"/>
    <w:qFormat/>
    <w:uiPriority w:val="0"/>
    <w:rPr>
      <w:kern w:val="2"/>
      <w:sz w:val="21"/>
      <w:szCs w:val="22"/>
      <w:lang w:val="zh-CN"/>
    </w:rPr>
  </w:style>
  <w:style w:type="character" w:customStyle="1" w:styleId="386">
    <w:name w:val="sidecatalog-index2"/>
    <w:qFormat/>
    <w:uiPriority w:val="0"/>
    <w:rPr>
      <w:rFonts w:ascii="Arail" w:hAnsi="Arail" w:eastAsia="Arail" w:cs="Arail"/>
      <w:color w:val="999999"/>
      <w:sz w:val="21"/>
      <w:szCs w:val="21"/>
    </w:rPr>
  </w:style>
  <w:style w:type="character" w:customStyle="1" w:styleId="387">
    <w:name w:val="style51"/>
    <w:qFormat/>
    <w:uiPriority w:val="0"/>
    <w:rPr>
      <w:b/>
      <w:bCs/>
      <w:color w:val="990000"/>
      <w:sz w:val="21"/>
      <w:szCs w:val="21"/>
    </w:rPr>
  </w:style>
  <w:style w:type="character" w:customStyle="1" w:styleId="388">
    <w:name w:val="A4"/>
    <w:qFormat/>
    <w:uiPriority w:val="0"/>
    <w:rPr>
      <w:rFonts w:ascii="新宋体" w:eastAsia="新宋体" w:cs="新宋体"/>
      <w:color w:val="000000"/>
      <w:sz w:val="28"/>
      <w:szCs w:val="28"/>
    </w:rPr>
  </w:style>
  <w:style w:type="character" w:customStyle="1" w:styleId="389">
    <w:name w:val="脚注文本 Char1"/>
    <w:semiHidden/>
    <w:qFormat/>
    <w:uiPriority w:val="99"/>
    <w:rPr>
      <w:rFonts w:ascii="Calibri" w:hAnsi="Calibri" w:eastAsia="宋体" w:cs="Times New Roman"/>
      <w:sz w:val="18"/>
      <w:szCs w:val="18"/>
    </w:rPr>
  </w:style>
  <w:style w:type="character" w:customStyle="1" w:styleId="390">
    <w:name w:val="正文-------- Char Char"/>
    <w:link w:val="391"/>
    <w:qFormat/>
    <w:uiPriority w:val="0"/>
    <w:rPr>
      <w:sz w:val="24"/>
    </w:rPr>
  </w:style>
  <w:style w:type="paragraph" w:customStyle="1" w:styleId="391">
    <w:name w:val="正文--------"/>
    <w:basedOn w:val="1"/>
    <w:link w:val="390"/>
    <w:qFormat/>
    <w:uiPriority w:val="0"/>
    <w:pPr>
      <w:widowControl w:val="0"/>
      <w:spacing w:line="460" w:lineRule="exact"/>
      <w:ind w:firstLine="480" w:firstLineChars="200"/>
    </w:pPr>
    <w:rPr>
      <w:rFonts w:ascii="Calibri" w:hAnsi="Calibri" w:cs="Times New Roman"/>
      <w:szCs w:val="20"/>
    </w:rPr>
  </w:style>
  <w:style w:type="character" w:customStyle="1" w:styleId="392">
    <w:name w:val="正文 + 宋体 Char"/>
    <w:link w:val="393"/>
    <w:qFormat/>
    <w:uiPriority w:val="0"/>
    <w:rPr>
      <w:rFonts w:ascii="宋体" w:hAnsi="宋体" w:cs="宋体"/>
      <w:b/>
      <w:szCs w:val="24"/>
    </w:rPr>
  </w:style>
  <w:style w:type="paragraph" w:customStyle="1" w:styleId="393">
    <w:name w:val="正文 + 宋体"/>
    <w:basedOn w:val="80"/>
    <w:link w:val="392"/>
    <w:qFormat/>
    <w:uiPriority w:val="0"/>
    <w:pPr>
      <w:widowControl w:val="0"/>
      <w:spacing w:after="0" w:line="360" w:lineRule="auto"/>
      <w:ind w:firstLine="200" w:firstLineChars="200"/>
    </w:pPr>
    <w:rPr>
      <w:b/>
      <w:szCs w:val="24"/>
    </w:rPr>
  </w:style>
  <w:style w:type="character" w:customStyle="1" w:styleId="394">
    <w:name w:val="headline-content2"/>
    <w:basedOn w:val="85"/>
    <w:qFormat/>
    <w:uiPriority w:val="0"/>
  </w:style>
  <w:style w:type="character" w:customStyle="1" w:styleId="395">
    <w:name w:val="3级标题 Char"/>
    <w:link w:val="396"/>
    <w:qFormat/>
    <w:locked/>
    <w:uiPriority w:val="0"/>
    <w:rPr>
      <w:rFonts w:ascii="黑体" w:hAnsi="宋体" w:eastAsia="黑体" w:cs="Arial"/>
      <w:bCs/>
      <w:color w:val="000000"/>
      <w:sz w:val="24"/>
    </w:rPr>
  </w:style>
  <w:style w:type="paragraph" w:customStyle="1" w:styleId="396">
    <w:name w:val="3级标题"/>
    <w:basedOn w:val="7"/>
    <w:next w:val="117"/>
    <w:link w:val="395"/>
    <w:qFormat/>
    <w:uiPriority w:val="0"/>
    <w:pPr>
      <w:tabs>
        <w:tab w:val="left" w:pos="1021"/>
      </w:tabs>
    </w:pPr>
    <w:rPr>
      <w:rFonts w:ascii="黑体" w:hAnsi="宋体" w:cs="Arial"/>
      <w:color w:val="000000"/>
      <w:sz w:val="24"/>
      <w:szCs w:val="20"/>
    </w:rPr>
  </w:style>
  <w:style w:type="character" w:customStyle="1" w:styleId="397">
    <w:name w:val="style9 style60"/>
    <w:basedOn w:val="85"/>
    <w:qFormat/>
    <w:uiPriority w:val="0"/>
  </w:style>
  <w:style w:type="character" w:customStyle="1" w:styleId="398">
    <w:name w:val="style621"/>
    <w:qFormat/>
    <w:uiPriority w:val="0"/>
    <w:rPr>
      <w:color w:val="335150"/>
    </w:rPr>
  </w:style>
  <w:style w:type="character" w:customStyle="1" w:styleId="399">
    <w:name w:val="标题 Char3"/>
    <w:qFormat/>
    <w:locked/>
    <w:uiPriority w:val="99"/>
    <w:rPr>
      <w:rFonts w:ascii="Arial" w:hAnsi="Arial"/>
      <w:b/>
      <w:sz w:val="32"/>
    </w:rPr>
  </w:style>
  <w:style w:type="character" w:customStyle="1" w:styleId="400">
    <w:name w:val="正文文本 (2) + 10 pt7"/>
    <w:qFormat/>
    <w:uiPriority w:val="99"/>
    <w:rPr>
      <w:rFonts w:ascii="MingLiU" w:eastAsia="MingLiU" w:cs="MingLiU"/>
      <w:spacing w:val="110"/>
      <w:sz w:val="20"/>
      <w:szCs w:val="20"/>
      <w:u w:val="none"/>
      <w:shd w:val="clear" w:color="auto" w:fill="FFFFFF"/>
    </w:rPr>
  </w:style>
  <w:style w:type="character" w:customStyle="1" w:styleId="401">
    <w:name w:val="表格1 Char Char Char"/>
    <w:link w:val="402"/>
    <w:qFormat/>
    <w:uiPriority w:val="0"/>
    <w:rPr>
      <w:rFonts w:ascii="宋体" w:hAnsi="宋体" w:eastAsia="仿宋_GB2312"/>
      <w:szCs w:val="24"/>
    </w:rPr>
  </w:style>
  <w:style w:type="paragraph" w:customStyle="1" w:styleId="402">
    <w:name w:val="表格1"/>
    <w:basedOn w:val="1"/>
    <w:next w:val="32"/>
    <w:link w:val="401"/>
    <w:qFormat/>
    <w:uiPriority w:val="0"/>
    <w:pPr>
      <w:widowControl w:val="0"/>
      <w:topLinePunct/>
      <w:jc w:val="center"/>
    </w:pPr>
    <w:rPr>
      <w:rFonts w:eastAsia="仿宋_GB2312" w:cs="Times New Roman"/>
      <w:sz w:val="20"/>
    </w:rPr>
  </w:style>
  <w:style w:type="character" w:customStyle="1" w:styleId="403">
    <w:name w:val="报告表格内容 Char Char"/>
    <w:link w:val="404"/>
    <w:qFormat/>
    <w:uiPriority w:val="0"/>
    <w:rPr>
      <w:rFonts w:ascii="Times New Roman" w:hAnsi="Times New Roman"/>
    </w:rPr>
  </w:style>
  <w:style w:type="paragraph" w:customStyle="1" w:styleId="404">
    <w:name w:val="报告表格内容"/>
    <w:basedOn w:val="1"/>
    <w:next w:val="1"/>
    <w:link w:val="403"/>
    <w:qFormat/>
    <w:uiPriority w:val="0"/>
    <w:pPr>
      <w:widowControl w:val="0"/>
      <w:adjustRightInd w:val="0"/>
      <w:snapToGrid w:val="0"/>
      <w:jc w:val="center"/>
    </w:pPr>
    <w:rPr>
      <w:rFonts w:ascii="Times New Roman" w:hAnsi="Times New Roman" w:cs="Times New Roman"/>
      <w:sz w:val="20"/>
      <w:szCs w:val="20"/>
    </w:rPr>
  </w:style>
  <w:style w:type="character" w:customStyle="1" w:styleId="405">
    <w:name w:val="newbody1"/>
    <w:qFormat/>
    <w:uiPriority w:val="0"/>
    <w:rPr>
      <w:sz w:val="21"/>
      <w:szCs w:val="21"/>
    </w:rPr>
  </w:style>
  <w:style w:type="character" w:customStyle="1" w:styleId="406">
    <w:name w:val="表头 Char"/>
    <w:link w:val="104"/>
    <w:qFormat/>
    <w:uiPriority w:val="0"/>
    <w:rPr>
      <w:rFonts w:ascii="Times New Roman" w:hAnsi="Times New Roman" w:eastAsia="黑体"/>
      <w:sz w:val="24"/>
      <w:szCs w:val="24"/>
    </w:rPr>
  </w:style>
  <w:style w:type="character" w:customStyle="1" w:styleId="407">
    <w:name w:val="正文 Char1 Char Char"/>
    <w:link w:val="408"/>
    <w:qFormat/>
    <w:uiPriority w:val="0"/>
    <w:rPr>
      <w:rFonts w:ascii="Times New Roman" w:hAnsi="Times New Roman"/>
      <w:bCs/>
      <w:color w:val="000000"/>
      <w:sz w:val="24"/>
      <w:szCs w:val="21"/>
    </w:rPr>
  </w:style>
  <w:style w:type="paragraph" w:customStyle="1" w:styleId="408">
    <w:name w:val="正文 Char1"/>
    <w:basedOn w:val="1"/>
    <w:link w:val="407"/>
    <w:qFormat/>
    <w:uiPriority w:val="0"/>
    <w:pPr>
      <w:widowControl w:val="0"/>
      <w:tabs>
        <w:tab w:val="left" w:pos="1834"/>
      </w:tabs>
      <w:adjustRightInd w:val="0"/>
      <w:snapToGrid w:val="0"/>
      <w:spacing w:beforeLines="50" w:afterLines="50" w:line="360" w:lineRule="exact"/>
      <w:ind w:firstLine="480"/>
      <w:jc w:val="both"/>
      <w:textAlignment w:val="baseline"/>
    </w:pPr>
    <w:rPr>
      <w:rFonts w:ascii="Times New Roman" w:hAnsi="Times New Roman" w:cs="Times New Roman"/>
      <w:bCs/>
      <w:color w:val="000000"/>
      <w:szCs w:val="21"/>
    </w:rPr>
  </w:style>
  <w:style w:type="character" w:customStyle="1" w:styleId="409">
    <w:name w:val="正文文本 (2)_"/>
    <w:link w:val="410"/>
    <w:qFormat/>
    <w:uiPriority w:val="99"/>
    <w:rPr>
      <w:rFonts w:ascii="MingLiU" w:eastAsia="MingLiU" w:cs="MingLiU"/>
      <w:sz w:val="26"/>
      <w:szCs w:val="26"/>
      <w:shd w:val="clear" w:color="auto" w:fill="FFFFFF"/>
    </w:rPr>
  </w:style>
  <w:style w:type="paragraph" w:customStyle="1" w:styleId="410">
    <w:name w:val="正文文本 (2)1"/>
    <w:basedOn w:val="1"/>
    <w:link w:val="409"/>
    <w:qFormat/>
    <w:uiPriority w:val="99"/>
    <w:pPr>
      <w:widowControl w:val="0"/>
      <w:shd w:val="clear" w:color="auto" w:fill="FFFFFF"/>
      <w:spacing w:line="240" w:lineRule="atLeast"/>
      <w:ind w:hanging="160"/>
    </w:pPr>
    <w:rPr>
      <w:rFonts w:ascii="MingLiU" w:hAnsi="Calibri" w:eastAsia="MingLiU" w:cs="MingLiU"/>
      <w:sz w:val="26"/>
      <w:szCs w:val="26"/>
    </w:rPr>
  </w:style>
  <w:style w:type="character" w:customStyle="1" w:styleId="411">
    <w:name w:val="正文1 Char"/>
    <w:link w:val="117"/>
    <w:qFormat/>
    <w:uiPriority w:val="0"/>
    <w:rPr>
      <w:rFonts w:ascii="宋体" w:hAnsi="Times New Roman"/>
      <w:sz w:val="24"/>
    </w:rPr>
  </w:style>
  <w:style w:type="character" w:customStyle="1" w:styleId="412">
    <w:name w:val="德胜正文 Char Char"/>
    <w:link w:val="413"/>
    <w:qFormat/>
    <w:uiPriority w:val="0"/>
    <w:rPr>
      <w:snapToGrid w:val="0"/>
      <w:color w:val="0000FF"/>
      <w:sz w:val="24"/>
      <w:szCs w:val="24"/>
    </w:rPr>
  </w:style>
  <w:style w:type="paragraph" w:customStyle="1" w:styleId="413">
    <w:name w:val="德胜正文"/>
    <w:basedOn w:val="1"/>
    <w:link w:val="412"/>
    <w:qFormat/>
    <w:uiPriority w:val="0"/>
    <w:pPr>
      <w:widowControl w:val="0"/>
      <w:adjustRightInd w:val="0"/>
      <w:snapToGrid w:val="0"/>
      <w:spacing w:line="360" w:lineRule="auto"/>
      <w:ind w:firstLine="200" w:firstLineChars="200"/>
      <w:jc w:val="both"/>
    </w:pPr>
    <w:rPr>
      <w:rFonts w:ascii="Calibri" w:hAnsi="Calibri" w:cs="Times New Roman"/>
      <w:snapToGrid w:val="0"/>
      <w:color w:val="0000FF"/>
    </w:rPr>
  </w:style>
  <w:style w:type="character" w:customStyle="1" w:styleId="414">
    <w:name w:val="正文文本 Char2"/>
    <w:semiHidden/>
    <w:qFormat/>
    <w:uiPriority w:val="0"/>
    <w:rPr>
      <w:rFonts w:ascii="Times New Roman" w:hAnsi="Times New Roman" w:eastAsia="宋体" w:cs="Times New Roman"/>
      <w:szCs w:val="24"/>
    </w:rPr>
  </w:style>
  <w:style w:type="character" w:customStyle="1" w:styleId="415">
    <w:name w:val="标题1"/>
    <w:basedOn w:val="85"/>
    <w:qFormat/>
    <w:uiPriority w:val="0"/>
  </w:style>
  <w:style w:type="character" w:customStyle="1" w:styleId="416">
    <w:name w:val="副标题 Char2"/>
    <w:qFormat/>
    <w:locked/>
    <w:uiPriority w:val="11"/>
    <w:rPr>
      <w:rFonts w:ascii="Arial" w:hAnsi="Arial" w:eastAsia="仿宋_GB2312"/>
      <w:b/>
      <w:bCs/>
      <w:kern w:val="28"/>
      <w:sz w:val="32"/>
      <w:szCs w:val="32"/>
    </w:rPr>
  </w:style>
  <w:style w:type="character" w:customStyle="1" w:styleId="417">
    <w:name w:val="文章正文 Char Char"/>
    <w:link w:val="418"/>
    <w:qFormat/>
    <w:uiPriority w:val="0"/>
    <w:rPr>
      <w:rFonts w:hAnsi="宋体"/>
      <w:kern w:val="2"/>
      <w:sz w:val="24"/>
      <w:szCs w:val="24"/>
    </w:rPr>
  </w:style>
  <w:style w:type="paragraph" w:customStyle="1" w:styleId="418">
    <w:name w:val="文章正文"/>
    <w:basedOn w:val="1"/>
    <w:link w:val="417"/>
    <w:qFormat/>
    <w:uiPriority w:val="0"/>
    <w:pPr>
      <w:widowControl w:val="0"/>
      <w:spacing w:line="360" w:lineRule="auto"/>
      <w:jc w:val="both"/>
    </w:pPr>
    <w:rPr>
      <w:rFonts w:ascii="Calibri" w:cs="Times New Roman"/>
      <w:kern w:val="2"/>
    </w:rPr>
  </w:style>
  <w:style w:type="character" w:customStyle="1" w:styleId="419">
    <w:name w:val="表格 Char2"/>
    <w:qFormat/>
    <w:uiPriority w:val="0"/>
    <w:rPr>
      <w:kern w:val="2"/>
      <w:sz w:val="21"/>
      <w:szCs w:val="21"/>
    </w:rPr>
  </w:style>
  <w:style w:type="character" w:customStyle="1" w:styleId="420">
    <w:name w:val="Char Char241"/>
    <w:qFormat/>
    <w:uiPriority w:val="0"/>
    <w:rPr>
      <w:b/>
      <w:kern w:val="44"/>
      <w:sz w:val="44"/>
    </w:rPr>
  </w:style>
  <w:style w:type="character" w:customStyle="1" w:styleId="421">
    <w:name w:val="正文(首行缩进) Char Char"/>
    <w:link w:val="422"/>
    <w:qFormat/>
    <w:uiPriority w:val="0"/>
    <w:rPr>
      <w:snapToGrid w:val="0"/>
      <w:sz w:val="24"/>
      <w:szCs w:val="24"/>
    </w:rPr>
  </w:style>
  <w:style w:type="paragraph" w:customStyle="1" w:styleId="422">
    <w:name w:val="正文(首行缩进)"/>
    <w:basedOn w:val="1"/>
    <w:link w:val="421"/>
    <w:qFormat/>
    <w:uiPriority w:val="0"/>
    <w:pPr>
      <w:widowControl w:val="0"/>
      <w:tabs>
        <w:tab w:val="left" w:pos="4584"/>
      </w:tabs>
      <w:adjustRightInd w:val="0"/>
      <w:snapToGrid w:val="0"/>
      <w:jc w:val="center"/>
    </w:pPr>
    <w:rPr>
      <w:rFonts w:ascii="Calibri" w:hAnsi="Calibri" w:cs="Times New Roman"/>
      <w:snapToGrid w:val="0"/>
    </w:rPr>
  </w:style>
  <w:style w:type="character" w:customStyle="1" w:styleId="423">
    <w:name w:val="页脚 Char1"/>
    <w:qFormat/>
    <w:uiPriority w:val="0"/>
    <w:rPr>
      <w:rFonts w:ascii="Calibri" w:hAnsi="Calibri" w:eastAsia="宋体" w:cs="Times New Roman"/>
      <w:sz w:val="18"/>
      <w:szCs w:val="18"/>
    </w:rPr>
  </w:style>
  <w:style w:type="character" w:customStyle="1" w:styleId="424">
    <w:name w:val="样式 表格内容1 + Char"/>
    <w:qFormat/>
    <w:uiPriority w:val="0"/>
    <w:rPr>
      <w:rFonts w:ascii="仿宋" w:hAnsi="仿宋" w:eastAsia="仿宋"/>
      <w:kern w:val="2"/>
      <w:sz w:val="21"/>
      <w:szCs w:val="24"/>
      <w:lang w:val="en-US" w:eastAsia="zh-CN"/>
    </w:rPr>
  </w:style>
  <w:style w:type="character" w:customStyle="1" w:styleId="425">
    <w:name w:val="sidecatalog-dot"/>
    <w:basedOn w:val="85"/>
    <w:qFormat/>
    <w:uiPriority w:val="0"/>
  </w:style>
  <w:style w:type="character" w:customStyle="1" w:styleId="426">
    <w:name w:val="正文文本 Char"/>
    <w:qFormat/>
    <w:uiPriority w:val="99"/>
    <w:rPr>
      <w:rFonts w:ascii="Times New Roman" w:hAnsi="Times New Roman" w:eastAsia="宋体" w:cs="Times New Roman"/>
      <w:szCs w:val="24"/>
    </w:rPr>
  </w:style>
  <w:style w:type="character" w:customStyle="1" w:styleId="427">
    <w:name w:val="sidecatalog-dot5"/>
    <w:basedOn w:val="85"/>
    <w:qFormat/>
    <w:uiPriority w:val="0"/>
  </w:style>
  <w:style w:type="character" w:customStyle="1" w:styleId="428">
    <w:name w:val="z-窗体底端 Char1"/>
    <w:semiHidden/>
    <w:qFormat/>
    <w:uiPriority w:val="99"/>
    <w:rPr>
      <w:rFonts w:ascii="Arial" w:hAnsi="Arial" w:eastAsia="宋体" w:cs="Arial"/>
      <w:vanish/>
      <w:sz w:val="16"/>
      <w:szCs w:val="16"/>
    </w:rPr>
  </w:style>
  <w:style w:type="character" w:customStyle="1" w:styleId="429">
    <w:name w:val="Char Char6"/>
    <w:qFormat/>
    <w:uiPriority w:val="0"/>
    <w:rPr>
      <w:rFonts w:hint="default" w:ascii="Times New Roman" w:hAnsi="Times New Roman" w:eastAsia="宋体" w:cs="Times New Roman"/>
      <w:szCs w:val="20"/>
      <w:shd w:val="clear" w:color="auto" w:fill="000080"/>
    </w:rPr>
  </w:style>
  <w:style w:type="character" w:customStyle="1" w:styleId="430">
    <w:name w:val="正文小四首缩1.3行距 Char Char"/>
    <w:link w:val="431"/>
    <w:qFormat/>
    <w:uiPriority w:val="0"/>
    <w:rPr>
      <w:rFonts w:ascii="Times New Roman" w:hAnsi="Times New Roman"/>
      <w:sz w:val="24"/>
      <w:szCs w:val="24"/>
    </w:rPr>
  </w:style>
  <w:style w:type="paragraph" w:customStyle="1" w:styleId="431">
    <w:name w:val="正文小四首缩1.3行距"/>
    <w:basedOn w:val="1"/>
    <w:link w:val="430"/>
    <w:qFormat/>
    <w:uiPriority w:val="0"/>
    <w:pPr>
      <w:widowControl w:val="0"/>
      <w:spacing w:line="312" w:lineRule="auto"/>
      <w:ind w:firstLine="420" w:firstLineChars="200"/>
      <w:jc w:val="both"/>
    </w:pPr>
    <w:rPr>
      <w:rFonts w:ascii="Times New Roman" w:hAnsi="Times New Roman" w:cs="Times New Roman"/>
    </w:rPr>
  </w:style>
  <w:style w:type="character" w:customStyle="1" w:styleId="432">
    <w:name w:val="表格内容-小五（OPCC宋体） Char Char"/>
    <w:link w:val="433"/>
    <w:qFormat/>
    <w:uiPriority w:val="0"/>
    <w:rPr>
      <w:rFonts w:ascii="Times New Roman" w:hAnsi="Times New Roman" w:eastAsia="仿宋_GB2312" w:cs="宋体"/>
      <w:sz w:val="18"/>
      <w:szCs w:val="18"/>
    </w:rPr>
  </w:style>
  <w:style w:type="paragraph" w:customStyle="1" w:styleId="433">
    <w:name w:val="表格内容-小五（OPCC宋体）"/>
    <w:basedOn w:val="1"/>
    <w:link w:val="432"/>
    <w:qFormat/>
    <w:uiPriority w:val="0"/>
    <w:pPr>
      <w:widowControl w:val="0"/>
      <w:jc w:val="center"/>
    </w:pPr>
    <w:rPr>
      <w:rFonts w:ascii="Times New Roman" w:hAnsi="Times New Roman" w:eastAsia="仿宋_GB2312"/>
      <w:sz w:val="18"/>
      <w:szCs w:val="18"/>
    </w:rPr>
  </w:style>
  <w:style w:type="character" w:customStyle="1" w:styleId="434">
    <w:name w:val="desc"/>
    <w:qFormat/>
    <w:uiPriority w:val="0"/>
    <w:rPr>
      <w:color w:val="000000"/>
      <w:sz w:val="18"/>
      <w:szCs w:val="18"/>
    </w:rPr>
  </w:style>
  <w:style w:type="character" w:customStyle="1" w:styleId="435">
    <w:name w:val="样式3 Char Char"/>
    <w:link w:val="436"/>
    <w:qFormat/>
    <w:uiPriority w:val="0"/>
    <w:rPr>
      <w:rFonts w:ascii="Times New Roman" w:hAnsi="Times New Roman"/>
      <w:sz w:val="24"/>
    </w:rPr>
  </w:style>
  <w:style w:type="paragraph" w:customStyle="1" w:styleId="436">
    <w:name w:val="样式3"/>
    <w:basedOn w:val="6"/>
    <w:link w:val="435"/>
    <w:qFormat/>
    <w:uiPriority w:val="0"/>
    <w:pPr>
      <w:widowControl w:val="0"/>
      <w:adjustRightInd w:val="0"/>
      <w:snapToGrid w:val="0"/>
      <w:spacing w:line="360" w:lineRule="auto"/>
      <w:ind w:firstLine="420"/>
      <w:textAlignment w:val="baseline"/>
    </w:pPr>
    <w:rPr>
      <w:rFonts w:ascii="Times New Roman" w:hAnsi="Times New Roman"/>
      <w:sz w:val="24"/>
    </w:rPr>
  </w:style>
  <w:style w:type="character" w:customStyle="1" w:styleId="437">
    <w:name w:val="bb1"/>
    <w:qFormat/>
    <w:uiPriority w:val="0"/>
    <w:rPr>
      <w:sz w:val="23"/>
      <w:szCs w:val="23"/>
    </w:rPr>
  </w:style>
  <w:style w:type="character" w:customStyle="1" w:styleId="438">
    <w:name w:val="表正文 Char1 Char Char"/>
    <w:qFormat/>
    <w:uiPriority w:val="0"/>
    <w:rPr>
      <w:rFonts w:eastAsia="宋体"/>
      <w:sz w:val="28"/>
      <w:lang w:val="en-US" w:eastAsia="zh-CN" w:bidi="ar-SA"/>
    </w:rPr>
  </w:style>
  <w:style w:type="character" w:customStyle="1" w:styleId="439">
    <w:name w:val="图表标题wj Char Char"/>
    <w:link w:val="440"/>
    <w:qFormat/>
    <w:uiPriority w:val="0"/>
    <w:rPr>
      <w:rFonts w:ascii="黑体" w:hAnsi="Times New Roman"/>
      <w:b/>
      <w:kern w:val="2"/>
      <w:sz w:val="24"/>
      <w:szCs w:val="24"/>
    </w:rPr>
  </w:style>
  <w:style w:type="paragraph" w:customStyle="1" w:styleId="440">
    <w:name w:val="图表标题wj"/>
    <w:link w:val="439"/>
    <w:qFormat/>
    <w:uiPriority w:val="0"/>
    <w:pPr>
      <w:adjustRightInd w:val="0"/>
      <w:snapToGrid w:val="0"/>
      <w:jc w:val="center"/>
    </w:pPr>
    <w:rPr>
      <w:rFonts w:ascii="黑体" w:hAnsi="Times New Roman" w:eastAsia="宋体" w:cs="Times New Roman"/>
      <w:b/>
      <w:kern w:val="2"/>
      <w:sz w:val="24"/>
      <w:szCs w:val="24"/>
      <w:lang w:val="en-US" w:eastAsia="zh-CN" w:bidi="ar-SA"/>
    </w:rPr>
  </w:style>
  <w:style w:type="character" w:customStyle="1" w:styleId="441">
    <w:name w:val="标题 8 Char1"/>
    <w:link w:val="12"/>
    <w:qFormat/>
    <w:uiPriority w:val="99"/>
    <w:rPr>
      <w:rFonts w:ascii="Times New Roman" w:hAnsi="Times New Roman"/>
      <w:b/>
      <w:bCs/>
      <w:kern w:val="2"/>
      <w:sz w:val="28"/>
      <w:szCs w:val="28"/>
    </w:rPr>
  </w:style>
  <w:style w:type="character" w:customStyle="1" w:styleId="442">
    <w:name w:val="标题 1 Char"/>
    <w:link w:val="4"/>
    <w:qFormat/>
    <w:uiPriority w:val="0"/>
    <w:rPr>
      <w:rFonts w:eastAsia="黑体"/>
      <w:kern w:val="2"/>
      <w:sz w:val="32"/>
      <w:szCs w:val="22"/>
    </w:rPr>
  </w:style>
  <w:style w:type="character" w:customStyle="1" w:styleId="443">
    <w:name w:val="文档结构图 Char Char"/>
    <w:qFormat/>
    <w:uiPriority w:val="0"/>
    <w:rPr>
      <w:rFonts w:ascii="Times New Roman" w:hAnsi="Times New Roman" w:eastAsia="宋体" w:cs="Times New Roman"/>
      <w:szCs w:val="20"/>
      <w:shd w:val="clear" w:color="auto" w:fill="000080"/>
    </w:rPr>
  </w:style>
  <w:style w:type="character" w:customStyle="1" w:styleId="444">
    <w:name w:val="正文文本缩进 Char1"/>
    <w:qFormat/>
    <w:uiPriority w:val="99"/>
    <w:rPr>
      <w:rFonts w:ascii="Times New Roman" w:hAnsi="Times New Roman" w:eastAsia="宋体" w:cs="Times New Roman"/>
      <w:szCs w:val="24"/>
    </w:rPr>
  </w:style>
  <w:style w:type="character" w:customStyle="1" w:styleId="445">
    <w:name w:val="批注主题 Char1"/>
    <w:semiHidden/>
    <w:qFormat/>
    <w:uiPriority w:val="99"/>
    <w:rPr>
      <w:rFonts w:ascii="Times New Roman" w:hAnsi="Times New Roman" w:eastAsia="宋体" w:cs="Times New Roman"/>
      <w:b/>
      <w:bCs/>
      <w:szCs w:val="24"/>
    </w:rPr>
  </w:style>
  <w:style w:type="character" w:customStyle="1" w:styleId="446">
    <w:name w:val="f241"/>
    <w:qFormat/>
    <w:uiPriority w:val="0"/>
    <w:rPr>
      <w:sz w:val="36"/>
      <w:szCs w:val="36"/>
    </w:rPr>
  </w:style>
  <w:style w:type="character" w:customStyle="1" w:styleId="447">
    <w:name w:val="unnamed11"/>
    <w:qFormat/>
    <w:uiPriority w:val="0"/>
    <w:rPr>
      <w:color w:val="000000"/>
      <w:spacing w:val="450"/>
      <w:sz w:val="18"/>
      <w:szCs w:val="18"/>
    </w:rPr>
  </w:style>
  <w:style w:type="character" w:customStyle="1" w:styleId="448">
    <w:name w:val="项 Char Char"/>
    <w:qFormat/>
    <w:uiPriority w:val="0"/>
    <w:rPr>
      <w:rFonts w:ascii="Times New Roman" w:hAnsi="Times New Roman" w:eastAsia="宋体" w:cs="Times New Roman"/>
      <w:sz w:val="28"/>
      <w:szCs w:val="20"/>
    </w:rPr>
  </w:style>
  <w:style w:type="character" w:customStyle="1" w:styleId="449">
    <w:name w:val="德胜表头 Char Char"/>
    <w:link w:val="450"/>
    <w:qFormat/>
    <w:uiPriority w:val="0"/>
    <w:rPr>
      <w:b/>
      <w:snapToGrid w:val="0"/>
      <w:color w:val="0000FF"/>
      <w:sz w:val="24"/>
      <w:szCs w:val="24"/>
    </w:rPr>
  </w:style>
  <w:style w:type="paragraph" w:customStyle="1" w:styleId="450">
    <w:name w:val="德胜表头"/>
    <w:basedOn w:val="413"/>
    <w:link w:val="449"/>
    <w:qFormat/>
    <w:uiPriority w:val="0"/>
    <w:pPr>
      <w:spacing w:line="240" w:lineRule="auto"/>
      <w:ind w:firstLine="0" w:firstLineChars="0"/>
      <w:jc w:val="center"/>
    </w:pPr>
    <w:rPr>
      <w:b/>
    </w:rPr>
  </w:style>
  <w:style w:type="character" w:customStyle="1" w:styleId="451">
    <w:name w:val="p21"/>
    <w:qFormat/>
    <w:uiPriority w:val="0"/>
    <w:rPr>
      <w:rFonts w:hint="default"/>
      <w:color w:val="0000A0"/>
    </w:rPr>
  </w:style>
  <w:style w:type="character" w:customStyle="1" w:styleId="452">
    <w:name w:val="Char Char221"/>
    <w:qFormat/>
    <w:uiPriority w:val="0"/>
    <w:rPr>
      <w:rFonts w:eastAsia="宋体"/>
      <w:kern w:val="2"/>
      <w:sz w:val="24"/>
      <w:szCs w:val="24"/>
      <w:lang w:val="en-US" w:eastAsia="zh-CN" w:bidi="ar-SA"/>
    </w:rPr>
  </w:style>
  <w:style w:type="character" w:customStyle="1" w:styleId="453">
    <w:name w:val="标题 4 Char"/>
    <w:qFormat/>
    <w:uiPriority w:val="9"/>
    <w:rPr>
      <w:rFonts w:ascii="Cambria" w:hAnsi="Cambria" w:eastAsia="宋体" w:cs="Times New Roman"/>
      <w:b/>
      <w:bCs/>
      <w:sz w:val="28"/>
      <w:szCs w:val="28"/>
    </w:rPr>
  </w:style>
  <w:style w:type="character" w:customStyle="1" w:styleId="454">
    <w:name w:val="标题 2 Char"/>
    <w:qFormat/>
    <w:uiPriority w:val="0"/>
    <w:rPr>
      <w:rFonts w:ascii="Cambria" w:hAnsi="Cambria" w:eastAsia="宋体" w:cs="Times New Roman"/>
      <w:b/>
      <w:bCs/>
      <w:sz w:val="32"/>
      <w:szCs w:val="32"/>
    </w:rPr>
  </w:style>
  <w:style w:type="character" w:customStyle="1" w:styleId="455">
    <w:name w:val="large1"/>
    <w:qFormat/>
    <w:uiPriority w:val="0"/>
    <w:rPr>
      <w:sz w:val="28"/>
    </w:rPr>
  </w:style>
  <w:style w:type="character" w:customStyle="1" w:styleId="456">
    <w:name w:val="样式 表格内容1 + Char Char"/>
    <w:link w:val="457"/>
    <w:qFormat/>
    <w:uiPriority w:val="0"/>
    <w:rPr>
      <w:rFonts w:ascii="Times New Roman" w:hAnsi="Times New Roman"/>
      <w:kern w:val="24"/>
      <w:szCs w:val="24"/>
      <w:lang w:val="en-US" w:eastAsia="zh-CN"/>
    </w:rPr>
  </w:style>
  <w:style w:type="paragraph" w:customStyle="1" w:styleId="457">
    <w:name w:val="样式 表格内容1 +"/>
    <w:basedOn w:val="458"/>
    <w:link w:val="456"/>
    <w:qFormat/>
    <w:uiPriority w:val="0"/>
    <w:rPr>
      <w:rFonts w:ascii="Times New Roman" w:hAnsi="Times New Roman"/>
    </w:rPr>
  </w:style>
  <w:style w:type="paragraph" w:customStyle="1" w:styleId="458">
    <w:name w:val="表格内容1"/>
    <w:basedOn w:val="1"/>
    <w:link w:val="581"/>
    <w:qFormat/>
    <w:uiPriority w:val="0"/>
    <w:pPr>
      <w:widowControl w:val="0"/>
      <w:jc w:val="center"/>
    </w:pPr>
    <w:rPr>
      <w:rFonts w:ascii="Calibri" w:hAnsi="Calibri" w:cs="Times New Roman"/>
      <w:kern w:val="24"/>
      <w:sz w:val="20"/>
    </w:rPr>
  </w:style>
  <w:style w:type="character" w:customStyle="1" w:styleId="459">
    <w:name w:val="bititle"/>
    <w:basedOn w:val="85"/>
    <w:qFormat/>
    <w:uiPriority w:val="0"/>
  </w:style>
  <w:style w:type="character" w:customStyle="1" w:styleId="460">
    <w:name w:val="标题 Char1"/>
    <w:link w:val="78"/>
    <w:qFormat/>
    <w:uiPriority w:val="0"/>
    <w:rPr>
      <w:rFonts w:ascii="Arial" w:hAnsi="Arial"/>
      <w:b/>
      <w:sz w:val="32"/>
    </w:rPr>
  </w:style>
  <w:style w:type="character" w:customStyle="1" w:styleId="461">
    <w:name w:val="【表格注释】"/>
    <w:qFormat/>
    <w:uiPriority w:val="0"/>
    <w:rPr>
      <w:rFonts w:eastAsia="宋体" w:cs="宋体"/>
      <w:spacing w:val="16"/>
      <w:kern w:val="0"/>
      <w:sz w:val="21"/>
    </w:rPr>
  </w:style>
  <w:style w:type="character" w:customStyle="1" w:styleId="462">
    <w:name w:val="spelle"/>
    <w:basedOn w:val="85"/>
    <w:qFormat/>
    <w:uiPriority w:val="0"/>
  </w:style>
  <w:style w:type="character" w:customStyle="1" w:styleId="463">
    <w:name w:val="javascript"/>
    <w:basedOn w:val="85"/>
    <w:qFormat/>
    <w:uiPriority w:val="0"/>
  </w:style>
  <w:style w:type="character" w:customStyle="1" w:styleId="464">
    <w:name w:val="polysemyred"/>
    <w:qFormat/>
    <w:uiPriority w:val="0"/>
    <w:rPr>
      <w:color w:val="FF6666"/>
      <w:sz w:val="18"/>
      <w:szCs w:val="18"/>
    </w:rPr>
  </w:style>
  <w:style w:type="character" w:customStyle="1" w:styleId="465">
    <w:name w:val="text-8"/>
    <w:basedOn w:val="85"/>
    <w:qFormat/>
    <w:uiPriority w:val="0"/>
  </w:style>
  <w:style w:type="character" w:customStyle="1" w:styleId="466">
    <w:name w:val="上标"/>
    <w:qFormat/>
    <w:uiPriority w:val="0"/>
    <w:rPr>
      <w:vertAlign w:val="superscript"/>
    </w:rPr>
  </w:style>
  <w:style w:type="character" w:customStyle="1" w:styleId="467">
    <w:name w:val="正文首行缩进 Char Char Char"/>
    <w:basedOn w:val="426"/>
    <w:qFormat/>
    <w:uiPriority w:val="0"/>
    <w:rPr>
      <w:rFonts w:ascii="Times New Roman" w:hAnsi="Times New Roman" w:eastAsia="宋体" w:cs="Times New Roman"/>
      <w:szCs w:val="24"/>
    </w:rPr>
  </w:style>
  <w:style w:type="character" w:customStyle="1" w:styleId="468">
    <w:name w:val="Char Char14"/>
    <w:qFormat/>
    <w:uiPriority w:val="0"/>
    <w:rPr>
      <w:sz w:val="18"/>
      <w:szCs w:val="18"/>
    </w:rPr>
  </w:style>
  <w:style w:type="character" w:customStyle="1" w:styleId="469">
    <w:name w:val="信息标题 Char"/>
    <w:link w:val="73"/>
    <w:qFormat/>
    <w:uiPriority w:val="0"/>
    <w:rPr>
      <w:rFonts w:ascii="Arial" w:hAnsi="Arial" w:eastAsia="仿宋_GB2312"/>
      <w:sz w:val="24"/>
      <w:shd w:val="pct20" w:color="auto" w:fill="auto"/>
    </w:rPr>
  </w:style>
  <w:style w:type="character" w:customStyle="1" w:styleId="470">
    <w:name w:val="正文首行缩进 Char"/>
    <w:basedOn w:val="238"/>
    <w:link w:val="80"/>
    <w:qFormat/>
    <w:uiPriority w:val="99"/>
    <w:rPr>
      <w:color w:val="000000"/>
      <w:kern w:val="2"/>
      <w:sz w:val="24"/>
      <w:szCs w:val="22"/>
    </w:rPr>
  </w:style>
  <w:style w:type="character" w:customStyle="1" w:styleId="471">
    <w:name w:val="正文---------------- Char Char"/>
    <w:link w:val="472"/>
    <w:qFormat/>
    <w:uiPriority w:val="0"/>
    <w:rPr>
      <w:spacing w:val="16"/>
      <w:sz w:val="24"/>
    </w:rPr>
  </w:style>
  <w:style w:type="paragraph" w:customStyle="1" w:styleId="472">
    <w:name w:val="正文----------------"/>
    <w:basedOn w:val="1"/>
    <w:link w:val="471"/>
    <w:qFormat/>
    <w:uiPriority w:val="0"/>
    <w:pPr>
      <w:widowControl w:val="0"/>
      <w:spacing w:line="440" w:lineRule="exact"/>
      <w:ind w:firstLine="544" w:firstLineChars="200"/>
      <w:jc w:val="both"/>
    </w:pPr>
    <w:rPr>
      <w:rFonts w:ascii="Calibri" w:hAnsi="Calibri" w:cs="Times New Roman"/>
      <w:spacing w:val="16"/>
      <w:szCs w:val="20"/>
    </w:rPr>
  </w:style>
  <w:style w:type="character" w:customStyle="1" w:styleId="473">
    <w:name w:val="标题2----------------- Char Char"/>
    <w:link w:val="474"/>
    <w:qFormat/>
    <w:uiPriority w:val="0"/>
    <w:rPr>
      <w:b/>
      <w:bCs/>
      <w:sz w:val="32"/>
    </w:rPr>
  </w:style>
  <w:style w:type="paragraph" w:customStyle="1" w:styleId="474">
    <w:name w:val="标题2-----------------"/>
    <w:basedOn w:val="5"/>
    <w:link w:val="473"/>
    <w:qFormat/>
    <w:uiPriority w:val="0"/>
    <w:pPr>
      <w:keepNext w:val="0"/>
      <w:widowControl w:val="0"/>
      <w:spacing w:before="200" w:after="200" w:line="240" w:lineRule="auto"/>
      <w:jc w:val="both"/>
    </w:pPr>
    <w:rPr>
      <w:rFonts w:eastAsia="宋体"/>
      <w:b/>
      <w:sz w:val="32"/>
      <w:szCs w:val="20"/>
    </w:rPr>
  </w:style>
  <w:style w:type="character" w:customStyle="1" w:styleId="475">
    <w:name w:val="正文文本 (9) + Georgia"/>
    <w:qFormat/>
    <w:uiPriority w:val="99"/>
    <w:rPr>
      <w:rFonts w:ascii="Georgia" w:hAnsi="Georgia" w:eastAsia="MingLiU" w:cs="Georgia"/>
      <w:shd w:val="clear" w:color="auto" w:fill="FFFFFF"/>
      <w:lang w:val="en-US" w:eastAsia="en-US"/>
    </w:rPr>
  </w:style>
  <w:style w:type="character" w:customStyle="1" w:styleId="476">
    <w:name w:val="Char Char5"/>
    <w:qFormat/>
    <w:uiPriority w:val="0"/>
    <w:rPr>
      <w:rFonts w:hint="eastAsia" w:ascii="宋体" w:hAnsi="宋体" w:eastAsia="宋体"/>
      <w:kern w:val="2"/>
      <w:sz w:val="21"/>
      <w:szCs w:val="24"/>
      <w:lang w:val="en-US" w:eastAsia="zh-CN" w:bidi="ar-SA"/>
    </w:rPr>
  </w:style>
  <w:style w:type="character" w:customStyle="1" w:styleId="477">
    <w:name w:val="font71"/>
    <w:qFormat/>
    <w:uiPriority w:val="0"/>
    <w:rPr>
      <w:rFonts w:hint="eastAsia" w:ascii="宋体" w:hAnsi="宋体" w:eastAsia="宋体" w:cs="宋体"/>
      <w:b/>
      <w:color w:val="000000"/>
      <w:sz w:val="20"/>
      <w:szCs w:val="20"/>
      <w:u w:val="none"/>
    </w:rPr>
  </w:style>
  <w:style w:type="character" w:customStyle="1" w:styleId="478">
    <w:name w:val="书籍标题1"/>
    <w:qFormat/>
    <w:uiPriority w:val="0"/>
    <w:rPr>
      <w:b/>
      <w:bCs/>
      <w:smallCaps/>
      <w:spacing w:val="5"/>
    </w:rPr>
  </w:style>
  <w:style w:type="character" w:customStyle="1" w:styleId="479">
    <w:name w:val="font141"/>
    <w:qFormat/>
    <w:uiPriority w:val="0"/>
    <w:rPr>
      <w:rFonts w:hint="eastAsia" w:ascii="宋体" w:hAnsi="宋体" w:eastAsia="宋体"/>
      <w:color w:val="000000"/>
      <w:sz w:val="22"/>
      <w:szCs w:val="22"/>
      <w:u w:val="none"/>
    </w:rPr>
  </w:style>
  <w:style w:type="character" w:customStyle="1" w:styleId="480">
    <w:name w:val="文档结构图 Char1"/>
    <w:semiHidden/>
    <w:qFormat/>
    <w:uiPriority w:val="99"/>
    <w:rPr>
      <w:rFonts w:ascii="宋体" w:hAnsi="Times New Roman" w:eastAsia="宋体" w:cs="Times New Roman"/>
      <w:sz w:val="18"/>
      <w:szCs w:val="18"/>
    </w:rPr>
  </w:style>
  <w:style w:type="character" w:customStyle="1" w:styleId="481">
    <w:name w:val="表格左 Char Char"/>
    <w:link w:val="482"/>
    <w:qFormat/>
    <w:uiPriority w:val="0"/>
    <w:rPr>
      <w:rFonts w:ascii="宋体" w:hAnsi="宋体"/>
      <w:b/>
      <w:szCs w:val="24"/>
    </w:rPr>
  </w:style>
  <w:style w:type="paragraph" w:customStyle="1" w:styleId="482">
    <w:name w:val="表格左"/>
    <w:basedOn w:val="1"/>
    <w:link w:val="481"/>
    <w:qFormat/>
    <w:uiPriority w:val="0"/>
    <w:pPr>
      <w:widowControl w:val="0"/>
      <w:spacing w:line="240" w:lineRule="atLeast"/>
      <w:jc w:val="center"/>
    </w:pPr>
    <w:rPr>
      <w:rFonts w:cs="Times New Roman"/>
      <w:b/>
      <w:sz w:val="20"/>
    </w:rPr>
  </w:style>
  <w:style w:type="character" w:customStyle="1" w:styleId="483">
    <w:name w:val="样式 报告正文 + 首行缩进:  2 字符 Char Char Char"/>
    <w:link w:val="484"/>
    <w:qFormat/>
    <w:locked/>
    <w:uiPriority w:val="0"/>
    <w:rPr>
      <w:rFonts w:ascii="楷体_GB2312" w:eastAsia="楷体_GB2312" w:cs="宋体"/>
      <w:bCs/>
      <w:kern w:val="2"/>
      <w:sz w:val="30"/>
      <w:szCs w:val="24"/>
    </w:rPr>
  </w:style>
  <w:style w:type="paragraph" w:customStyle="1" w:styleId="484">
    <w:name w:val="样式 报告正文 + 首行缩进:  2 字符 Char Char"/>
    <w:basedOn w:val="1"/>
    <w:link w:val="483"/>
    <w:qFormat/>
    <w:uiPriority w:val="0"/>
    <w:pPr>
      <w:widowControl w:val="0"/>
      <w:spacing w:line="312" w:lineRule="auto"/>
      <w:ind w:firstLine="600" w:firstLineChars="200"/>
      <w:jc w:val="both"/>
    </w:pPr>
    <w:rPr>
      <w:rFonts w:ascii="楷体_GB2312" w:hAnsi="Calibri" w:eastAsia="楷体_GB2312"/>
      <w:bCs/>
      <w:kern w:val="2"/>
      <w:sz w:val="30"/>
    </w:rPr>
  </w:style>
  <w:style w:type="character" w:customStyle="1" w:styleId="485">
    <w:name w:val="正文文本缩进 2 Char2"/>
    <w:semiHidden/>
    <w:qFormat/>
    <w:uiPriority w:val="99"/>
    <w:rPr>
      <w:rFonts w:ascii="Calibri" w:hAnsi="Calibri" w:eastAsia="宋体" w:cs="Times New Roman"/>
    </w:rPr>
  </w:style>
  <w:style w:type="character" w:customStyle="1" w:styleId="486">
    <w:name w:val="hei11"/>
    <w:basedOn w:val="85"/>
    <w:qFormat/>
    <w:uiPriority w:val="0"/>
  </w:style>
  <w:style w:type="character" w:customStyle="1" w:styleId="487">
    <w:name w:val="Char Char24"/>
    <w:qFormat/>
    <w:uiPriority w:val="0"/>
    <w:rPr>
      <w:b/>
      <w:kern w:val="44"/>
      <w:sz w:val="44"/>
    </w:rPr>
  </w:style>
  <w:style w:type="character" w:customStyle="1" w:styleId="488">
    <w:name w:val="样式 题注 + (西文) Arial (中文) 黑体 小四 Char Char Char"/>
    <w:qFormat/>
    <w:uiPriority w:val="0"/>
    <w:rPr>
      <w:rFonts w:ascii="Arial" w:hAnsi="Arial" w:eastAsia="黑体" w:cs="Arial"/>
      <w:b/>
      <w:bCs/>
      <w:snapToGrid w:val="0"/>
      <w:color w:val="000000"/>
      <w:kern w:val="2"/>
      <w:sz w:val="24"/>
      <w:szCs w:val="28"/>
      <w:lang w:val="en-US" w:eastAsia="zh-CN" w:bidi="ar-SA"/>
    </w:rPr>
  </w:style>
  <w:style w:type="character" w:customStyle="1" w:styleId="489">
    <w:name w:val="表头------------- Char Char"/>
    <w:link w:val="490"/>
    <w:qFormat/>
    <w:uiPriority w:val="0"/>
    <w:rPr>
      <w:rFonts w:eastAsia="黑体"/>
      <w:sz w:val="24"/>
    </w:rPr>
  </w:style>
  <w:style w:type="paragraph" w:customStyle="1" w:styleId="490">
    <w:name w:val="表头-------------"/>
    <w:basedOn w:val="1"/>
    <w:link w:val="489"/>
    <w:qFormat/>
    <w:uiPriority w:val="0"/>
    <w:pPr>
      <w:widowControl w:val="0"/>
      <w:spacing w:line="460" w:lineRule="exact"/>
      <w:jc w:val="center"/>
    </w:pPr>
    <w:rPr>
      <w:rFonts w:ascii="Calibri" w:hAnsi="Calibri" w:eastAsia="黑体" w:cs="Times New Roman"/>
      <w:szCs w:val="20"/>
    </w:rPr>
  </w:style>
  <w:style w:type="character" w:customStyle="1" w:styleId="491">
    <w:name w:val="尾注文本 Char1"/>
    <w:qFormat/>
    <w:uiPriority w:val="0"/>
    <w:rPr>
      <w:rFonts w:ascii="Times New Roman" w:hAnsi="Times New Roman" w:eastAsia="宋体" w:cs="Times New Roman"/>
      <w:szCs w:val="24"/>
    </w:rPr>
  </w:style>
  <w:style w:type="character" w:customStyle="1" w:styleId="492">
    <w:name w:val="正文文本 2 Char"/>
    <w:link w:val="70"/>
    <w:qFormat/>
    <w:uiPriority w:val="99"/>
    <w:rPr>
      <w:rFonts w:ascii="Times New Roman" w:hAnsi="Times New Roman"/>
      <w:sz w:val="24"/>
      <w:szCs w:val="24"/>
    </w:rPr>
  </w:style>
  <w:style w:type="character" w:customStyle="1" w:styleId="493">
    <w:name w:val="小表中 Char Char"/>
    <w:link w:val="494"/>
    <w:qFormat/>
    <w:uiPriority w:val="0"/>
    <w:rPr>
      <w:rFonts w:ascii="宋体" w:hAnsi="宋体"/>
    </w:rPr>
  </w:style>
  <w:style w:type="paragraph" w:customStyle="1" w:styleId="494">
    <w:name w:val="小表中"/>
    <w:basedOn w:val="1"/>
    <w:link w:val="493"/>
    <w:qFormat/>
    <w:uiPriority w:val="0"/>
    <w:pPr>
      <w:keepNext/>
      <w:widowControl w:val="0"/>
      <w:tabs>
        <w:tab w:val="left" w:pos="1769"/>
      </w:tabs>
      <w:adjustRightInd w:val="0"/>
      <w:snapToGrid w:val="0"/>
      <w:spacing w:line="240" w:lineRule="atLeast"/>
      <w:jc w:val="center"/>
    </w:pPr>
    <w:rPr>
      <w:rFonts w:cs="Times New Roman"/>
      <w:sz w:val="20"/>
      <w:szCs w:val="20"/>
    </w:rPr>
  </w:style>
  <w:style w:type="character" w:customStyle="1" w:styleId="495">
    <w:name w:val="标题 3 Char1"/>
    <w:link w:val="7"/>
    <w:qFormat/>
    <w:uiPriority w:val="9"/>
    <w:rPr>
      <w:rFonts w:ascii="Times New Roman" w:hAnsi="Times New Roman" w:eastAsia="黑体"/>
      <w:bCs/>
      <w:szCs w:val="32"/>
    </w:rPr>
  </w:style>
  <w:style w:type="character" w:customStyle="1" w:styleId="496">
    <w:name w:val="Char Char212"/>
    <w:qFormat/>
    <w:uiPriority w:val="0"/>
    <w:rPr>
      <w:rFonts w:eastAsia="宋体"/>
      <w:kern w:val="2"/>
      <w:sz w:val="21"/>
      <w:szCs w:val="24"/>
      <w:lang w:val="en-US" w:eastAsia="zh-CN" w:bidi="ar-SA"/>
    </w:rPr>
  </w:style>
  <w:style w:type="character" w:customStyle="1" w:styleId="497">
    <w:name w:val="content1"/>
    <w:qFormat/>
    <w:uiPriority w:val="0"/>
    <w:rPr>
      <w:rFonts w:ascii="黑体" w:hAnsi="宋体" w:eastAsia="黑体" w:cs="宋体"/>
      <w:b/>
      <w:kern w:val="2"/>
      <w:sz w:val="14"/>
      <w:szCs w:val="14"/>
      <w:lang w:val="en-US" w:eastAsia="zh-CN" w:bidi="ar-SA"/>
    </w:rPr>
  </w:style>
  <w:style w:type="character" w:customStyle="1" w:styleId="498">
    <w:name w:val="样式 标题 3条标题头标题3H3h33rd level第二层条标题 3 Char小标题小节标题标题 3 C...5 Char"/>
    <w:link w:val="499"/>
    <w:qFormat/>
    <w:uiPriority w:val="0"/>
    <w:rPr>
      <w:rFonts w:ascii="黑体" w:hAnsi="Times New Roman" w:eastAsia="黑体"/>
      <w:color w:val="000000"/>
      <w:sz w:val="24"/>
      <w:szCs w:val="24"/>
    </w:rPr>
  </w:style>
  <w:style w:type="paragraph" w:customStyle="1" w:styleId="499">
    <w:name w:val="样式 标题 3条标题头标题3H3h33rd level第二层条标题 3 Char小标题小节标题标题 3 C...5"/>
    <w:basedOn w:val="7"/>
    <w:link w:val="498"/>
    <w:qFormat/>
    <w:uiPriority w:val="0"/>
    <w:pPr>
      <w:widowControl w:val="0"/>
      <w:spacing w:line="720" w:lineRule="auto"/>
      <w:jc w:val="both"/>
    </w:pPr>
    <w:rPr>
      <w:rFonts w:ascii="黑体"/>
      <w:bCs w:val="0"/>
      <w:color w:val="000000"/>
      <w:sz w:val="24"/>
      <w:szCs w:val="24"/>
    </w:rPr>
  </w:style>
  <w:style w:type="character" w:customStyle="1" w:styleId="500">
    <w:name w:val="Char Char51"/>
    <w:semiHidden/>
    <w:qFormat/>
    <w:uiPriority w:val="0"/>
    <w:rPr>
      <w:rFonts w:ascii="Calibri" w:hAnsi="Calibri" w:eastAsia="宋体"/>
      <w:kern w:val="2"/>
      <w:sz w:val="18"/>
      <w:szCs w:val="18"/>
      <w:lang w:val="en-US" w:eastAsia="zh-CN" w:bidi="ar-SA"/>
    </w:rPr>
  </w:style>
  <w:style w:type="character" w:customStyle="1" w:styleId="501">
    <w:name w:val="样式 标题 3条标题头标题3H3h33rd level第二层条标题 3 Char小标题小节标题标题 3 C...4 Char"/>
    <w:link w:val="502"/>
    <w:qFormat/>
    <w:uiPriority w:val="0"/>
    <w:rPr>
      <w:rFonts w:ascii="黑体" w:hAnsi="Times New Roman" w:eastAsia="黑体"/>
      <w:bCs/>
      <w:color w:val="000000"/>
      <w:sz w:val="24"/>
      <w:szCs w:val="24"/>
    </w:rPr>
  </w:style>
  <w:style w:type="paragraph" w:customStyle="1" w:styleId="502">
    <w:name w:val="样式 标题 3条标题头标题3H3h33rd level第二层条标题 3 Char小标题小节标题标题 3 C...4"/>
    <w:basedOn w:val="7"/>
    <w:link w:val="501"/>
    <w:qFormat/>
    <w:uiPriority w:val="0"/>
    <w:pPr>
      <w:widowControl w:val="0"/>
      <w:spacing w:line="720" w:lineRule="auto"/>
      <w:jc w:val="both"/>
    </w:pPr>
    <w:rPr>
      <w:rFonts w:ascii="黑体"/>
      <w:color w:val="000000"/>
      <w:sz w:val="24"/>
      <w:szCs w:val="24"/>
    </w:rPr>
  </w:style>
  <w:style w:type="character" w:customStyle="1" w:styleId="503">
    <w:name w:val="正文文本 (9) + 间距 0 pt"/>
    <w:qFormat/>
    <w:uiPriority w:val="99"/>
    <w:rPr>
      <w:rFonts w:ascii="MingLiU" w:eastAsia="MingLiU" w:cs="MingLiU"/>
      <w:spacing w:val="10"/>
      <w:sz w:val="20"/>
      <w:szCs w:val="20"/>
      <w:u w:val="none"/>
      <w:shd w:val="clear" w:color="auto" w:fill="FFFFFF"/>
    </w:rPr>
  </w:style>
  <w:style w:type="character" w:customStyle="1" w:styleId="504">
    <w:name w:val="标题3 Char Char"/>
    <w:link w:val="279"/>
    <w:qFormat/>
    <w:uiPriority w:val="0"/>
    <w:rPr>
      <w:rFonts w:ascii="仿宋_GB2312" w:eastAsia="黑体"/>
      <w:b/>
      <w:sz w:val="28"/>
      <w:szCs w:val="32"/>
    </w:rPr>
  </w:style>
  <w:style w:type="character" w:customStyle="1" w:styleId="505">
    <w:name w:val="15"/>
    <w:basedOn w:val="85"/>
    <w:qFormat/>
    <w:uiPriority w:val="0"/>
  </w:style>
  <w:style w:type="character" w:customStyle="1" w:styleId="506">
    <w:name w:val="表标题 Char Char"/>
    <w:link w:val="507"/>
    <w:qFormat/>
    <w:uiPriority w:val="0"/>
    <w:rPr>
      <w:rFonts w:ascii="Times New Roman" w:hAnsi="Times New Roman"/>
      <w:szCs w:val="24"/>
    </w:rPr>
  </w:style>
  <w:style w:type="paragraph" w:customStyle="1" w:styleId="507">
    <w:name w:val="表标题"/>
    <w:basedOn w:val="21"/>
    <w:link w:val="506"/>
    <w:qFormat/>
    <w:uiPriority w:val="0"/>
    <w:pPr>
      <w:tabs>
        <w:tab w:val="left" w:pos="360"/>
      </w:tabs>
      <w:topLinePunct w:val="0"/>
      <w:spacing w:line="240" w:lineRule="auto"/>
      <w:ind w:left="0" w:firstLine="0"/>
      <w:jc w:val="center"/>
    </w:pPr>
    <w:rPr>
      <w:rFonts w:ascii="Times New Roman" w:eastAsia="宋体"/>
      <w:kern w:val="0"/>
      <w:sz w:val="20"/>
      <w:szCs w:val="24"/>
    </w:rPr>
  </w:style>
  <w:style w:type="character" w:customStyle="1" w:styleId="508">
    <w:name w:val="Char Char20"/>
    <w:qFormat/>
    <w:uiPriority w:val="0"/>
    <w:rPr>
      <w:rFonts w:ascii="宋体" w:eastAsia="宋体"/>
      <w:color w:val="000000"/>
      <w:sz w:val="36"/>
      <w:lang w:val="en-US" w:eastAsia="zh-CN" w:bidi="ar-SA"/>
    </w:rPr>
  </w:style>
  <w:style w:type="character" w:customStyle="1" w:styleId="509">
    <w:name w:val="表1 Char Char"/>
    <w:link w:val="510"/>
    <w:qFormat/>
    <w:uiPriority w:val="0"/>
    <w:rPr>
      <w:rFonts w:ascii="Times New Roman" w:hAnsi="Times New Roman"/>
      <w:sz w:val="21"/>
    </w:rPr>
  </w:style>
  <w:style w:type="paragraph" w:customStyle="1" w:styleId="510">
    <w:name w:val="表1"/>
    <w:next w:val="1"/>
    <w:link w:val="509"/>
    <w:qFormat/>
    <w:uiPriority w:val="0"/>
    <w:pPr>
      <w:adjustRightInd w:val="0"/>
      <w:snapToGrid w:val="0"/>
      <w:jc w:val="center"/>
    </w:pPr>
    <w:rPr>
      <w:rFonts w:ascii="Times New Roman" w:hAnsi="Times New Roman" w:eastAsia="宋体" w:cs="Times New Roman"/>
      <w:sz w:val="21"/>
      <w:lang w:val="en-US" w:eastAsia="zh-CN" w:bidi="ar-SA"/>
    </w:rPr>
  </w:style>
  <w:style w:type="character" w:customStyle="1" w:styleId="511">
    <w:name w:val="样式 小四 蓝色 首行缩进:  0.85 厘米 行距: 多倍行距 1.4 字行 Char Char"/>
    <w:link w:val="512"/>
    <w:qFormat/>
    <w:uiPriority w:val="0"/>
    <w:rPr>
      <w:color w:val="0000FF"/>
      <w:sz w:val="24"/>
    </w:rPr>
  </w:style>
  <w:style w:type="paragraph" w:customStyle="1" w:styleId="512">
    <w:name w:val="样式 小四 蓝色 首行缩进:  0.85 厘米 行距: 多倍行距 1.4 字行"/>
    <w:basedOn w:val="1"/>
    <w:link w:val="511"/>
    <w:qFormat/>
    <w:uiPriority w:val="0"/>
    <w:pPr>
      <w:widowControl w:val="0"/>
      <w:spacing w:line="336" w:lineRule="auto"/>
      <w:ind w:firstLine="482"/>
      <w:jc w:val="both"/>
    </w:pPr>
    <w:rPr>
      <w:rFonts w:ascii="Calibri" w:hAnsi="Calibri" w:cs="Times New Roman"/>
      <w:color w:val="0000FF"/>
      <w:szCs w:val="20"/>
    </w:rPr>
  </w:style>
  <w:style w:type="character" w:customStyle="1" w:styleId="513">
    <w:name w:val="注释标题 Char2"/>
    <w:semiHidden/>
    <w:qFormat/>
    <w:uiPriority w:val="99"/>
    <w:rPr>
      <w:rFonts w:ascii="Calibri" w:hAnsi="Calibri" w:eastAsia="宋体" w:cs="Times New Roman"/>
    </w:rPr>
  </w:style>
  <w:style w:type="character" w:customStyle="1" w:styleId="514">
    <w:name w:val="正文文本 (14)5"/>
    <w:qFormat/>
    <w:uiPriority w:val="0"/>
    <w:rPr>
      <w:rFonts w:ascii="宋体" w:eastAsia="宋体" w:cs="宋体"/>
      <w:sz w:val="10"/>
      <w:szCs w:val="10"/>
      <w:shd w:val="clear" w:color="auto" w:fill="FFFFFF"/>
    </w:rPr>
  </w:style>
  <w:style w:type="character" w:customStyle="1" w:styleId="515">
    <w:name w:val="Char Char191"/>
    <w:qFormat/>
    <w:uiPriority w:val="0"/>
    <w:rPr>
      <w:rFonts w:eastAsia="黑体"/>
      <w:kern w:val="2"/>
      <w:sz w:val="24"/>
      <w:szCs w:val="24"/>
      <w:lang w:val="en-US" w:eastAsia="zh-CN" w:bidi="ar-SA"/>
    </w:rPr>
  </w:style>
  <w:style w:type="character" w:customStyle="1" w:styleId="516">
    <w:name w:val="1正文段落 Char Char Char"/>
    <w:link w:val="517"/>
    <w:qFormat/>
    <w:uiPriority w:val="0"/>
    <w:rPr>
      <w:snapToGrid w:val="0"/>
      <w:kern w:val="2"/>
      <w:sz w:val="24"/>
      <w:szCs w:val="24"/>
    </w:rPr>
  </w:style>
  <w:style w:type="paragraph" w:customStyle="1" w:styleId="517">
    <w:name w:val="1正文段落 Char"/>
    <w:basedOn w:val="1"/>
    <w:link w:val="516"/>
    <w:qFormat/>
    <w:uiPriority w:val="0"/>
    <w:pPr>
      <w:widowControl w:val="0"/>
      <w:spacing w:line="360" w:lineRule="auto"/>
      <w:ind w:firstLine="200" w:firstLineChars="200"/>
    </w:pPr>
    <w:rPr>
      <w:rFonts w:ascii="Calibri" w:hAnsi="Calibri" w:cs="Times New Roman"/>
      <w:snapToGrid w:val="0"/>
      <w:kern w:val="2"/>
    </w:rPr>
  </w:style>
  <w:style w:type="character" w:customStyle="1" w:styleId="518">
    <w:name w:val="表 Char Char"/>
    <w:link w:val="519"/>
    <w:qFormat/>
    <w:locked/>
    <w:uiPriority w:val="0"/>
    <w:rPr>
      <w:rFonts w:ascii="Times New Roman" w:hAnsi="Times New Roman"/>
      <w:spacing w:val="2"/>
    </w:rPr>
  </w:style>
  <w:style w:type="paragraph" w:customStyle="1" w:styleId="519">
    <w:name w:val="表"/>
    <w:basedOn w:val="1"/>
    <w:link w:val="518"/>
    <w:qFormat/>
    <w:uiPriority w:val="0"/>
    <w:pPr>
      <w:widowControl w:val="0"/>
      <w:snapToGrid w:val="0"/>
      <w:jc w:val="center"/>
    </w:pPr>
    <w:rPr>
      <w:rFonts w:ascii="Times New Roman" w:hAnsi="Times New Roman" w:cs="Times New Roman"/>
      <w:spacing w:val="2"/>
      <w:sz w:val="20"/>
      <w:szCs w:val="20"/>
    </w:rPr>
  </w:style>
  <w:style w:type="character" w:customStyle="1" w:styleId="520">
    <w:name w:val="【标题3】 Char Char"/>
    <w:link w:val="521"/>
    <w:qFormat/>
    <w:uiPriority w:val="0"/>
    <w:rPr>
      <w:b/>
      <w:bCs/>
      <w:sz w:val="30"/>
    </w:rPr>
  </w:style>
  <w:style w:type="paragraph" w:customStyle="1" w:styleId="521">
    <w:name w:val="【标题3】"/>
    <w:basedOn w:val="7"/>
    <w:link w:val="520"/>
    <w:qFormat/>
    <w:uiPriority w:val="0"/>
    <w:pPr>
      <w:keepNext w:val="0"/>
      <w:widowControl w:val="0"/>
      <w:spacing w:before="240" w:after="240" w:line="240" w:lineRule="auto"/>
      <w:jc w:val="both"/>
    </w:pPr>
    <w:rPr>
      <w:rFonts w:ascii="Calibri" w:hAnsi="Calibri" w:eastAsia="宋体"/>
      <w:b/>
      <w:sz w:val="30"/>
      <w:szCs w:val="20"/>
    </w:rPr>
  </w:style>
  <w:style w:type="character" w:customStyle="1" w:styleId="522">
    <w:name w:val="批注文字 Char2"/>
    <w:semiHidden/>
    <w:qFormat/>
    <w:uiPriority w:val="99"/>
    <w:rPr>
      <w:rFonts w:ascii="Calibri" w:hAnsi="Calibri" w:eastAsia="宋体" w:cs="Times New Roman"/>
    </w:rPr>
  </w:style>
  <w:style w:type="character" w:customStyle="1" w:styleId="523">
    <w:name w:val="普通文字 Char Char Char Char3"/>
    <w:qFormat/>
    <w:uiPriority w:val="0"/>
    <w:rPr>
      <w:rFonts w:ascii="宋体" w:hAnsi="Courier New" w:eastAsia="宋体"/>
      <w:kern w:val="2"/>
      <w:sz w:val="28"/>
      <w:lang w:val="en-US" w:eastAsia="zh-CN" w:bidi="ar-SA"/>
    </w:rPr>
  </w:style>
  <w:style w:type="character" w:customStyle="1" w:styleId="524">
    <w:name w:val="表头 Char2"/>
    <w:qFormat/>
    <w:uiPriority w:val="0"/>
    <w:rPr>
      <w:rFonts w:ascii="黑体" w:eastAsia="黑体"/>
      <w:bCs/>
      <w:kern w:val="2"/>
      <w:sz w:val="21"/>
      <w:szCs w:val="24"/>
      <w:lang w:val="en-US" w:eastAsia="zh-CN" w:bidi="ar-SA"/>
    </w:rPr>
  </w:style>
  <w:style w:type="character" w:customStyle="1" w:styleId="525">
    <w:name w:val="Body text 1 Char Char Char"/>
    <w:qFormat/>
    <w:uiPriority w:val="0"/>
    <w:rPr>
      <w:snapToGrid/>
      <w:sz w:val="24"/>
      <w:szCs w:val="24"/>
      <w:lang w:eastAsia="zh-CN"/>
    </w:rPr>
  </w:style>
  <w:style w:type="character" w:customStyle="1" w:styleId="526">
    <w:name w:val="列表 Char"/>
    <w:link w:val="3"/>
    <w:qFormat/>
    <w:uiPriority w:val="0"/>
    <w:rPr>
      <w:rFonts w:ascii="黑体" w:hAnsi="Times New Roman" w:eastAsia="黑体"/>
      <w:kern w:val="2"/>
      <w:sz w:val="24"/>
      <w:szCs w:val="24"/>
    </w:rPr>
  </w:style>
  <w:style w:type="character" w:customStyle="1" w:styleId="527">
    <w:name w:val="题注 Char"/>
    <w:link w:val="22"/>
    <w:qFormat/>
    <w:uiPriority w:val="0"/>
    <w:rPr>
      <w:rFonts w:ascii="Arial" w:hAnsi="Arial" w:eastAsia="黑体" w:cs="Arial"/>
    </w:rPr>
  </w:style>
  <w:style w:type="character" w:customStyle="1" w:styleId="528">
    <w:name w:val="Char Char1"/>
    <w:qFormat/>
    <w:uiPriority w:val="0"/>
    <w:rPr>
      <w:rFonts w:eastAsia="宋体"/>
      <w:kern w:val="2"/>
      <w:sz w:val="21"/>
      <w:szCs w:val="24"/>
      <w:lang w:val="en-US" w:eastAsia="zh-CN" w:bidi="ar-SA"/>
    </w:rPr>
  </w:style>
  <w:style w:type="character" w:customStyle="1" w:styleId="529">
    <w:name w:val="txt"/>
    <w:basedOn w:val="85"/>
    <w:qFormat/>
    <w:uiPriority w:val="0"/>
  </w:style>
  <w:style w:type="character" w:customStyle="1" w:styleId="530">
    <w:name w:val="Char Char11"/>
    <w:qFormat/>
    <w:uiPriority w:val="0"/>
    <w:rPr>
      <w:rFonts w:ascii="Calibri" w:hAnsi="Calibri" w:eastAsia="宋体"/>
      <w:kern w:val="2"/>
      <w:sz w:val="18"/>
      <w:szCs w:val="18"/>
      <w:lang w:val="en-US" w:eastAsia="zh-CN" w:bidi="ar-SA"/>
    </w:rPr>
  </w:style>
  <w:style w:type="character" w:customStyle="1" w:styleId="531">
    <w:name w:val="表内文字 Char Char"/>
    <w:qFormat/>
    <w:uiPriority w:val="0"/>
    <w:rPr>
      <w:rFonts w:ascii="宋体" w:hAnsi="Courier New" w:eastAsia="宋体" w:cs="Courier New"/>
      <w:kern w:val="2"/>
      <w:sz w:val="21"/>
      <w:szCs w:val="21"/>
      <w:lang w:val="en-US" w:eastAsia="zh-CN" w:bidi="ar-SA"/>
    </w:rPr>
  </w:style>
  <w:style w:type="character" w:customStyle="1" w:styleId="532">
    <w:name w:val="14p"/>
    <w:basedOn w:val="85"/>
    <w:qFormat/>
    <w:uiPriority w:val="0"/>
  </w:style>
  <w:style w:type="character" w:customStyle="1" w:styleId="533">
    <w:name w:val="结束语 Char1"/>
    <w:semiHidden/>
    <w:qFormat/>
    <w:uiPriority w:val="99"/>
    <w:rPr>
      <w:rFonts w:ascii="Calibri" w:hAnsi="Calibri" w:eastAsia="宋体" w:cs="Times New Roman"/>
    </w:rPr>
  </w:style>
  <w:style w:type="character" w:customStyle="1" w:styleId="534">
    <w:name w:val="apple-converted-space"/>
    <w:basedOn w:val="85"/>
    <w:qFormat/>
    <w:uiPriority w:val="0"/>
  </w:style>
  <w:style w:type="character" w:customStyle="1" w:styleId="535">
    <w:name w:val="【表头】 Char Char"/>
    <w:link w:val="110"/>
    <w:qFormat/>
    <w:uiPriority w:val="0"/>
    <w:rPr>
      <w:rFonts w:eastAsia="黑体"/>
      <w:lang w:val="zh-CN"/>
    </w:rPr>
  </w:style>
  <w:style w:type="character" w:customStyle="1" w:styleId="536">
    <w:name w:val="副标题 Char1"/>
    <w:qFormat/>
    <w:uiPriority w:val="0"/>
    <w:rPr>
      <w:rFonts w:ascii="Cambria" w:hAnsi="Cambria" w:eastAsia="宋体" w:cs="Times New Roman"/>
      <w:b/>
      <w:bCs/>
      <w:kern w:val="28"/>
      <w:sz w:val="32"/>
      <w:szCs w:val="32"/>
    </w:rPr>
  </w:style>
  <w:style w:type="character" w:customStyle="1" w:styleId="537">
    <w:name w:val="H4 Char2"/>
    <w:qFormat/>
    <w:uiPriority w:val="0"/>
    <w:rPr>
      <w:rFonts w:ascii="Times New Roman" w:hAnsi="Times New Roman"/>
      <w:b/>
      <w:bCs/>
      <w:kern w:val="2"/>
      <w:sz w:val="24"/>
      <w:szCs w:val="28"/>
    </w:rPr>
  </w:style>
  <w:style w:type="character" w:customStyle="1" w:styleId="538">
    <w:name w:val="表头 + 居中 Char Char"/>
    <w:link w:val="539"/>
    <w:qFormat/>
    <w:uiPriority w:val="0"/>
    <w:rPr>
      <w:rFonts w:ascii="Arial" w:hAnsi="Arial" w:eastAsia="黑体"/>
      <w:szCs w:val="21"/>
    </w:rPr>
  </w:style>
  <w:style w:type="paragraph" w:customStyle="1" w:styleId="539">
    <w:name w:val="表头 + 居中"/>
    <w:basedOn w:val="1"/>
    <w:next w:val="1"/>
    <w:link w:val="538"/>
    <w:qFormat/>
    <w:uiPriority w:val="0"/>
    <w:pPr>
      <w:keepNext/>
      <w:keepLines/>
      <w:widowControl w:val="0"/>
      <w:spacing w:beforeLines="50" w:afterLines="50"/>
      <w:jc w:val="center"/>
    </w:pPr>
    <w:rPr>
      <w:rFonts w:ascii="Arial" w:hAnsi="Arial" w:eastAsia="黑体" w:cs="Times New Roman"/>
      <w:sz w:val="20"/>
      <w:szCs w:val="21"/>
    </w:rPr>
  </w:style>
  <w:style w:type="character" w:customStyle="1" w:styleId="540">
    <w:name w:val="表文字居中 Char Char"/>
    <w:link w:val="541"/>
    <w:qFormat/>
    <w:uiPriority w:val="0"/>
    <w:rPr>
      <w:rFonts w:ascii="Arial" w:hAnsi="Arial" w:eastAsia="Times New Roman"/>
      <w:kern w:val="2"/>
      <w:sz w:val="21"/>
      <w:szCs w:val="24"/>
    </w:rPr>
  </w:style>
  <w:style w:type="paragraph" w:customStyle="1" w:styleId="541">
    <w:name w:val="表文字居中"/>
    <w:link w:val="540"/>
    <w:qFormat/>
    <w:uiPriority w:val="0"/>
    <w:pPr>
      <w:adjustRightInd w:val="0"/>
      <w:spacing w:line="360" w:lineRule="auto"/>
      <w:jc w:val="center"/>
    </w:pPr>
    <w:rPr>
      <w:rFonts w:ascii="Arial" w:hAnsi="Arial" w:eastAsia="Times New Roman" w:cs="Times New Roman"/>
      <w:kern w:val="2"/>
      <w:sz w:val="21"/>
      <w:szCs w:val="24"/>
      <w:lang w:val="en-US" w:eastAsia="zh-CN" w:bidi="ar-SA"/>
    </w:rPr>
  </w:style>
  <w:style w:type="character" w:customStyle="1" w:styleId="542">
    <w:name w:val="标题 Char2"/>
    <w:qFormat/>
    <w:uiPriority w:val="0"/>
    <w:rPr>
      <w:rFonts w:ascii="Cambria" w:hAnsi="Cambria" w:eastAsia="宋体" w:cs="Times New Roman"/>
      <w:b/>
      <w:bCs/>
      <w:sz w:val="32"/>
      <w:szCs w:val="32"/>
    </w:rPr>
  </w:style>
  <w:style w:type="character" w:customStyle="1" w:styleId="543">
    <w:name w:val="表格文字居中 Char1"/>
    <w:link w:val="544"/>
    <w:qFormat/>
    <w:locked/>
    <w:uiPriority w:val="0"/>
    <w:rPr>
      <w:rFonts w:ascii="Times New Roman" w:hAnsi="宋体"/>
      <w:szCs w:val="21"/>
    </w:rPr>
  </w:style>
  <w:style w:type="paragraph" w:customStyle="1" w:styleId="544">
    <w:name w:val="表格文字居中"/>
    <w:basedOn w:val="1"/>
    <w:link w:val="543"/>
    <w:qFormat/>
    <w:uiPriority w:val="0"/>
    <w:pPr>
      <w:widowControl w:val="0"/>
      <w:adjustRightInd w:val="0"/>
      <w:snapToGrid w:val="0"/>
      <w:spacing w:line="320" w:lineRule="exact"/>
      <w:jc w:val="center"/>
    </w:pPr>
    <w:rPr>
      <w:rFonts w:ascii="Times New Roman" w:cs="Times New Roman"/>
      <w:sz w:val="20"/>
      <w:szCs w:val="21"/>
    </w:rPr>
  </w:style>
  <w:style w:type="character" w:customStyle="1" w:styleId="545">
    <w:name w:val="text121"/>
    <w:qFormat/>
    <w:uiPriority w:val="0"/>
    <w:rPr>
      <w:color w:val="333333"/>
      <w:sz w:val="18"/>
      <w:szCs w:val="18"/>
    </w:rPr>
  </w:style>
  <w:style w:type="character" w:customStyle="1" w:styleId="546">
    <w:name w:val="标题 3 Char Char"/>
    <w:qFormat/>
    <w:uiPriority w:val="0"/>
    <w:rPr>
      <w:rFonts w:ascii="仿宋_GB2312" w:eastAsia="仿宋_GB2312"/>
      <w:b/>
      <w:spacing w:val="-2"/>
      <w:kern w:val="2"/>
      <w:sz w:val="28"/>
      <w:szCs w:val="24"/>
      <w:lang w:val="en-US" w:eastAsia="zh-CN" w:bidi="ar-SA"/>
    </w:rPr>
  </w:style>
  <w:style w:type="character" w:customStyle="1" w:styleId="547">
    <w:name w:val="正文 + 首行缩进:  2 字符 Char1"/>
    <w:qFormat/>
    <w:uiPriority w:val="0"/>
    <w:rPr>
      <w:rFonts w:eastAsia="宋体" w:cs="宋体"/>
      <w:color w:val="000000"/>
      <w:kern w:val="2"/>
      <w:sz w:val="24"/>
      <w:lang w:val="en-US" w:eastAsia="zh-CN" w:bidi="ar-SA"/>
    </w:rPr>
  </w:style>
  <w:style w:type="character" w:customStyle="1" w:styleId="548">
    <w:name w:val="正式 Char Char"/>
    <w:link w:val="549"/>
    <w:semiHidden/>
    <w:qFormat/>
    <w:uiPriority w:val="0"/>
    <w:rPr>
      <w:rFonts w:ascii="Times New Roman" w:hAnsi="宋体"/>
      <w:spacing w:val="6"/>
      <w:sz w:val="24"/>
      <w:szCs w:val="21"/>
    </w:rPr>
  </w:style>
  <w:style w:type="paragraph" w:customStyle="1" w:styleId="549">
    <w:name w:val="正式"/>
    <w:basedOn w:val="1"/>
    <w:link w:val="548"/>
    <w:semiHidden/>
    <w:qFormat/>
    <w:uiPriority w:val="0"/>
    <w:pPr>
      <w:widowControl w:val="0"/>
      <w:spacing w:beforeLines="50" w:line="420" w:lineRule="auto"/>
      <w:ind w:firstLine="200" w:firstLineChars="200"/>
      <w:jc w:val="both"/>
    </w:pPr>
    <w:rPr>
      <w:rFonts w:ascii="Times New Roman" w:cs="Times New Roman"/>
      <w:spacing w:val="6"/>
      <w:szCs w:val="21"/>
    </w:rPr>
  </w:style>
  <w:style w:type="character" w:customStyle="1" w:styleId="550">
    <w:name w:val="Char Char231"/>
    <w:qFormat/>
    <w:uiPriority w:val="0"/>
    <w:rPr>
      <w:rFonts w:eastAsia="黑体"/>
      <w:kern w:val="2"/>
      <w:sz w:val="24"/>
      <w:szCs w:val="24"/>
      <w:lang w:val="en-US" w:eastAsia="zh-CN" w:bidi="ar-SA"/>
    </w:rPr>
  </w:style>
  <w:style w:type="character" w:customStyle="1" w:styleId="551">
    <w:name w:val="fs"/>
    <w:basedOn w:val="85"/>
    <w:qFormat/>
    <w:uiPriority w:val="0"/>
  </w:style>
  <w:style w:type="character" w:customStyle="1" w:styleId="552">
    <w:name w:val="副标题 Char"/>
    <w:link w:val="60"/>
    <w:qFormat/>
    <w:uiPriority w:val="0"/>
    <w:rPr>
      <w:rFonts w:ascii="Calibri Light" w:hAnsi="Calibri Light" w:cs="宋体"/>
      <w:b/>
      <w:bCs/>
      <w:kern w:val="28"/>
      <w:sz w:val="32"/>
      <w:szCs w:val="32"/>
    </w:rPr>
  </w:style>
  <w:style w:type="character" w:customStyle="1" w:styleId="553">
    <w:name w:val="HTML 预设格式 Char"/>
    <w:link w:val="74"/>
    <w:qFormat/>
    <w:uiPriority w:val="99"/>
    <w:rPr>
      <w:rFonts w:ascii="Arial" w:hAnsi="Arial"/>
      <w:sz w:val="19"/>
      <w:szCs w:val="19"/>
    </w:rPr>
  </w:style>
  <w:style w:type="character" w:customStyle="1" w:styleId="554">
    <w:name w:val="正文11 Char"/>
    <w:qFormat/>
    <w:uiPriority w:val="0"/>
    <w:rPr>
      <w:rFonts w:ascii="宋体" w:hAnsi="宋体" w:eastAsia="仿宋_GB2312"/>
      <w:snapToGrid w:val="0"/>
      <w:sz w:val="24"/>
      <w:szCs w:val="24"/>
    </w:rPr>
  </w:style>
  <w:style w:type="character" w:customStyle="1" w:styleId="555">
    <w:name w:val="pt9"/>
    <w:basedOn w:val="85"/>
    <w:qFormat/>
    <w:uiPriority w:val="0"/>
  </w:style>
  <w:style w:type="character" w:customStyle="1" w:styleId="556">
    <w:name w:val="Char Char15"/>
    <w:link w:val="557"/>
    <w:qFormat/>
    <w:uiPriority w:val="0"/>
    <w:rPr>
      <w:sz w:val="24"/>
    </w:rPr>
  </w:style>
  <w:style w:type="paragraph" w:customStyle="1" w:styleId="557">
    <w:name w:val="正文文本11"/>
    <w:basedOn w:val="1"/>
    <w:link w:val="556"/>
    <w:qFormat/>
    <w:uiPriority w:val="0"/>
    <w:pPr>
      <w:widowControl w:val="0"/>
      <w:spacing w:line="240" w:lineRule="atLeast"/>
      <w:jc w:val="center"/>
    </w:pPr>
    <w:rPr>
      <w:rFonts w:ascii="Calibri" w:hAnsi="Calibri" w:cs="Times New Roman"/>
      <w:szCs w:val="20"/>
    </w:rPr>
  </w:style>
  <w:style w:type="character" w:customStyle="1" w:styleId="558">
    <w:name w:val="项标题(1) Char Char"/>
    <w:qFormat/>
    <w:uiPriority w:val="0"/>
    <w:rPr>
      <w:rFonts w:eastAsia="宋体"/>
      <w:sz w:val="24"/>
      <w:lang w:val="en-US" w:eastAsia="zh-CN" w:bidi="ar-SA"/>
    </w:rPr>
  </w:style>
  <w:style w:type="character" w:customStyle="1" w:styleId="559">
    <w:name w:val="表5.6 Char Char"/>
    <w:link w:val="560"/>
    <w:qFormat/>
    <w:uiPriority w:val="0"/>
    <w:rPr>
      <w:rFonts w:ascii="黑体" w:hAnsi="Times New Roman" w:eastAsia="黑体"/>
      <w:b/>
      <w:bCs/>
      <w:color w:val="FF0000"/>
      <w:sz w:val="24"/>
      <w:szCs w:val="24"/>
    </w:rPr>
  </w:style>
  <w:style w:type="paragraph" w:customStyle="1" w:styleId="560">
    <w:name w:val="表5.6"/>
    <w:basedOn w:val="561"/>
    <w:link w:val="559"/>
    <w:qFormat/>
    <w:uiPriority w:val="0"/>
    <w:pPr>
      <w:tabs>
        <w:tab w:val="left" w:pos="360"/>
        <w:tab w:val="left" w:pos="720"/>
        <w:tab w:val="left" w:pos="726"/>
        <w:tab w:val="left" w:pos="1080"/>
        <w:tab w:val="center" w:pos="4060"/>
        <w:tab w:val="right" w:pos="8261"/>
      </w:tabs>
      <w:ind w:left="720" w:hanging="720" w:hangingChars="200"/>
    </w:pPr>
    <w:rPr>
      <w:bCs/>
      <w:color w:val="FF0000"/>
      <w:szCs w:val="24"/>
    </w:rPr>
  </w:style>
  <w:style w:type="paragraph" w:customStyle="1" w:styleId="561">
    <w:name w:val="表2.1"/>
    <w:basedOn w:val="1"/>
    <w:link w:val="573"/>
    <w:qFormat/>
    <w:uiPriority w:val="0"/>
    <w:pPr>
      <w:widowControl w:val="0"/>
      <w:tabs>
        <w:tab w:val="left" w:pos="1080"/>
        <w:tab w:val="center" w:pos="4060"/>
        <w:tab w:val="right" w:pos="8261"/>
      </w:tabs>
      <w:suppressAutoHyphens/>
      <w:adjustRightInd w:val="0"/>
      <w:spacing w:before="240" w:line="0" w:lineRule="atLeast"/>
      <w:ind w:left="420" w:hanging="420"/>
      <w:jc w:val="both"/>
    </w:pPr>
    <w:rPr>
      <w:rFonts w:ascii="黑体" w:hAnsi="Times New Roman" w:eastAsia="黑体" w:cs="Times New Roman"/>
      <w:b/>
      <w:szCs w:val="26"/>
    </w:rPr>
  </w:style>
  <w:style w:type="character" w:customStyle="1" w:styleId="562">
    <w:name w:val="Char Char111"/>
    <w:qFormat/>
    <w:uiPriority w:val="0"/>
    <w:rPr>
      <w:rFonts w:ascii="宋体" w:eastAsia="宋体"/>
      <w:color w:val="000000"/>
      <w:sz w:val="36"/>
      <w:lang w:val="en-US" w:eastAsia="zh-CN" w:bidi="ar-SA"/>
    </w:rPr>
  </w:style>
  <w:style w:type="character" w:customStyle="1" w:styleId="563">
    <w:name w:val="font51"/>
    <w:qFormat/>
    <w:uiPriority w:val="0"/>
    <w:rPr>
      <w:rFonts w:hint="default" w:ascii="Times New Roman" w:hAnsi="Times New Roman" w:cs="Times New Roman"/>
      <w:b/>
      <w:bCs/>
      <w:color w:val="000000"/>
      <w:sz w:val="18"/>
      <w:szCs w:val="18"/>
      <w:u w:val="none"/>
    </w:rPr>
  </w:style>
  <w:style w:type="character" w:customStyle="1" w:styleId="564">
    <w:name w:val="highlight1"/>
    <w:qFormat/>
    <w:uiPriority w:val="0"/>
    <w:rPr>
      <w:sz w:val="21"/>
      <w:szCs w:val="21"/>
    </w:rPr>
  </w:style>
  <w:style w:type="character" w:customStyle="1" w:styleId="565">
    <w:name w:val="正文 Char Char"/>
    <w:qFormat/>
    <w:uiPriority w:val="0"/>
    <w:rPr>
      <w:rFonts w:ascii="Times New Roman" w:hAnsi="Times New Roman" w:eastAsia="宋体" w:cs="Times New Roman"/>
      <w:snapToGrid w:val="0"/>
      <w:kern w:val="0"/>
      <w:sz w:val="24"/>
      <w:szCs w:val="24"/>
      <w:lang w:val="en-US" w:eastAsia="zh-CN" w:bidi="ar-SA"/>
    </w:rPr>
  </w:style>
  <w:style w:type="character" w:customStyle="1" w:styleId="566">
    <w:name w:val="正文文本 3 Char1"/>
    <w:semiHidden/>
    <w:qFormat/>
    <w:uiPriority w:val="99"/>
    <w:rPr>
      <w:rFonts w:ascii="Calibri" w:hAnsi="Calibri" w:eastAsia="宋体" w:cs="Times New Roman"/>
      <w:sz w:val="16"/>
      <w:szCs w:val="16"/>
    </w:rPr>
  </w:style>
  <w:style w:type="character" w:customStyle="1" w:styleId="567">
    <w:name w:val="正文文本 (2) + 10 pt9"/>
    <w:qFormat/>
    <w:uiPriority w:val="99"/>
    <w:rPr>
      <w:rFonts w:ascii="MingLiU" w:eastAsia="MingLiU" w:cs="MingLiU"/>
      <w:spacing w:val="20"/>
      <w:sz w:val="20"/>
      <w:szCs w:val="20"/>
      <w:u w:val="none"/>
      <w:shd w:val="clear" w:color="auto" w:fill="FFFFFF"/>
    </w:rPr>
  </w:style>
  <w:style w:type="character" w:customStyle="1" w:styleId="568">
    <w:name w:val="扬巴正文 Char Char"/>
    <w:link w:val="569"/>
    <w:semiHidden/>
    <w:qFormat/>
    <w:uiPriority w:val="0"/>
    <w:rPr>
      <w:rFonts w:ascii="Times New Roman" w:hAnsi="Times New Roman"/>
      <w:sz w:val="24"/>
      <w:szCs w:val="24"/>
    </w:rPr>
  </w:style>
  <w:style w:type="paragraph" w:customStyle="1" w:styleId="569">
    <w:name w:val="扬巴正文"/>
    <w:basedOn w:val="1"/>
    <w:link w:val="568"/>
    <w:semiHidden/>
    <w:qFormat/>
    <w:uiPriority w:val="0"/>
    <w:pPr>
      <w:widowControl w:val="0"/>
      <w:adjustRightInd w:val="0"/>
      <w:snapToGrid w:val="0"/>
      <w:spacing w:line="360" w:lineRule="auto"/>
      <w:ind w:firstLine="200" w:firstLineChars="200"/>
      <w:jc w:val="both"/>
    </w:pPr>
    <w:rPr>
      <w:rFonts w:ascii="Times New Roman" w:hAnsi="Times New Roman" w:cs="Times New Roman"/>
    </w:rPr>
  </w:style>
  <w:style w:type="character" w:customStyle="1" w:styleId="570">
    <w:name w:val="style21"/>
    <w:qFormat/>
    <w:uiPriority w:val="0"/>
    <w:rPr>
      <w:rFonts w:hint="default" w:ascii="Arial" w:hAnsi="Arial" w:cs="Arial"/>
      <w:color w:val="000000"/>
      <w:sz w:val="18"/>
      <w:szCs w:val="18"/>
    </w:rPr>
  </w:style>
  <w:style w:type="character" w:customStyle="1" w:styleId="571">
    <w:name w:val="c-font-big"/>
    <w:basedOn w:val="85"/>
    <w:qFormat/>
    <w:uiPriority w:val="0"/>
  </w:style>
  <w:style w:type="character" w:customStyle="1" w:styleId="572">
    <w:name w:val="Char12"/>
    <w:qFormat/>
    <w:uiPriority w:val="0"/>
    <w:rPr>
      <w:rFonts w:hint="default" w:ascii="Arial" w:hAnsi="Arial" w:eastAsia="黑体" w:cs="Arial"/>
      <w:b/>
      <w:kern w:val="2"/>
      <w:sz w:val="32"/>
      <w:szCs w:val="24"/>
      <w:lang w:val="en-US" w:eastAsia="zh-CN" w:bidi="ar-SA"/>
    </w:rPr>
  </w:style>
  <w:style w:type="character" w:customStyle="1" w:styleId="573">
    <w:name w:val="表2.1 Char Char"/>
    <w:link w:val="561"/>
    <w:qFormat/>
    <w:uiPriority w:val="0"/>
    <w:rPr>
      <w:rFonts w:ascii="黑体" w:hAnsi="Times New Roman" w:eastAsia="黑体"/>
      <w:b/>
      <w:sz w:val="24"/>
      <w:szCs w:val="26"/>
    </w:rPr>
  </w:style>
  <w:style w:type="character" w:customStyle="1" w:styleId="574">
    <w:name w:val="样式 表格文字居中 Char + 五号 黑色1"/>
    <w:qFormat/>
    <w:uiPriority w:val="0"/>
    <w:rPr>
      <w:rFonts w:ascii="宋体" w:hAnsi="宋体" w:eastAsia="宋体" w:cs="宋体"/>
      <w:color w:val="000000"/>
      <w:kern w:val="2"/>
      <w:sz w:val="24"/>
      <w:szCs w:val="24"/>
      <w:lang w:val="en-US" w:eastAsia="zh-CN" w:bidi="ar-SA"/>
    </w:rPr>
  </w:style>
  <w:style w:type="character" w:customStyle="1" w:styleId="575">
    <w:name w:val="正文文本 (2) + 10 pt14"/>
    <w:qFormat/>
    <w:uiPriority w:val="99"/>
    <w:rPr>
      <w:rFonts w:ascii="MingLiU" w:eastAsia="MingLiU" w:cs="MingLiU"/>
      <w:spacing w:val="-20"/>
      <w:sz w:val="20"/>
      <w:szCs w:val="20"/>
      <w:u w:val="none"/>
      <w:shd w:val="clear" w:color="auto" w:fill="FFFFFF"/>
      <w:lang w:val="en-US" w:eastAsia="en-US"/>
    </w:rPr>
  </w:style>
  <w:style w:type="character" w:customStyle="1" w:styleId="576">
    <w:name w:val="普通文字 Char Char Char Char2"/>
    <w:qFormat/>
    <w:uiPriority w:val="0"/>
    <w:rPr>
      <w:rFonts w:ascii="宋体" w:hAnsi="Courier New" w:eastAsia="宋体"/>
      <w:kern w:val="2"/>
      <w:sz w:val="28"/>
      <w:lang w:val="en-US" w:eastAsia="zh-CN" w:bidi="ar-SA"/>
    </w:rPr>
  </w:style>
  <w:style w:type="character" w:customStyle="1" w:styleId="577">
    <w:name w:val="正文格式 Char Char"/>
    <w:link w:val="107"/>
    <w:qFormat/>
    <w:uiPriority w:val="0"/>
    <w:rPr>
      <w:rFonts w:ascii="宋体" w:hAnsi="宋体" w:cs="宋体"/>
      <w:sz w:val="24"/>
    </w:rPr>
  </w:style>
  <w:style w:type="character" w:customStyle="1" w:styleId="578">
    <w:name w:val="正文首行缩进 2 Char1"/>
    <w:basedOn w:val="444"/>
    <w:semiHidden/>
    <w:qFormat/>
    <w:uiPriority w:val="99"/>
    <w:rPr>
      <w:rFonts w:ascii="Times New Roman" w:hAnsi="Times New Roman" w:eastAsia="宋体" w:cs="Times New Roman"/>
      <w:szCs w:val="24"/>
    </w:rPr>
  </w:style>
  <w:style w:type="character" w:customStyle="1" w:styleId="579">
    <w:name w:val="Body text 1 Char Char"/>
    <w:link w:val="580"/>
    <w:qFormat/>
    <w:uiPriority w:val="0"/>
    <w:rPr>
      <w:rFonts w:ascii="Times New Roman" w:hAnsi="Times New Roman"/>
      <w:snapToGrid w:val="0"/>
      <w:sz w:val="24"/>
      <w:szCs w:val="24"/>
    </w:rPr>
  </w:style>
  <w:style w:type="paragraph" w:customStyle="1" w:styleId="580">
    <w:name w:val="Body text 1"/>
    <w:basedOn w:val="186"/>
    <w:link w:val="579"/>
    <w:qFormat/>
    <w:uiPriority w:val="0"/>
    <w:pPr>
      <w:tabs>
        <w:tab w:val="clear" w:pos="567"/>
      </w:tabs>
      <w:spacing w:line="360" w:lineRule="auto"/>
      <w:ind w:left="0" w:firstLine="475"/>
    </w:pPr>
    <w:rPr>
      <w:rFonts w:ascii="Times New Roman"/>
      <w:snapToGrid w:val="0"/>
      <w:kern w:val="0"/>
      <w:szCs w:val="24"/>
    </w:rPr>
  </w:style>
  <w:style w:type="character" w:customStyle="1" w:styleId="581">
    <w:name w:val="表格内容1 Char Char"/>
    <w:link w:val="458"/>
    <w:qFormat/>
    <w:uiPriority w:val="0"/>
    <w:rPr>
      <w:kern w:val="24"/>
      <w:szCs w:val="24"/>
    </w:rPr>
  </w:style>
  <w:style w:type="character" w:customStyle="1" w:styleId="582">
    <w:name w:val="公式、图------------- Char Char"/>
    <w:link w:val="583"/>
    <w:qFormat/>
    <w:uiPriority w:val="0"/>
    <w:rPr>
      <w:spacing w:val="16"/>
      <w:sz w:val="24"/>
    </w:rPr>
  </w:style>
  <w:style w:type="paragraph" w:customStyle="1" w:styleId="583">
    <w:name w:val="公式、图-------------"/>
    <w:basedOn w:val="1"/>
    <w:link w:val="582"/>
    <w:qFormat/>
    <w:uiPriority w:val="0"/>
    <w:pPr>
      <w:widowControl w:val="0"/>
      <w:jc w:val="center"/>
      <w:textAlignment w:val="center"/>
    </w:pPr>
    <w:rPr>
      <w:rFonts w:ascii="Calibri" w:hAnsi="Calibri" w:cs="Times New Roman"/>
      <w:spacing w:val="16"/>
      <w:szCs w:val="20"/>
    </w:rPr>
  </w:style>
  <w:style w:type="character" w:customStyle="1" w:styleId="584">
    <w:name w:val="style6"/>
    <w:basedOn w:val="85"/>
    <w:qFormat/>
    <w:uiPriority w:val="0"/>
  </w:style>
  <w:style w:type="character" w:customStyle="1" w:styleId="585">
    <w:name w:val="Char Char201"/>
    <w:qFormat/>
    <w:uiPriority w:val="0"/>
    <w:rPr>
      <w:rFonts w:ascii="宋体" w:eastAsia="宋体"/>
      <w:color w:val="000000"/>
      <w:sz w:val="36"/>
      <w:lang w:val="en-US" w:eastAsia="zh-CN" w:bidi="ar-SA"/>
    </w:rPr>
  </w:style>
  <w:style w:type="character" w:customStyle="1" w:styleId="586">
    <w:name w:val="页眉 Char"/>
    <w:link w:val="55"/>
    <w:qFormat/>
    <w:uiPriority w:val="99"/>
    <w:rPr>
      <w:kern w:val="2"/>
      <w:sz w:val="18"/>
      <w:szCs w:val="18"/>
    </w:rPr>
  </w:style>
  <w:style w:type="character" w:styleId="587">
    <w:name w:val="Placeholder Text"/>
    <w:semiHidden/>
    <w:qFormat/>
    <w:uiPriority w:val="99"/>
    <w:rPr>
      <w:color w:val="808080"/>
    </w:rPr>
  </w:style>
  <w:style w:type="character" w:customStyle="1" w:styleId="588">
    <w:name w:val="公式 Char"/>
    <w:link w:val="589"/>
    <w:qFormat/>
    <w:uiPriority w:val="0"/>
    <w:rPr>
      <w:rFonts w:ascii="Times New Roman" w:hAnsi="Times New Roman"/>
      <w:color w:val="000000"/>
      <w:spacing w:val="-8"/>
      <w:kern w:val="2"/>
      <w:sz w:val="18"/>
      <w:szCs w:val="24"/>
    </w:rPr>
  </w:style>
  <w:style w:type="paragraph" w:customStyle="1" w:styleId="589">
    <w:name w:val="公式"/>
    <w:basedOn w:val="1"/>
    <w:next w:val="1"/>
    <w:link w:val="588"/>
    <w:qFormat/>
    <w:uiPriority w:val="0"/>
    <w:pPr>
      <w:widowControl w:val="0"/>
      <w:ind w:left="-2" w:leftChars="-5" w:hanging="8" w:hangingChars="5"/>
      <w:jc w:val="center"/>
    </w:pPr>
    <w:rPr>
      <w:rFonts w:ascii="Times New Roman" w:hAnsi="Times New Roman" w:cs="Times New Roman"/>
      <w:color w:val="000000"/>
      <w:spacing w:val="-8"/>
      <w:kern w:val="2"/>
      <w:sz w:val="18"/>
    </w:rPr>
  </w:style>
  <w:style w:type="character" w:customStyle="1" w:styleId="590">
    <w:name w:val="标题 7 Char1"/>
    <w:qFormat/>
    <w:uiPriority w:val="0"/>
    <w:rPr>
      <w:rFonts w:ascii="Calibri" w:hAnsi="Calibri" w:eastAsia="宋体"/>
      <w:b/>
      <w:color w:val="000000"/>
      <w:kern w:val="28"/>
      <w:sz w:val="24"/>
      <w:lang w:bidi="ar-SA"/>
    </w:rPr>
  </w:style>
  <w:style w:type="character" w:customStyle="1" w:styleId="591">
    <w:name w:val="文档结构图 Char2"/>
    <w:semiHidden/>
    <w:qFormat/>
    <w:uiPriority w:val="99"/>
    <w:rPr>
      <w:rFonts w:ascii="宋体" w:hAnsi="Calibri" w:eastAsia="宋体" w:cs="Times New Roman"/>
      <w:sz w:val="18"/>
      <w:szCs w:val="18"/>
    </w:rPr>
  </w:style>
  <w:style w:type="character" w:customStyle="1" w:styleId="592">
    <w:name w:val="z-窗体顶端 Char"/>
    <w:link w:val="593"/>
    <w:qFormat/>
    <w:uiPriority w:val="0"/>
    <w:rPr>
      <w:rFonts w:ascii="Arial" w:hAnsi="Arial" w:cs="Arial"/>
      <w:vanish/>
      <w:sz w:val="16"/>
      <w:szCs w:val="16"/>
    </w:rPr>
  </w:style>
  <w:style w:type="paragraph" w:customStyle="1" w:styleId="593">
    <w:name w:val="z-窗体顶端1"/>
    <w:basedOn w:val="1"/>
    <w:next w:val="1"/>
    <w:link w:val="592"/>
    <w:qFormat/>
    <w:uiPriority w:val="0"/>
    <w:pPr>
      <w:pBdr>
        <w:bottom w:val="single" w:color="auto" w:sz="6" w:space="1"/>
      </w:pBdr>
      <w:jc w:val="center"/>
    </w:pPr>
    <w:rPr>
      <w:rFonts w:ascii="Arial" w:hAnsi="Arial" w:cs="Arial"/>
      <w:vanish/>
      <w:sz w:val="16"/>
      <w:szCs w:val="16"/>
    </w:rPr>
  </w:style>
  <w:style w:type="character" w:customStyle="1" w:styleId="594">
    <w:name w:val="z-窗体底端 Char"/>
    <w:link w:val="595"/>
    <w:qFormat/>
    <w:uiPriority w:val="0"/>
    <w:rPr>
      <w:rFonts w:ascii="Arial" w:hAnsi="Arial" w:cs="Arial"/>
      <w:vanish/>
      <w:sz w:val="16"/>
      <w:szCs w:val="16"/>
    </w:rPr>
  </w:style>
  <w:style w:type="paragraph" w:customStyle="1" w:styleId="595">
    <w:name w:val="z-窗体底端1"/>
    <w:basedOn w:val="1"/>
    <w:next w:val="1"/>
    <w:link w:val="594"/>
    <w:qFormat/>
    <w:uiPriority w:val="0"/>
    <w:pPr>
      <w:pBdr>
        <w:top w:val="single" w:color="auto" w:sz="6" w:space="1"/>
      </w:pBdr>
      <w:jc w:val="center"/>
    </w:pPr>
    <w:rPr>
      <w:rFonts w:ascii="Arial" w:hAnsi="Arial" w:cs="Arial"/>
      <w:vanish/>
      <w:sz w:val="16"/>
      <w:szCs w:val="16"/>
    </w:rPr>
  </w:style>
  <w:style w:type="character" w:customStyle="1" w:styleId="596">
    <w:name w:val="c1"/>
    <w:qFormat/>
    <w:uiPriority w:val="0"/>
    <w:rPr>
      <w:rFonts w:hint="default" w:ascii="ˎ̥" w:hAnsi="ˎ̥"/>
      <w:color w:val="000000"/>
      <w:sz w:val="21"/>
      <w:szCs w:val="21"/>
      <w:u w:val="none"/>
    </w:rPr>
  </w:style>
  <w:style w:type="character" w:customStyle="1" w:styleId="597">
    <w:name w:val="0031"/>
    <w:qFormat/>
    <w:uiPriority w:val="0"/>
    <w:rPr>
      <w:sz w:val="21"/>
      <w:szCs w:val="21"/>
    </w:rPr>
  </w:style>
  <w:style w:type="character" w:customStyle="1" w:styleId="598">
    <w:name w:val="Char Char16"/>
    <w:qFormat/>
    <w:uiPriority w:val="0"/>
    <w:rPr>
      <w:rFonts w:ascii="黑体" w:hAnsi="宋体" w:eastAsia="黑体"/>
      <w:b/>
      <w:kern w:val="16"/>
      <w:sz w:val="28"/>
      <w:szCs w:val="28"/>
      <w:lang w:val="en-US" w:eastAsia="zh-CN" w:bidi="ar-SA"/>
    </w:rPr>
  </w:style>
  <w:style w:type="character" w:customStyle="1" w:styleId="599">
    <w:name w:val="页脚1 Char"/>
    <w:qFormat/>
    <w:uiPriority w:val="0"/>
    <w:rPr>
      <w:rFonts w:eastAsia="宋体"/>
      <w:kern w:val="2"/>
      <w:sz w:val="18"/>
      <w:szCs w:val="18"/>
      <w:lang w:val="en-US" w:eastAsia="zh-CN" w:bidi="ar-SA"/>
    </w:rPr>
  </w:style>
  <w:style w:type="character" w:customStyle="1" w:styleId="600">
    <w:name w:val="cucd-0 Char1"/>
    <w:link w:val="601"/>
    <w:qFormat/>
    <w:uiPriority w:val="0"/>
    <w:rPr>
      <w:kern w:val="2"/>
      <w:sz w:val="24"/>
      <w:szCs w:val="24"/>
    </w:rPr>
  </w:style>
  <w:style w:type="paragraph" w:customStyle="1" w:styleId="601">
    <w:name w:val="cucd-0"/>
    <w:link w:val="600"/>
    <w:qFormat/>
    <w:uiPriority w:val="0"/>
    <w:pPr>
      <w:spacing w:line="360" w:lineRule="auto"/>
      <w:ind w:firstLine="480" w:firstLineChars="200"/>
    </w:pPr>
    <w:rPr>
      <w:rFonts w:ascii="Calibri" w:hAnsi="Calibri" w:eastAsia="宋体" w:cs="Times New Roman"/>
      <w:kern w:val="2"/>
      <w:sz w:val="24"/>
      <w:szCs w:val="24"/>
      <w:lang w:val="en-US" w:eastAsia="zh-CN" w:bidi="ar-SA"/>
    </w:rPr>
  </w:style>
  <w:style w:type="character" w:customStyle="1" w:styleId="602">
    <w:name w:val="报告正文 Char Char"/>
    <w:link w:val="603"/>
    <w:qFormat/>
    <w:uiPriority w:val="0"/>
    <w:rPr>
      <w:rFonts w:ascii="Times New Roman" w:hAnsi="Times New Roman"/>
      <w:color w:val="000000"/>
      <w:kern w:val="2"/>
      <w:sz w:val="24"/>
    </w:rPr>
  </w:style>
  <w:style w:type="paragraph" w:customStyle="1" w:styleId="603">
    <w:name w:val="报告正文"/>
    <w:basedOn w:val="1"/>
    <w:link w:val="602"/>
    <w:qFormat/>
    <w:uiPriority w:val="0"/>
    <w:pPr>
      <w:widowControl w:val="0"/>
      <w:adjustRightInd w:val="0"/>
      <w:snapToGrid w:val="0"/>
      <w:spacing w:line="312" w:lineRule="auto"/>
      <w:jc w:val="both"/>
    </w:pPr>
    <w:rPr>
      <w:rFonts w:ascii="Times New Roman" w:hAnsi="Times New Roman" w:cs="Times New Roman"/>
      <w:color w:val="000000"/>
      <w:kern w:val="2"/>
      <w:szCs w:val="20"/>
    </w:rPr>
  </w:style>
  <w:style w:type="character" w:customStyle="1" w:styleId="604">
    <w:name w:val="加粗正文 Char"/>
    <w:qFormat/>
    <w:uiPriority w:val="0"/>
    <w:rPr>
      <w:rFonts w:ascii="宋体" w:hAnsi="Courier New" w:eastAsia="宋体" w:cs="Courier New"/>
      <w:kern w:val="2"/>
      <w:sz w:val="21"/>
      <w:szCs w:val="21"/>
      <w:lang w:val="en-US" w:eastAsia="zh-CN" w:bidi="ar-SA"/>
    </w:rPr>
  </w:style>
  <w:style w:type="character" w:customStyle="1" w:styleId="605">
    <w:name w:val="表号 Char1"/>
    <w:link w:val="606"/>
    <w:qFormat/>
    <w:uiPriority w:val="0"/>
    <w:rPr>
      <w:rFonts w:ascii="黑体" w:hAnsi="Times New Roman" w:eastAsia="黑体"/>
      <w:b/>
      <w:sz w:val="24"/>
    </w:rPr>
  </w:style>
  <w:style w:type="paragraph" w:customStyle="1" w:styleId="606">
    <w:name w:val="表号"/>
    <w:basedOn w:val="328"/>
    <w:next w:val="328"/>
    <w:link w:val="605"/>
    <w:qFormat/>
    <w:uiPriority w:val="0"/>
    <w:pPr>
      <w:spacing w:before="120" w:after="120" w:line="240" w:lineRule="atLeast"/>
    </w:pPr>
    <w:rPr>
      <w:rFonts w:ascii="黑体" w:eastAsia="黑体"/>
      <w:b/>
      <w:color w:val="auto"/>
      <w:kern w:val="0"/>
      <w:sz w:val="24"/>
      <w:szCs w:val="20"/>
    </w:rPr>
  </w:style>
  <w:style w:type="character" w:customStyle="1" w:styleId="607">
    <w:name w:val="正文文本 2 Char Char"/>
    <w:qFormat/>
    <w:uiPriority w:val="0"/>
    <w:rPr>
      <w:rFonts w:ascii="Times New Roman" w:hAnsi="Times New Roman" w:eastAsia="宋体" w:cs="Times New Roman"/>
      <w:spacing w:val="16"/>
      <w:sz w:val="24"/>
      <w:szCs w:val="24"/>
    </w:rPr>
  </w:style>
  <w:style w:type="character" w:customStyle="1" w:styleId="608">
    <w:name w:val="正文部分 Char Char"/>
    <w:link w:val="609"/>
    <w:qFormat/>
    <w:uiPriority w:val="0"/>
    <w:rPr>
      <w:rFonts w:ascii="宋体" w:hAnsi="宋体"/>
      <w:bCs/>
      <w:sz w:val="28"/>
      <w:szCs w:val="32"/>
    </w:rPr>
  </w:style>
  <w:style w:type="paragraph" w:customStyle="1" w:styleId="609">
    <w:name w:val="正文部分"/>
    <w:basedOn w:val="1"/>
    <w:link w:val="608"/>
    <w:qFormat/>
    <w:uiPriority w:val="0"/>
    <w:pPr>
      <w:widowControl w:val="0"/>
      <w:spacing w:line="500" w:lineRule="exact"/>
      <w:ind w:firstLine="200" w:firstLineChars="200"/>
    </w:pPr>
    <w:rPr>
      <w:rFonts w:cs="Times New Roman"/>
      <w:bCs/>
      <w:sz w:val="28"/>
      <w:szCs w:val="32"/>
    </w:rPr>
  </w:style>
  <w:style w:type="character" w:customStyle="1" w:styleId="610">
    <w:name w:val="注释标题 Char1"/>
    <w:semiHidden/>
    <w:qFormat/>
    <w:uiPriority w:val="0"/>
    <w:rPr>
      <w:rFonts w:ascii="Times New Roman" w:hAnsi="Times New Roman" w:eastAsia="宋体" w:cs="Times New Roman"/>
      <w:szCs w:val="24"/>
    </w:rPr>
  </w:style>
  <w:style w:type="character" w:customStyle="1" w:styleId="611">
    <w:name w:val="【正文】 Char"/>
    <w:qFormat/>
    <w:uiPriority w:val="0"/>
    <w:rPr>
      <w:rFonts w:ascii="宋体" w:hAnsi="宋体" w:cs="宋体"/>
      <w:sz w:val="24"/>
      <w:szCs w:val="24"/>
    </w:rPr>
  </w:style>
  <w:style w:type="character" w:customStyle="1" w:styleId="612">
    <w:name w:val="h Char"/>
    <w:qFormat/>
    <w:uiPriority w:val="0"/>
    <w:rPr>
      <w:rFonts w:eastAsia="楷体_GB2312"/>
      <w:snapToGrid w:val="0"/>
      <w:sz w:val="18"/>
      <w:szCs w:val="18"/>
      <w:lang w:val="en-US" w:eastAsia="zh-CN" w:bidi="ar-SA"/>
    </w:rPr>
  </w:style>
  <w:style w:type="character" w:customStyle="1" w:styleId="613">
    <w:name w:val="样式 正文首行缩进 + 首行缩进:  2 字符 Char Char"/>
    <w:link w:val="614"/>
    <w:qFormat/>
    <w:uiPriority w:val="0"/>
    <w:rPr>
      <w:rFonts w:ascii="宋体" w:hAnsi="Times New Roman" w:cs="宋体"/>
      <w:color w:val="000000"/>
      <w:sz w:val="28"/>
      <w:szCs w:val="28"/>
    </w:rPr>
  </w:style>
  <w:style w:type="paragraph" w:customStyle="1" w:styleId="614">
    <w:name w:val="样式 正文首行缩进 + 首行缩进:  2 字符"/>
    <w:basedOn w:val="80"/>
    <w:link w:val="613"/>
    <w:qFormat/>
    <w:uiPriority w:val="0"/>
    <w:pPr>
      <w:widowControl w:val="0"/>
      <w:tabs>
        <w:tab w:val="left" w:pos="628"/>
        <w:tab w:val="left" w:pos="1727"/>
        <w:tab w:val="left" w:pos="1884"/>
        <w:tab w:val="left" w:pos="2660"/>
        <w:tab w:val="left" w:pos="5460"/>
      </w:tabs>
      <w:adjustRightInd w:val="0"/>
      <w:snapToGrid w:val="0"/>
      <w:spacing w:after="0" w:line="360" w:lineRule="auto"/>
      <w:ind w:firstLine="560" w:firstLineChars="200"/>
    </w:pPr>
    <w:rPr>
      <w:rFonts w:hAnsi="Times New Roman"/>
      <w:color w:val="000000"/>
      <w:sz w:val="28"/>
      <w:szCs w:val="28"/>
    </w:rPr>
  </w:style>
  <w:style w:type="character" w:customStyle="1" w:styleId="615">
    <w:name w:val="p4"/>
    <w:basedOn w:val="85"/>
    <w:qFormat/>
    <w:uiPriority w:val="0"/>
  </w:style>
  <w:style w:type="character" w:customStyle="1" w:styleId="616">
    <w:name w:val="图表名称 Char Char"/>
    <w:link w:val="617"/>
    <w:qFormat/>
    <w:uiPriority w:val="0"/>
    <w:rPr>
      <w:rFonts w:eastAsia="黑体"/>
      <w:b/>
      <w:kern w:val="2"/>
      <w:sz w:val="21"/>
      <w:szCs w:val="24"/>
    </w:rPr>
  </w:style>
  <w:style w:type="paragraph" w:customStyle="1" w:styleId="617">
    <w:name w:val="图表名称"/>
    <w:basedOn w:val="1"/>
    <w:link w:val="616"/>
    <w:qFormat/>
    <w:uiPriority w:val="0"/>
    <w:pPr>
      <w:widowControl w:val="0"/>
      <w:jc w:val="center"/>
    </w:pPr>
    <w:rPr>
      <w:rFonts w:ascii="Calibri" w:hAnsi="Calibri" w:eastAsia="黑体" w:cs="Times New Roman"/>
      <w:b/>
      <w:kern w:val="2"/>
      <w:sz w:val="21"/>
    </w:rPr>
  </w:style>
  <w:style w:type="character" w:customStyle="1" w:styleId="618">
    <w:name w:val="h4 Char"/>
    <w:qFormat/>
    <w:uiPriority w:val="0"/>
    <w:rPr>
      <w:rFonts w:ascii="黑体" w:hAnsi="宋体" w:eastAsia="黑体" w:cs="宋体"/>
      <w:b/>
      <w:bCs/>
      <w:kern w:val="2"/>
      <w:sz w:val="24"/>
      <w:szCs w:val="24"/>
      <w:lang w:val="en-US" w:eastAsia="zh-CN" w:bidi="ar-SA"/>
    </w:rPr>
  </w:style>
  <w:style w:type="character" w:customStyle="1" w:styleId="619">
    <w:name w:val="【标题2】 Char Char"/>
    <w:link w:val="620"/>
    <w:qFormat/>
    <w:uiPriority w:val="0"/>
    <w:rPr>
      <w:b/>
      <w:bCs/>
      <w:sz w:val="32"/>
    </w:rPr>
  </w:style>
  <w:style w:type="paragraph" w:customStyle="1" w:styleId="620">
    <w:name w:val="【标题2】"/>
    <w:basedOn w:val="5"/>
    <w:link w:val="619"/>
    <w:qFormat/>
    <w:uiPriority w:val="0"/>
    <w:pPr>
      <w:keepNext w:val="0"/>
      <w:widowControl w:val="0"/>
      <w:spacing w:before="120" w:after="120" w:line="240" w:lineRule="auto"/>
      <w:jc w:val="both"/>
    </w:pPr>
    <w:rPr>
      <w:rFonts w:eastAsia="宋体"/>
      <w:b/>
      <w:sz w:val="32"/>
      <w:szCs w:val="20"/>
    </w:rPr>
  </w:style>
  <w:style w:type="character" w:customStyle="1" w:styleId="621">
    <w:name w:val="正文首行缩进 2 + Times New Roman Char1"/>
    <w:link w:val="622"/>
    <w:qFormat/>
    <w:uiPriority w:val="0"/>
    <w:rPr>
      <w:rFonts w:ascii="Times New Roman" w:hAnsi="Times New Roman"/>
      <w:sz w:val="24"/>
      <w:szCs w:val="24"/>
    </w:rPr>
  </w:style>
  <w:style w:type="paragraph" w:customStyle="1" w:styleId="622">
    <w:name w:val="正文首行缩进 2 + Times New Roman"/>
    <w:basedOn w:val="1"/>
    <w:link w:val="621"/>
    <w:qFormat/>
    <w:uiPriority w:val="0"/>
    <w:pPr>
      <w:widowControl w:val="0"/>
      <w:tabs>
        <w:tab w:val="left" w:pos="0"/>
        <w:tab w:val="left" w:pos="870"/>
        <w:tab w:val="left" w:pos="3150"/>
      </w:tabs>
      <w:autoSpaceDE w:val="0"/>
      <w:autoSpaceDN w:val="0"/>
      <w:spacing w:line="360" w:lineRule="auto"/>
      <w:ind w:firstLine="480" w:firstLineChars="200"/>
      <w:jc w:val="both"/>
    </w:pPr>
    <w:rPr>
      <w:rFonts w:ascii="Times New Roman" w:hAnsi="Times New Roman" w:cs="Times New Roman"/>
    </w:rPr>
  </w:style>
  <w:style w:type="character" w:customStyle="1" w:styleId="623">
    <w:name w:val="正文文本缩进 3 Char"/>
    <w:link w:val="66"/>
    <w:qFormat/>
    <w:uiPriority w:val="0"/>
    <w:rPr>
      <w:rFonts w:ascii="Times New Roman" w:hAnsi="Times New Roman"/>
      <w:sz w:val="16"/>
      <w:szCs w:val="16"/>
    </w:rPr>
  </w:style>
  <w:style w:type="character" w:customStyle="1" w:styleId="624">
    <w:name w:val="font111"/>
    <w:qFormat/>
    <w:uiPriority w:val="0"/>
    <w:rPr>
      <w:rFonts w:hint="eastAsia" w:ascii="宋体" w:hAnsi="宋体" w:eastAsia="宋体"/>
      <w:b/>
      <w:bCs/>
      <w:color w:val="000000"/>
      <w:sz w:val="18"/>
      <w:szCs w:val="18"/>
      <w:u w:val="none"/>
    </w:rPr>
  </w:style>
  <w:style w:type="character" w:customStyle="1" w:styleId="625">
    <w:name w:val="文档结构图 Char"/>
    <w:link w:val="25"/>
    <w:qFormat/>
    <w:uiPriority w:val="99"/>
    <w:rPr>
      <w:rFonts w:ascii="Times New Roman" w:hAnsi="Times New Roman"/>
      <w:szCs w:val="24"/>
      <w:shd w:val="clear" w:color="auto" w:fill="000080"/>
    </w:rPr>
  </w:style>
  <w:style w:type="character" w:customStyle="1" w:styleId="626">
    <w:name w:val="副标题 Char3"/>
    <w:qFormat/>
    <w:locked/>
    <w:uiPriority w:val="0"/>
    <w:rPr>
      <w:rFonts w:ascii="Arial" w:hAnsi="Arial" w:eastAsia="仿宋_GB2312"/>
      <w:b/>
      <w:bCs/>
      <w:kern w:val="28"/>
      <w:sz w:val="32"/>
      <w:szCs w:val="32"/>
    </w:rPr>
  </w:style>
  <w:style w:type="character" w:customStyle="1" w:styleId="627">
    <w:name w:val="正文文本 (2) + Georgia91"/>
    <w:qFormat/>
    <w:uiPriority w:val="99"/>
    <w:rPr>
      <w:rFonts w:ascii="Georgia" w:hAnsi="Georgia" w:eastAsia="MingLiU" w:cs="Georgia"/>
      <w:sz w:val="20"/>
      <w:szCs w:val="20"/>
      <w:u w:val="none"/>
      <w:shd w:val="clear" w:color="auto" w:fill="FFFFFF"/>
      <w:lang w:val="en-US" w:eastAsia="en-US"/>
    </w:rPr>
  </w:style>
  <w:style w:type="character" w:customStyle="1" w:styleId="628">
    <w:name w:val="标题 2 Char Char Char Char Char Char Char1"/>
    <w:qFormat/>
    <w:uiPriority w:val="0"/>
    <w:rPr>
      <w:rFonts w:eastAsia="黑体"/>
      <w:b/>
      <w:kern w:val="2"/>
      <w:sz w:val="32"/>
      <w:lang w:val="en-US" w:eastAsia="zh-CN" w:bidi="ar-SA"/>
    </w:rPr>
  </w:style>
  <w:style w:type="character" w:customStyle="1" w:styleId="629">
    <w:name w:val="style11"/>
    <w:qFormat/>
    <w:uiPriority w:val="0"/>
    <w:rPr>
      <w:rFonts w:eastAsia="宋体"/>
      <w:color w:val="000000"/>
      <w:kern w:val="2"/>
      <w:sz w:val="21"/>
      <w:szCs w:val="24"/>
      <w:lang w:val="en-US" w:eastAsia="zh-CN" w:bidi="ar-SA"/>
    </w:rPr>
  </w:style>
  <w:style w:type="character" w:customStyle="1" w:styleId="630">
    <w:name w:val="未命名11"/>
    <w:qFormat/>
    <w:uiPriority w:val="0"/>
    <w:rPr>
      <w:rFonts w:hint="eastAsia" w:ascii="宋体" w:hAnsi="宋体" w:eastAsia="宋体"/>
      <w:sz w:val="18"/>
      <w:szCs w:val="18"/>
    </w:rPr>
  </w:style>
  <w:style w:type="character" w:customStyle="1" w:styleId="631">
    <w:name w:val="r1"/>
    <w:qFormat/>
    <w:uiPriority w:val="0"/>
    <w:rPr>
      <w:sz w:val="20"/>
      <w:szCs w:val="20"/>
    </w:rPr>
  </w:style>
  <w:style w:type="character" w:customStyle="1" w:styleId="632">
    <w:name w:val="标题 11 Char"/>
    <w:qFormat/>
    <w:uiPriority w:val="0"/>
    <w:rPr>
      <w:rFonts w:ascii="黑体" w:eastAsia="黑体"/>
      <w:b/>
      <w:kern w:val="2"/>
      <w:sz w:val="28"/>
      <w:szCs w:val="24"/>
      <w:lang w:val="en-US" w:eastAsia="zh-CN" w:bidi="ar-SA"/>
    </w:rPr>
  </w:style>
  <w:style w:type="character" w:customStyle="1" w:styleId="633">
    <w:name w:val="电子邮件签名 Char"/>
    <w:link w:val="20"/>
    <w:qFormat/>
    <w:uiPriority w:val="0"/>
    <w:rPr>
      <w:rFonts w:ascii="仿宋_GB2312" w:hAnsi="Times New Roman" w:eastAsia="仿宋_GB2312"/>
      <w:sz w:val="28"/>
    </w:rPr>
  </w:style>
  <w:style w:type="character" w:customStyle="1" w:styleId="634">
    <w:name w:val="可研-正文首行缩进 Char Char"/>
    <w:qFormat/>
    <w:uiPriority w:val="0"/>
    <w:rPr>
      <w:rFonts w:ascii="Calibri" w:hAnsi="Calibri" w:eastAsia="宋体"/>
      <w:kern w:val="2"/>
      <w:sz w:val="21"/>
      <w:szCs w:val="22"/>
      <w:lang w:val="en-US" w:eastAsia="zh-CN" w:bidi="ar-SA"/>
    </w:rPr>
  </w:style>
  <w:style w:type="character" w:customStyle="1" w:styleId="635">
    <w:name w:val="Char Char211"/>
    <w:qFormat/>
    <w:uiPriority w:val="0"/>
    <w:rPr>
      <w:rFonts w:eastAsia="宋体"/>
      <w:bCs/>
      <w:snapToGrid w:val="0"/>
      <w:spacing w:val="30"/>
      <w:sz w:val="30"/>
      <w:szCs w:val="30"/>
      <w:lang w:val="en-US" w:eastAsia="zh-CN" w:bidi="ar-SA"/>
    </w:rPr>
  </w:style>
  <w:style w:type="character" w:customStyle="1" w:styleId="636">
    <w:name w:val="规范正文 Char Char"/>
    <w:link w:val="637"/>
    <w:semiHidden/>
    <w:qFormat/>
    <w:uiPriority w:val="0"/>
    <w:rPr>
      <w:sz w:val="24"/>
    </w:rPr>
  </w:style>
  <w:style w:type="paragraph" w:customStyle="1" w:styleId="637">
    <w:name w:val="规范正文"/>
    <w:basedOn w:val="1"/>
    <w:link w:val="636"/>
    <w:semiHidden/>
    <w:qFormat/>
    <w:uiPriority w:val="0"/>
    <w:pPr>
      <w:widowControl w:val="0"/>
      <w:spacing w:line="360" w:lineRule="auto"/>
      <w:ind w:firstLine="480" w:firstLineChars="200"/>
      <w:jc w:val="both"/>
    </w:pPr>
    <w:rPr>
      <w:rFonts w:ascii="Calibri" w:hAnsi="Calibri" w:cs="Times New Roman"/>
      <w:szCs w:val="20"/>
    </w:rPr>
  </w:style>
  <w:style w:type="character" w:customStyle="1" w:styleId="638">
    <w:name w:val="纯文本 Char Char1"/>
    <w:qFormat/>
    <w:uiPriority w:val="0"/>
    <w:rPr>
      <w:rFonts w:ascii="宋体" w:hAnsi="Courier New" w:eastAsia="宋体" w:cs="Courier New"/>
      <w:bCs/>
      <w:iCs/>
      <w:kern w:val="2"/>
      <w:sz w:val="21"/>
      <w:szCs w:val="21"/>
      <w:lang w:val="en-US" w:eastAsia="zh-CN" w:bidi="ar-SA"/>
    </w:rPr>
  </w:style>
  <w:style w:type="character" w:customStyle="1" w:styleId="639">
    <w:name w:val="正文文本 (2) + 10 pt"/>
    <w:qFormat/>
    <w:uiPriority w:val="99"/>
    <w:rPr>
      <w:rFonts w:ascii="MingLiU" w:eastAsia="MingLiU" w:cs="MingLiU"/>
      <w:sz w:val="20"/>
      <w:szCs w:val="20"/>
      <w:u w:val="none"/>
      <w:shd w:val="clear" w:color="auto" w:fill="FFFFFF"/>
    </w:rPr>
  </w:style>
  <w:style w:type="character" w:customStyle="1" w:styleId="640">
    <w:name w:val="题注图名 Char Char"/>
    <w:link w:val="641"/>
    <w:qFormat/>
    <w:uiPriority w:val="0"/>
    <w:rPr>
      <w:rFonts w:ascii="Times New Roman" w:hAnsi="Times New Roman"/>
      <w:b/>
      <w:bCs/>
      <w:lang w:val="zh-CN"/>
    </w:rPr>
  </w:style>
  <w:style w:type="paragraph" w:customStyle="1" w:styleId="641">
    <w:name w:val="题注图名"/>
    <w:basedOn w:val="1"/>
    <w:link w:val="640"/>
    <w:qFormat/>
    <w:uiPriority w:val="0"/>
    <w:pPr>
      <w:widowControl w:val="0"/>
      <w:spacing w:after="120" w:line="300" w:lineRule="auto"/>
      <w:jc w:val="center"/>
    </w:pPr>
    <w:rPr>
      <w:rFonts w:ascii="Times New Roman" w:hAnsi="Times New Roman" w:cs="Times New Roman"/>
      <w:b/>
      <w:bCs/>
      <w:sz w:val="20"/>
      <w:szCs w:val="20"/>
      <w:lang w:val="zh-CN"/>
    </w:rPr>
  </w:style>
  <w:style w:type="character" w:customStyle="1" w:styleId="642">
    <w:name w:val="font-family:仿宋_gb2312"/>
    <w:basedOn w:val="85"/>
    <w:qFormat/>
    <w:uiPriority w:val="0"/>
  </w:style>
  <w:style w:type="character" w:customStyle="1" w:styleId="643">
    <w:name w:val="规范正文 + 加粗 Char Char"/>
    <w:basedOn w:val="636"/>
    <w:link w:val="644"/>
    <w:semiHidden/>
    <w:qFormat/>
    <w:uiPriority w:val="0"/>
    <w:rPr>
      <w:sz w:val="24"/>
    </w:rPr>
  </w:style>
  <w:style w:type="paragraph" w:customStyle="1" w:styleId="644">
    <w:name w:val="规范正文 + 加粗"/>
    <w:basedOn w:val="637"/>
    <w:link w:val="643"/>
    <w:semiHidden/>
    <w:qFormat/>
    <w:uiPriority w:val="0"/>
    <w:pPr>
      <w:ind w:firstLine="0" w:firstLineChars="0"/>
    </w:pPr>
  </w:style>
  <w:style w:type="character" w:customStyle="1" w:styleId="645">
    <w:name w:val="Char Char26"/>
    <w:qFormat/>
    <w:uiPriority w:val="0"/>
    <w:rPr>
      <w:rFonts w:hint="default" w:ascii="Times New Roman" w:hAnsi="Times New Roman" w:eastAsia="宋体" w:cs="Times New Roman"/>
      <w:szCs w:val="24"/>
    </w:rPr>
  </w:style>
  <w:style w:type="character" w:customStyle="1" w:styleId="646">
    <w:name w:val="纯文本 Char1"/>
    <w:link w:val="44"/>
    <w:qFormat/>
    <w:uiPriority w:val="99"/>
    <w:rPr>
      <w:rFonts w:ascii="宋体" w:hAnsi="Courier New"/>
      <w:kern w:val="2"/>
      <w:sz w:val="21"/>
      <w:szCs w:val="22"/>
    </w:rPr>
  </w:style>
  <w:style w:type="character" w:customStyle="1" w:styleId="647">
    <w:name w:val="标题1.1.1.1.1.1 Char"/>
    <w:qFormat/>
    <w:uiPriority w:val="0"/>
    <w:rPr>
      <w:rFonts w:ascii="Cambria" w:hAnsi="Cambria" w:eastAsia="宋体" w:cs="Times New Roman"/>
      <w:b/>
      <w:bCs/>
      <w:kern w:val="2"/>
      <w:sz w:val="24"/>
      <w:szCs w:val="24"/>
    </w:rPr>
  </w:style>
  <w:style w:type="character" w:customStyle="1" w:styleId="648">
    <w:name w:val="表文 Char Char"/>
    <w:link w:val="649"/>
    <w:qFormat/>
    <w:uiPriority w:val="0"/>
    <w:rPr>
      <w:rFonts w:ascii="Times New Roman" w:hAnsi="Times New Roman" w:eastAsia="仿宋_GB2312"/>
      <w:kern w:val="2"/>
      <w:sz w:val="21"/>
      <w:szCs w:val="22"/>
    </w:rPr>
  </w:style>
  <w:style w:type="paragraph" w:customStyle="1" w:styleId="649">
    <w:name w:val="表文"/>
    <w:next w:val="1"/>
    <w:link w:val="648"/>
    <w:qFormat/>
    <w:uiPriority w:val="0"/>
    <w:pPr>
      <w:spacing w:line="360" w:lineRule="exact"/>
    </w:pPr>
    <w:rPr>
      <w:rFonts w:ascii="Times New Roman" w:hAnsi="Times New Roman" w:eastAsia="仿宋_GB2312" w:cs="Times New Roman"/>
      <w:kern w:val="2"/>
      <w:sz w:val="21"/>
      <w:szCs w:val="22"/>
      <w:lang w:val="en-US" w:eastAsia="zh-CN" w:bidi="ar-SA"/>
    </w:rPr>
  </w:style>
  <w:style w:type="character" w:customStyle="1" w:styleId="650">
    <w:name w:val="1.1标题2 Char"/>
    <w:qFormat/>
    <w:uiPriority w:val="0"/>
    <w:rPr>
      <w:rFonts w:ascii="Arial" w:hAnsi="Arial" w:eastAsia="黑体"/>
      <w:bCs/>
      <w:kern w:val="2"/>
      <w:sz w:val="32"/>
      <w:szCs w:val="32"/>
      <w:lang w:val="en-US" w:eastAsia="zh-CN" w:bidi="ar-SA"/>
    </w:rPr>
  </w:style>
  <w:style w:type="character" w:customStyle="1" w:styleId="651">
    <w:name w:val="Char Char17"/>
    <w:qFormat/>
    <w:uiPriority w:val="0"/>
    <w:rPr>
      <w:rFonts w:eastAsia="宋体"/>
      <w:kern w:val="2"/>
      <w:sz w:val="21"/>
      <w:szCs w:val="24"/>
      <w:lang w:val="en-US" w:eastAsia="zh-CN" w:bidi="ar-SA"/>
    </w:rPr>
  </w:style>
  <w:style w:type="character" w:customStyle="1" w:styleId="652">
    <w:name w:val="font161"/>
    <w:qFormat/>
    <w:uiPriority w:val="0"/>
    <w:rPr>
      <w:rFonts w:hint="eastAsia" w:ascii="宋体" w:hAnsi="宋体" w:eastAsia="宋体"/>
      <w:color w:val="FF0000"/>
      <w:sz w:val="18"/>
      <w:szCs w:val="18"/>
      <w:u w:val="none"/>
    </w:rPr>
  </w:style>
  <w:style w:type="character" w:customStyle="1" w:styleId="653">
    <w:name w:val="HTML 地址 Char1"/>
    <w:semiHidden/>
    <w:qFormat/>
    <w:uiPriority w:val="99"/>
    <w:rPr>
      <w:rFonts w:ascii="Calibri" w:hAnsi="Calibri" w:eastAsia="宋体" w:cs="Times New Roman"/>
      <w:i/>
      <w:iCs/>
    </w:rPr>
  </w:style>
  <w:style w:type="character" w:customStyle="1" w:styleId="654">
    <w:name w:val="Char2"/>
    <w:qFormat/>
    <w:uiPriority w:val="0"/>
    <w:rPr>
      <w:rFonts w:eastAsia="宋体"/>
      <w:b/>
      <w:bCs/>
      <w:kern w:val="44"/>
      <w:sz w:val="44"/>
      <w:szCs w:val="44"/>
      <w:lang w:val="en-US" w:eastAsia="zh-CN" w:bidi="ar-SA"/>
    </w:rPr>
  </w:style>
  <w:style w:type="character" w:customStyle="1" w:styleId="655">
    <w:name w:val="称呼 Char"/>
    <w:link w:val="28"/>
    <w:qFormat/>
    <w:uiPriority w:val="0"/>
    <w:rPr>
      <w:rFonts w:ascii="Times New Roman" w:hAnsi="Times New Roman" w:eastAsia="楷体_GB2312"/>
      <w:color w:val="000000"/>
      <w:kern w:val="28"/>
      <w:sz w:val="28"/>
    </w:rPr>
  </w:style>
  <w:style w:type="character" w:customStyle="1" w:styleId="656">
    <w:name w:val="Char1"/>
    <w:qFormat/>
    <w:uiPriority w:val="0"/>
    <w:rPr>
      <w:rFonts w:ascii="Arial" w:hAnsi="Arial" w:eastAsia="黑体"/>
      <w:b/>
      <w:kern w:val="2"/>
      <w:sz w:val="32"/>
      <w:szCs w:val="24"/>
      <w:lang w:val="en-US" w:eastAsia="zh-CN" w:bidi="ar-SA"/>
    </w:rPr>
  </w:style>
  <w:style w:type="character" w:customStyle="1" w:styleId="657">
    <w:name w:val="Char Char4"/>
    <w:qFormat/>
    <w:uiPriority w:val="0"/>
    <w:rPr>
      <w:rFonts w:hint="eastAsia" w:ascii="黑体" w:hAnsi="黑体" w:eastAsia="黑体"/>
      <w:b/>
      <w:snapToGrid w:val="0"/>
      <w:sz w:val="24"/>
      <w:szCs w:val="32"/>
      <w:lang w:val="en-US" w:eastAsia="zh-CN" w:bidi="ar-SA"/>
    </w:rPr>
  </w:style>
  <w:style w:type="character" w:customStyle="1" w:styleId="658">
    <w:name w:val="9dpi1"/>
    <w:qFormat/>
    <w:uiPriority w:val="0"/>
    <w:rPr>
      <w:spacing w:val="30"/>
      <w:sz w:val="18"/>
      <w:szCs w:val="18"/>
    </w:rPr>
  </w:style>
  <w:style w:type="character" w:customStyle="1" w:styleId="659">
    <w:name w:val="图 带文本框文字 Char Char"/>
    <w:link w:val="660"/>
    <w:qFormat/>
    <w:uiPriority w:val="0"/>
    <w:rPr>
      <w:rFonts w:ascii="Times New Roman" w:hAnsi="Times New Roman"/>
      <w:snapToGrid w:val="0"/>
      <w:kern w:val="21"/>
      <w:sz w:val="21"/>
      <w:szCs w:val="21"/>
    </w:rPr>
  </w:style>
  <w:style w:type="paragraph" w:customStyle="1" w:styleId="660">
    <w:name w:val="图 带文本框文字"/>
    <w:link w:val="659"/>
    <w:qFormat/>
    <w:uiPriority w:val="0"/>
    <w:pPr>
      <w:adjustRightInd w:val="0"/>
      <w:snapToGrid w:val="0"/>
      <w:jc w:val="center"/>
    </w:pPr>
    <w:rPr>
      <w:rFonts w:ascii="Times New Roman" w:hAnsi="Times New Roman" w:eastAsia="宋体" w:cs="Times New Roman"/>
      <w:snapToGrid w:val="0"/>
      <w:kern w:val="21"/>
      <w:sz w:val="21"/>
      <w:szCs w:val="21"/>
      <w:lang w:val="en-US" w:eastAsia="zh-CN" w:bidi="ar-SA"/>
    </w:rPr>
  </w:style>
  <w:style w:type="character" w:customStyle="1" w:styleId="661">
    <w:name w:val="章节标题 Char1"/>
    <w:qFormat/>
    <w:uiPriority w:val="0"/>
    <w:rPr>
      <w:rFonts w:eastAsia="宋体"/>
      <w:b/>
      <w:sz w:val="24"/>
      <w:szCs w:val="24"/>
      <w:lang w:val="en-US" w:eastAsia="zh-CN" w:bidi="ar-SA"/>
    </w:rPr>
  </w:style>
  <w:style w:type="character" w:customStyle="1" w:styleId="662">
    <w:name w:val="表号 Char"/>
    <w:qFormat/>
    <w:uiPriority w:val="0"/>
    <w:rPr>
      <w:b/>
    </w:rPr>
  </w:style>
  <w:style w:type="character" w:customStyle="1" w:styleId="663">
    <w:name w:val="Char Char7"/>
    <w:qFormat/>
    <w:uiPriority w:val="0"/>
    <w:rPr>
      <w:rFonts w:hint="eastAsia" w:ascii="宋体" w:hAnsi="宋体" w:eastAsia="宋体"/>
      <w:kern w:val="2"/>
      <w:sz w:val="24"/>
      <w:szCs w:val="24"/>
      <w:lang w:val="en-US" w:eastAsia="zh-CN" w:bidi="ar-SA"/>
    </w:rPr>
  </w:style>
  <w:style w:type="character" w:customStyle="1" w:styleId="664">
    <w:name w:val="项标题(1) Char"/>
    <w:qFormat/>
    <w:uiPriority w:val="0"/>
    <w:rPr>
      <w:rFonts w:ascii="Times New Roman" w:hAnsi="Times New Roman"/>
      <w:b/>
      <w:bCs/>
      <w:kern w:val="2"/>
      <w:sz w:val="24"/>
      <w:szCs w:val="24"/>
    </w:rPr>
  </w:style>
  <w:style w:type="character" w:customStyle="1" w:styleId="665">
    <w:name w:val="表格字 Char Char"/>
    <w:link w:val="666"/>
    <w:qFormat/>
    <w:uiPriority w:val="0"/>
    <w:rPr>
      <w:rFonts w:ascii="Times New Roman" w:hAnsi="Times New Roman"/>
    </w:rPr>
  </w:style>
  <w:style w:type="paragraph" w:customStyle="1" w:styleId="666">
    <w:name w:val="表格字"/>
    <w:basedOn w:val="3"/>
    <w:link w:val="665"/>
    <w:qFormat/>
    <w:uiPriority w:val="0"/>
    <w:pPr>
      <w:ind w:left="0" w:firstLine="0"/>
      <w:jc w:val="center"/>
    </w:pPr>
    <w:rPr>
      <w:rFonts w:hint="default" w:ascii="Times New Roman" w:eastAsia="宋体"/>
      <w:kern w:val="0"/>
      <w:sz w:val="20"/>
      <w:szCs w:val="20"/>
    </w:rPr>
  </w:style>
  <w:style w:type="character" w:customStyle="1" w:styleId="667">
    <w:name w:val="Char Char141"/>
    <w:qFormat/>
    <w:uiPriority w:val="0"/>
    <w:rPr>
      <w:rFonts w:eastAsia="宋体"/>
      <w:kern w:val="2"/>
      <w:sz w:val="18"/>
      <w:szCs w:val="18"/>
      <w:lang w:val="en-US" w:eastAsia="zh-CN" w:bidi="ar-SA"/>
    </w:rPr>
  </w:style>
  <w:style w:type="character" w:customStyle="1" w:styleId="668">
    <w:name w:val="样式 样式 样式 样式 (符号) 宋体 13 磅 首行缩进:  2 字符 行距: 1.5 倍行距 + 首行缩进:  2 字符 +... Char Char"/>
    <w:link w:val="669"/>
    <w:qFormat/>
    <w:uiPriority w:val="0"/>
    <w:rPr>
      <w:rFonts w:ascii="宋体" w:hAnsi="宋体"/>
      <w:sz w:val="26"/>
    </w:rPr>
  </w:style>
  <w:style w:type="paragraph" w:customStyle="1" w:styleId="669">
    <w:name w:val="样式 样式 样式 样式 (符号) 宋体 13 磅 首行缩进:  2 字符 行距: 1.5 倍行距 + 首行缩进:  2 字符 +..."/>
    <w:basedOn w:val="1"/>
    <w:link w:val="668"/>
    <w:qFormat/>
    <w:uiPriority w:val="0"/>
    <w:pPr>
      <w:widowControl w:val="0"/>
      <w:ind w:firstLine="563" w:firstLineChars="200"/>
      <w:jc w:val="both"/>
    </w:pPr>
    <w:rPr>
      <w:rFonts w:cs="Times New Roman"/>
      <w:sz w:val="26"/>
      <w:szCs w:val="20"/>
    </w:rPr>
  </w:style>
  <w:style w:type="character" w:customStyle="1" w:styleId="670">
    <w:name w:val="德胜正文顶格小标题 Char Char"/>
    <w:link w:val="671"/>
    <w:qFormat/>
    <w:uiPriority w:val="0"/>
    <w:rPr>
      <w:snapToGrid w:val="0"/>
      <w:color w:val="0000FF"/>
      <w:sz w:val="24"/>
      <w:szCs w:val="24"/>
    </w:rPr>
  </w:style>
  <w:style w:type="paragraph" w:customStyle="1" w:styleId="671">
    <w:name w:val="德胜正文顶格小标题"/>
    <w:basedOn w:val="174"/>
    <w:link w:val="670"/>
    <w:qFormat/>
    <w:uiPriority w:val="0"/>
    <w:pPr>
      <w:spacing w:line="360" w:lineRule="auto"/>
    </w:pPr>
    <w:rPr>
      <w:sz w:val="24"/>
      <w:szCs w:val="24"/>
    </w:rPr>
  </w:style>
  <w:style w:type="character" w:customStyle="1" w:styleId="672">
    <w:name w:val="style91"/>
    <w:qFormat/>
    <w:uiPriority w:val="0"/>
    <w:rPr>
      <w:b/>
      <w:bCs/>
      <w:color w:val="187CC8"/>
    </w:rPr>
  </w:style>
  <w:style w:type="character" w:customStyle="1" w:styleId="673">
    <w:name w:val="表文字 Char Char"/>
    <w:link w:val="674"/>
    <w:qFormat/>
    <w:uiPriority w:val="0"/>
    <w:rPr>
      <w:rFonts w:ascii="Times New Roman" w:hAnsi="Times New Roman" w:eastAsia="汉鼎简书宋"/>
      <w:szCs w:val="21"/>
    </w:rPr>
  </w:style>
  <w:style w:type="paragraph" w:customStyle="1" w:styleId="674">
    <w:name w:val="表文字"/>
    <w:basedOn w:val="1"/>
    <w:link w:val="673"/>
    <w:qFormat/>
    <w:uiPriority w:val="0"/>
    <w:pPr>
      <w:widowControl w:val="0"/>
      <w:topLinePunct/>
      <w:adjustRightInd w:val="0"/>
      <w:spacing w:line="240" w:lineRule="exact"/>
      <w:jc w:val="both"/>
      <w:textAlignment w:val="baseline"/>
    </w:pPr>
    <w:rPr>
      <w:rFonts w:ascii="Times New Roman" w:hAnsi="Times New Roman" w:eastAsia="汉鼎简书宋" w:cs="Times New Roman"/>
      <w:sz w:val="20"/>
      <w:szCs w:val="21"/>
    </w:rPr>
  </w:style>
  <w:style w:type="character" w:customStyle="1" w:styleId="675">
    <w:name w:val="页眉 Char Char"/>
    <w:qFormat/>
    <w:uiPriority w:val="0"/>
    <w:rPr>
      <w:sz w:val="18"/>
      <w:szCs w:val="18"/>
    </w:rPr>
  </w:style>
  <w:style w:type="character" w:customStyle="1" w:styleId="676">
    <w:name w:val="职卫正文 Char Char"/>
    <w:link w:val="677"/>
    <w:qFormat/>
    <w:uiPriority w:val="0"/>
    <w:rPr>
      <w:rFonts w:ascii="仿宋_GB2312" w:hAnsi="宋体" w:eastAsia="仿宋_GB2312"/>
      <w:color w:val="000000"/>
      <w:spacing w:val="-2"/>
      <w:kern w:val="16"/>
      <w:sz w:val="28"/>
      <w:szCs w:val="24"/>
    </w:rPr>
  </w:style>
  <w:style w:type="paragraph" w:customStyle="1" w:styleId="677">
    <w:name w:val="职卫正文"/>
    <w:basedOn w:val="1"/>
    <w:link w:val="676"/>
    <w:qFormat/>
    <w:uiPriority w:val="0"/>
    <w:pPr>
      <w:widowControl w:val="0"/>
      <w:spacing w:line="486" w:lineRule="exact"/>
      <w:ind w:firstLine="200" w:firstLineChars="200"/>
    </w:pPr>
    <w:rPr>
      <w:rFonts w:ascii="仿宋_GB2312" w:eastAsia="仿宋_GB2312" w:cs="Times New Roman"/>
      <w:color w:val="000000"/>
      <w:spacing w:val="-2"/>
      <w:kern w:val="16"/>
      <w:sz w:val="28"/>
    </w:rPr>
  </w:style>
  <w:style w:type="character" w:customStyle="1" w:styleId="678">
    <w:name w:val="图表内容 Char"/>
    <w:link w:val="679"/>
    <w:qFormat/>
    <w:uiPriority w:val="0"/>
    <w:rPr>
      <w:rFonts w:ascii="Times New Roman" w:hAnsi="Times New Roman" w:eastAsia="仿宋_GB2312"/>
    </w:rPr>
  </w:style>
  <w:style w:type="paragraph" w:customStyle="1" w:styleId="679">
    <w:name w:val="图表内容"/>
    <w:basedOn w:val="1"/>
    <w:link w:val="678"/>
    <w:qFormat/>
    <w:uiPriority w:val="0"/>
    <w:pPr>
      <w:widowControl w:val="0"/>
      <w:adjustRightInd w:val="0"/>
      <w:snapToGrid w:val="0"/>
      <w:jc w:val="center"/>
    </w:pPr>
    <w:rPr>
      <w:rFonts w:ascii="Times New Roman" w:hAnsi="Times New Roman" w:eastAsia="仿宋_GB2312" w:cs="Times New Roman"/>
      <w:sz w:val="20"/>
      <w:szCs w:val="20"/>
    </w:rPr>
  </w:style>
  <w:style w:type="character" w:customStyle="1" w:styleId="680">
    <w:name w:val="正文文本缩进 3 Char2"/>
    <w:semiHidden/>
    <w:qFormat/>
    <w:uiPriority w:val="0"/>
    <w:rPr>
      <w:rFonts w:ascii="Times New Roman" w:hAnsi="Times New Roman" w:eastAsia="宋体" w:cs="Times New Roman"/>
      <w:sz w:val="16"/>
      <w:szCs w:val="16"/>
    </w:rPr>
  </w:style>
  <w:style w:type="character" w:customStyle="1" w:styleId="681">
    <w:name w:val="正文. Char Char"/>
    <w:link w:val="682"/>
    <w:qFormat/>
    <w:uiPriority w:val="0"/>
    <w:rPr>
      <w:rFonts w:ascii="Times New Roman" w:hAnsi="Times New Roman"/>
      <w:snapToGrid w:val="0"/>
      <w:color w:val="000000"/>
      <w:sz w:val="24"/>
      <w:szCs w:val="24"/>
      <w:lang w:val="en-US" w:eastAsia="zh-CN"/>
    </w:rPr>
  </w:style>
  <w:style w:type="paragraph" w:customStyle="1" w:styleId="682">
    <w:name w:val="正文."/>
    <w:basedOn w:val="1"/>
    <w:link w:val="681"/>
    <w:qFormat/>
    <w:uiPriority w:val="0"/>
    <w:pPr>
      <w:widowControl w:val="0"/>
      <w:tabs>
        <w:tab w:val="left" w:leader="dot" w:pos="48"/>
      </w:tabs>
      <w:autoSpaceDE w:val="0"/>
      <w:autoSpaceDN w:val="0"/>
      <w:adjustRightInd w:val="0"/>
      <w:spacing w:line="360" w:lineRule="auto"/>
      <w:ind w:firstLine="480"/>
      <w:jc w:val="both"/>
    </w:pPr>
    <w:rPr>
      <w:rFonts w:ascii="Times New Roman" w:hAnsi="Times New Roman" w:cs="Times New Roman"/>
      <w:snapToGrid w:val="0"/>
      <w:color w:val="000000"/>
    </w:rPr>
  </w:style>
  <w:style w:type="character" w:customStyle="1" w:styleId="683">
    <w:name w:val="样式1 Char Char"/>
    <w:qFormat/>
    <w:uiPriority w:val="0"/>
    <w:rPr>
      <w:rFonts w:ascii="宋体" w:eastAsia="宋体"/>
      <w:color w:val="000000"/>
      <w:kern w:val="2"/>
      <w:sz w:val="21"/>
      <w:szCs w:val="21"/>
      <w:lang w:val="zh-CN" w:eastAsia="zh-CN" w:bidi="ar-SA"/>
    </w:rPr>
  </w:style>
  <w:style w:type="character" w:customStyle="1" w:styleId="684">
    <w:name w:val="model11"/>
    <w:qFormat/>
    <w:uiPriority w:val="0"/>
    <w:rPr>
      <w:rFonts w:hint="eastAsia" w:ascii="宋体" w:hAnsi="宋体" w:eastAsia="宋体"/>
      <w:sz w:val="18"/>
      <w:szCs w:val="18"/>
      <w:u w:val="none"/>
    </w:rPr>
  </w:style>
  <w:style w:type="character" w:customStyle="1" w:styleId="685">
    <w:name w:val="表内容 Char Char"/>
    <w:link w:val="686"/>
    <w:qFormat/>
    <w:uiPriority w:val="0"/>
    <w:rPr>
      <w:smallCaps/>
    </w:rPr>
  </w:style>
  <w:style w:type="paragraph" w:customStyle="1" w:styleId="686">
    <w:name w:val="表内容"/>
    <w:basedOn w:val="1"/>
    <w:link w:val="685"/>
    <w:qFormat/>
    <w:uiPriority w:val="0"/>
    <w:pPr>
      <w:autoSpaceDE w:val="0"/>
      <w:autoSpaceDN w:val="0"/>
      <w:adjustRightInd w:val="0"/>
      <w:jc w:val="center"/>
      <w:textAlignment w:val="bottom"/>
    </w:pPr>
    <w:rPr>
      <w:rFonts w:ascii="Calibri" w:hAnsi="Calibri" w:cs="Times New Roman"/>
      <w:smallCaps/>
      <w:sz w:val="20"/>
      <w:szCs w:val="20"/>
    </w:rPr>
  </w:style>
  <w:style w:type="character" w:customStyle="1" w:styleId="687">
    <w:name w:val="无节项 Char Char"/>
    <w:qFormat/>
    <w:uiPriority w:val="0"/>
    <w:rPr>
      <w:rFonts w:eastAsia="仿宋_GB2312"/>
      <w:kern w:val="21"/>
      <w:sz w:val="21"/>
      <w:lang w:val="en-US" w:eastAsia="zh-CN" w:bidi="ar-SA"/>
    </w:rPr>
  </w:style>
  <w:style w:type="character" w:customStyle="1" w:styleId="688">
    <w:name w:val="样式2 Char Char"/>
    <w:qFormat/>
    <w:uiPriority w:val="0"/>
    <w:rPr>
      <w:rFonts w:ascii="黑体" w:hAnsi="仿宋_GB2312" w:eastAsia="黑体"/>
      <w:b/>
      <w:bCs/>
      <w:kern w:val="2"/>
      <w:sz w:val="30"/>
      <w:szCs w:val="30"/>
      <w:lang w:val="en-US" w:eastAsia="zh-CN" w:bidi="ar-SA"/>
    </w:rPr>
  </w:style>
  <w:style w:type="character" w:customStyle="1" w:styleId="689">
    <w:name w:val="样式 宋体 13 磅 首行缩进:  0.99 厘米 Char Char"/>
    <w:link w:val="690"/>
    <w:qFormat/>
    <w:uiPriority w:val="0"/>
    <w:rPr>
      <w:rFonts w:ascii="宋体" w:hAnsi="宋体"/>
      <w:sz w:val="27"/>
      <w:szCs w:val="27"/>
    </w:rPr>
  </w:style>
  <w:style w:type="paragraph" w:customStyle="1" w:styleId="690">
    <w:name w:val="样式 宋体 13 磅 首行缩进:  0.99 厘米"/>
    <w:basedOn w:val="1"/>
    <w:link w:val="689"/>
    <w:qFormat/>
    <w:uiPriority w:val="0"/>
    <w:pPr>
      <w:widowControl w:val="0"/>
      <w:ind w:firstLine="560"/>
      <w:jc w:val="both"/>
    </w:pPr>
    <w:rPr>
      <w:rFonts w:cs="Times New Roman"/>
      <w:sz w:val="27"/>
      <w:szCs w:val="27"/>
    </w:rPr>
  </w:style>
  <w:style w:type="character" w:customStyle="1" w:styleId="691">
    <w:name w:val="Char Char132"/>
    <w:qFormat/>
    <w:uiPriority w:val="0"/>
    <w:rPr>
      <w:sz w:val="18"/>
      <w:szCs w:val="18"/>
    </w:rPr>
  </w:style>
  <w:style w:type="character" w:customStyle="1" w:styleId="692">
    <w:name w:val="plus"/>
    <w:qFormat/>
    <w:uiPriority w:val="0"/>
    <w:rPr>
      <w:b/>
      <w:vanish/>
      <w:color w:val="1F8DEF"/>
      <w:sz w:val="24"/>
      <w:szCs w:val="24"/>
    </w:rPr>
  </w:style>
  <w:style w:type="character" w:customStyle="1" w:styleId="693">
    <w:name w:val="【标题4】 Char Char"/>
    <w:link w:val="694"/>
    <w:qFormat/>
    <w:uiPriority w:val="0"/>
    <w:rPr>
      <w:b/>
      <w:bCs/>
      <w:sz w:val="28"/>
    </w:rPr>
  </w:style>
  <w:style w:type="paragraph" w:customStyle="1" w:styleId="694">
    <w:name w:val="【标题4】"/>
    <w:basedOn w:val="1"/>
    <w:link w:val="693"/>
    <w:qFormat/>
    <w:uiPriority w:val="0"/>
    <w:pPr>
      <w:keepLines/>
      <w:widowControl w:val="0"/>
      <w:spacing w:before="120" w:after="120"/>
      <w:outlineLvl w:val="3"/>
    </w:pPr>
    <w:rPr>
      <w:rFonts w:ascii="Calibri" w:hAnsi="Calibri" w:cs="Times New Roman"/>
      <w:b/>
      <w:bCs/>
      <w:sz w:val="28"/>
      <w:szCs w:val="20"/>
    </w:rPr>
  </w:style>
  <w:style w:type="character" w:customStyle="1" w:styleId="695">
    <w:name w:val="表格四号 Char Char"/>
    <w:link w:val="696"/>
    <w:qFormat/>
    <w:uiPriority w:val="0"/>
    <w:rPr>
      <w:rFonts w:ascii="宋体" w:hAnsi="宋体"/>
      <w:snapToGrid w:val="0"/>
      <w:sz w:val="28"/>
      <w:szCs w:val="28"/>
    </w:rPr>
  </w:style>
  <w:style w:type="paragraph" w:customStyle="1" w:styleId="696">
    <w:name w:val="表格四号"/>
    <w:basedOn w:val="1"/>
    <w:link w:val="695"/>
    <w:qFormat/>
    <w:uiPriority w:val="0"/>
    <w:pPr>
      <w:widowControl w:val="0"/>
      <w:adjustRightInd w:val="0"/>
      <w:snapToGrid w:val="0"/>
      <w:jc w:val="center"/>
    </w:pPr>
    <w:rPr>
      <w:rFonts w:cs="Times New Roman"/>
      <w:snapToGrid w:val="0"/>
      <w:sz w:val="28"/>
      <w:szCs w:val="28"/>
    </w:rPr>
  </w:style>
  <w:style w:type="character" w:customStyle="1" w:styleId="697">
    <w:name w:val="articlebody3"/>
    <w:qFormat/>
    <w:uiPriority w:val="0"/>
    <w:rPr>
      <w:sz w:val="21"/>
      <w:szCs w:val="21"/>
    </w:rPr>
  </w:style>
  <w:style w:type="character" w:customStyle="1" w:styleId="698">
    <w:name w:val="批注主题 Char2"/>
    <w:semiHidden/>
    <w:qFormat/>
    <w:uiPriority w:val="99"/>
    <w:rPr>
      <w:rFonts w:ascii="Calibri" w:hAnsi="Calibri" w:eastAsia="宋体" w:cs="Times New Roman"/>
      <w:b/>
      <w:bCs/>
    </w:rPr>
  </w:style>
  <w:style w:type="character" w:customStyle="1" w:styleId="699">
    <w:name w:val="正文首行缩进2字符 Char1"/>
    <w:link w:val="700"/>
    <w:qFormat/>
    <w:uiPriority w:val="0"/>
    <w:rPr>
      <w:rFonts w:ascii="Times New Roman" w:hAnsi="Times New Roman"/>
      <w:sz w:val="28"/>
      <w:szCs w:val="24"/>
    </w:rPr>
  </w:style>
  <w:style w:type="paragraph" w:customStyle="1" w:styleId="700">
    <w:name w:val="正文首行缩进2字符"/>
    <w:basedOn w:val="1"/>
    <w:link w:val="699"/>
    <w:qFormat/>
    <w:uiPriority w:val="0"/>
    <w:pPr>
      <w:widowControl w:val="0"/>
      <w:spacing w:line="480" w:lineRule="exact"/>
      <w:ind w:firstLine="200" w:firstLineChars="200"/>
      <w:jc w:val="both"/>
    </w:pPr>
    <w:rPr>
      <w:rFonts w:ascii="Times New Roman" w:hAnsi="Times New Roman" w:cs="Times New Roman"/>
      <w:sz w:val="28"/>
    </w:rPr>
  </w:style>
  <w:style w:type="character" w:customStyle="1" w:styleId="701">
    <w:name w:val="表内 Char"/>
    <w:link w:val="702"/>
    <w:qFormat/>
    <w:locked/>
    <w:uiPriority w:val="0"/>
    <w:rPr>
      <w:rFonts w:ascii="Times New Roman" w:hAnsi="Times New Roman"/>
      <w:snapToGrid w:val="0"/>
      <w:kern w:val="2"/>
      <w:sz w:val="21"/>
    </w:rPr>
  </w:style>
  <w:style w:type="paragraph" w:customStyle="1" w:styleId="702">
    <w:name w:val="表内"/>
    <w:basedOn w:val="1"/>
    <w:next w:val="1"/>
    <w:link w:val="701"/>
    <w:qFormat/>
    <w:uiPriority w:val="0"/>
    <w:pPr>
      <w:widowControl w:val="0"/>
      <w:adjustRightInd w:val="0"/>
      <w:snapToGrid w:val="0"/>
      <w:spacing w:before="120" w:after="120" w:line="288" w:lineRule="auto"/>
      <w:jc w:val="center"/>
    </w:pPr>
    <w:rPr>
      <w:rFonts w:ascii="Times New Roman" w:hAnsi="Times New Roman" w:cs="Times New Roman"/>
      <w:snapToGrid w:val="0"/>
      <w:kern w:val="2"/>
      <w:sz w:val="21"/>
      <w:szCs w:val="20"/>
    </w:rPr>
  </w:style>
  <w:style w:type="character" w:customStyle="1" w:styleId="703">
    <w:name w:val="正文文本缩进 2 Char Char"/>
    <w:qFormat/>
    <w:uiPriority w:val="0"/>
    <w:rPr>
      <w:rFonts w:ascii="宋体" w:hAnsi="Times New Roman" w:eastAsia="宋体" w:cs="Times New Roman"/>
      <w:color w:val="000000"/>
      <w:kern w:val="0"/>
      <w:sz w:val="36"/>
      <w:szCs w:val="20"/>
    </w:rPr>
  </w:style>
  <w:style w:type="character" w:customStyle="1" w:styleId="704">
    <w:name w:val="目标题 1) Char Char"/>
    <w:qFormat/>
    <w:uiPriority w:val="0"/>
    <w:rPr>
      <w:rFonts w:ascii="Arial" w:hAnsi="Arial" w:eastAsia="黑体"/>
      <w:kern w:val="2"/>
      <w:sz w:val="24"/>
      <w:szCs w:val="24"/>
    </w:rPr>
  </w:style>
  <w:style w:type="character" w:customStyle="1" w:styleId="705">
    <w:name w:val="日期 Char Char"/>
    <w:qFormat/>
    <w:uiPriority w:val="0"/>
    <w:rPr>
      <w:rFonts w:ascii="Times New Roman" w:hAnsi="Times New Roman" w:eastAsia="宋体" w:cs="Times New Roman"/>
      <w:sz w:val="24"/>
      <w:szCs w:val="20"/>
    </w:rPr>
  </w:style>
  <w:style w:type="character" w:customStyle="1" w:styleId="706">
    <w:name w:val="epapagename"/>
    <w:basedOn w:val="85"/>
    <w:qFormat/>
    <w:uiPriority w:val="0"/>
  </w:style>
  <w:style w:type="character" w:customStyle="1" w:styleId="707">
    <w:name w:val="表格内容1 Char Char Char Char Char"/>
    <w:link w:val="708"/>
    <w:qFormat/>
    <w:uiPriority w:val="0"/>
    <w:rPr>
      <w:rFonts w:ascii="Arial" w:hAnsi="Arial" w:eastAsia="仿宋_GB2312"/>
      <w:kern w:val="24"/>
      <w:szCs w:val="24"/>
    </w:rPr>
  </w:style>
  <w:style w:type="paragraph" w:customStyle="1" w:styleId="708">
    <w:name w:val="表格内容1 Char Char Char"/>
    <w:basedOn w:val="1"/>
    <w:link w:val="707"/>
    <w:qFormat/>
    <w:uiPriority w:val="0"/>
    <w:pPr>
      <w:widowControl w:val="0"/>
      <w:spacing w:line="240" w:lineRule="atLeast"/>
      <w:jc w:val="center"/>
    </w:pPr>
    <w:rPr>
      <w:rFonts w:ascii="Arial" w:hAnsi="Arial" w:eastAsia="仿宋_GB2312" w:cs="Times New Roman"/>
      <w:kern w:val="24"/>
      <w:sz w:val="20"/>
    </w:rPr>
  </w:style>
  <w:style w:type="character" w:customStyle="1" w:styleId="709">
    <w:name w:val="环评正文 Char Char"/>
    <w:link w:val="280"/>
    <w:qFormat/>
    <w:uiPriority w:val="0"/>
    <w:rPr>
      <w:rFonts w:ascii="仿宋_GB2312" w:hAnsi="Times New Roman" w:eastAsia="仿宋_GB2312" w:cs="宋体"/>
      <w:sz w:val="28"/>
    </w:rPr>
  </w:style>
  <w:style w:type="character" w:customStyle="1" w:styleId="710">
    <w:name w:val="HTML 预设格式 Char1"/>
    <w:semiHidden/>
    <w:qFormat/>
    <w:uiPriority w:val="99"/>
    <w:rPr>
      <w:rFonts w:ascii="Courier New" w:hAnsi="Courier New" w:eastAsia="宋体" w:cs="Courier New"/>
      <w:sz w:val="20"/>
      <w:szCs w:val="20"/>
    </w:rPr>
  </w:style>
  <w:style w:type="character" w:customStyle="1" w:styleId="711">
    <w:name w:val="z-窗体顶端 Char1"/>
    <w:semiHidden/>
    <w:qFormat/>
    <w:uiPriority w:val="99"/>
    <w:rPr>
      <w:rFonts w:ascii="Arial" w:hAnsi="Arial" w:eastAsia="宋体" w:cs="Arial"/>
      <w:vanish/>
      <w:sz w:val="16"/>
      <w:szCs w:val="16"/>
    </w:rPr>
  </w:style>
  <w:style w:type="character" w:customStyle="1" w:styleId="712">
    <w:name w:val="图例 Char Char"/>
    <w:link w:val="713"/>
    <w:qFormat/>
    <w:uiPriority w:val="0"/>
    <w:rPr>
      <w:rFonts w:ascii="Times New Roman" w:hAnsi="Times New Roman"/>
      <w:b/>
      <w:bCs/>
      <w:szCs w:val="24"/>
      <w:lang w:val="zh-CN"/>
    </w:rPr>
  </w:style>
  <w:style w:type="paragraph" w:customStyle="1" w:styleId="713">
    <w:name w:val="图例"/>
    <w:basedOn w:val="641"/>
    <w:link w:val="712"/>
    <w:qFormat/>
    <w:uiPriority w:val="0"/>
    <w:rPr>
      <w:szCs w:val="24"/>
    </w:rPr>
  </w:style>
  <w:style w:type="character" w:customStyle="1" w:styleId="714">
    <w:name w:val="小标题 Char Char"/>
    <w:link w:val="715"/>
    <w:qFormat/>
    <w:uiPriority w:val="0"/>
    <w:rPr>
      <w:rFonts w:ascii="Times New Roman" w:hAnsi="Times New Roman" w:eastAsia="仿宋_GB2312"/>
      <w:b/>
      <w:sz w:val="28"/>
    </w:rPr>
  </w:style>
  <w:style w:type="paragraph" w:customStyle="1" w:styleId="715">
    <w:name w:val="小标题"/>
    <w:basedOn w:val="1"/>
    <w:next w:val="1"/>
    <w:link w:val="714"/>
    <w:qFormat/>
    <w:uiPriority w:val="0"/>
    <w:pPr>
      <w:widowControl w:val="0"/>
      <w:spacing w:line="486" w:lineRule="exact"/>
      <w:ind w:firstLine="200" w:firstLineChars="200"/>
    </w:pPr>
    <w:rPr>
      <w:rFonts w:ascii="Times New Roman" w:hAnsi="Times New Roman" w:eastAsia="仿宋_GB2312" w:cs="Times New Roman"/>
      <w:b/>
      <w:sz w:val="28"/>
      <w:szCs w:val="20"/>
    </w:rPr>
  </w:style>
  <w:style w:type="character" w:customStyle="1" w:styleId="716">
    <w:name w:val="正文11 Char Char Char Char1"/>
    <w:qFormat/>
    <w:uiPriority w:val="0"/>
    <w:rPr>
      <w:rFonts w:ascii="宋体" w:hAnsi="宋体" w:eastAsia="宋体"/>
      <w:snapToGrid w:val="0"/>
      <w:sz w:val="24"/>
      <w:szCs w:val="24"/>
      <w:lang w:val="en-US" w:eastAsia="zh-CN" w:bidi="ar-SA"/>
    </w:rPr>
  </w:style>
  <w:style w:type="character" w:customStyle="1" w:styleId="717">
    <w:name w:val="Char Char29"/>
    <w:qFormat/>
    <w:uiPriority w:val="0"/>
    <w:rPr>
      <w:rFonts w:hint="eastAsia" w:ascii="宋体" w:hAnsi="Times New Roman" w:eastAsia="宋体" w:cs="Times New Roman"/>
      <w:color w:val="000000"/>
      <w:kern w:val="0"/>
      <w:sz w:val="36"/>
      <w:szCs w:val="20"/>
    </w:rPr>
  </w:style>
  <w:style w:type="character" w:customStyle="1" w:styleId="718">
    <w:name w:val="正文缩进 Char1"/>
    <w:qFormat/>
    <w:uiPriority w:val="0"/>
    <w:rPr>
      <w:rFonts w:ascii="Times New Roman" w:hAnsi="Times New Roman" w:eastAsia="宋体" w:cs="Times New Roman"/>
      <w:szCs w:val="24"/>
    </w:rPr>
  </w:style>
  <w:style w:type="character" w:customStyle="1" w:styleId="719">
    <w:name w:val="日期 Char1"/>
    <w:semiHidden/>
    <w:qFormat/>
    <w:uiPriority w:val="99"/>
    <w:rPr>
      <w:rFonts w:ascii="Times New Roman" w:hAnsi="Times New Roman" w:eastAsia="宋体" w:cs="Times New Roman"/>
      <w:szCs w:val="24"/>
    </w:rPr>
  </w:style>
  <w:style w:type="character" w:customStyle="1" w:styleId="720">
    <w:name w:val="Char Char152"/>
    <w:link w:val="721"/>
    <w:qFormat/>
    <w:uiPriority w:val="0"/>
    <w:rPr>
      <w:sz w:val="24"/>
    </w:rPr>
  </w:style>
  <w:style w:type="paragraph" w:customStyle="1" w:styleId="721">
    <w:name w:val="正文文本1"/>
    <w:basedOn w:val="1"/>
    <w:link w:val="720"/>
    <w:qFormat/>
    <w:uiPriority w:val="0"/>
    <w:pPr>
      <w:widowControl w:val="0"/>
      <w:spacing w:line="240" w:lineRule="atLeast"/>
      <w:jc w:val="center"/>
    </w:pPr>
    <w:rPr>
      <w:rFonts w:ascii="Calibri" w:hAnsi="Calibri" w:cs="Times New Roman"/>
      <w:szCs w:val="20"/>
    </w:rPr>
  </w:style>
  <w:style w:type="character" w:customStyle="1" w:styleId="722">
    <w:name w:val="cucd-B Char Char Char Char"/>
    <w:link w:val="723"/>
    <w:qFormat/>
    <w:uiPriority w:val="0"/>
    <w:rPr>
      <w:rFonts w:ascii="宋体" w:hAnsi="宋体"/>
      <w:color w:val="000000"/>
      <w:sz w:val="21"/>
      <w:szCs w:val="21"/>
    </w:rPr>
  </w:style>
  <w:style w:type="paragraph" w:customStyle="1" w:styleId="723">
    <w:name w:val="cucd-B Char Char"/>
    <w:next w:val="1"/>
    <w:link w:val="722"/>
    <w:qFormat/>
    <w:uiPriority w:val="0"/>
    <w:pPr>
      <w:widowControl w:val="0"/>
      <w:spacing w:beforeLines="50" w:line="240" w:lineRule="atLeast"/>
      <w:jc w:val="both"/>
    </w:pPr>
    <w:rPr>
      <w:rFonts w:ascii="宋体" w:hAnsi="宋体" w:eastAsia="宋体" w:cs="Times New Roman"/>
      <w:color w:val="000000"/>
      <w:sz w:val="21"/>
      <w:szCs w:val="21"/>
      <w:lang w:val="en-US" w:eastAsia="zh-CN" w:bidi="ar-SA"/>
    </w:rPr>
  </w:style>
  <w:style w:type="character" w:customStyle="1" w:styleId="724">
    <w:name w:val="尾注文本 Char"/>
    <w:link w:val="50"/>
    <w:qFormat/>
    <w:uiPriority w:val="0"/>
    <w:rPr>
      <w:sz w:val="24"/>
    </w:rPr>
  </w:style>
  <w:style w:type="character" w:customStyle="1" w:styleId="725">
    <w:name w:val="正文文本 3 Char Char"/>
    <w:qFormat/>
    <w:uiPriority w:val="0"/>
    <w:rPr>
      <w:rFonts w:ascii="Times New Roman" w:hAnsi="Times New Roman" w:eastAsia="宋体" w:cs="Times New Roman"/>
      <w:sz w:val="16"/>
      <w:szCs w:val="16"/>
    </w:rPr>
  </w:style>
  <w:style w:type="character" w:customStyle="1" w:styleId="726">
    <w:name w:val="不明显强调1"/>
    <w:qFormat/>
    <w:uiPriority w:val="19"/>
    <w:rPr>
      <w:i/>
      <w:iCs/>
      <w:color w:val="808080"/>
    </w:rPr>
  </w:style>
  <w:style w:type="character" w:customStyle="1" w:styleId="727">
    <w:name w:val="小表右 Char Char"/>
    <w:link w:val="728"/>
    <w:qFormat/>
    <w:uiPriority w:val="0"/>
    <w:rPr>
      <w:rFonts w:ascii="宋体" w:hAnsi="宋体"/>
    </w:rPr>
  </w:style>
  <w:style w:type="paragraph" w:customStyle="1" w:styleId="728">
    <w:name w:val="小表右"/>
    <w:basedOn w:val="1"/>
    <w:link w:val="727"/>
    <w:qFormat/>
    <w:uiPriority w:val="0"/>
    <w:pPr>
      <w:keepNext/>
      <w:widowControl w:val="0"/>
      <w:tabs>
        <w:tab w:val="left" w:pos="719"/>
        <w:tab w:val="left" w:pos="3156"/>
        <w:tab w:val="left" w:pos="4105"/>
        <w:tab w:val="left" w:pos="5054"/>
        <w:tab w:val="left" w:pos="6003"/>
        <w:tab w:val="left" w:pos="7183"/>
        <w:tab w:val="left" w:pos="8159"/>
        <w:tab w:val="left" w:pos="9312"/>
        <w:tab w:val="left" w:pos="10261"/>
        <w:tab w:val="left" w:pos="11210"/>
        <w:tab w:val="left" w:pos="12159"/>
        <w:tab w:val="left" w:pos="13108"/>
        <w:tab w:val="left" w:pos="14057"/>
        <w:tab w:val="left" w:pos="15006"/>
        <w:tab w:val="left" w:pos="15955"/>
        <w:tab w:val="left" w:pos="16904"/>
        <w:tab w:val="left" w:pos="17853"/>
        <w:tab w:val="left" w:pos="18802"/>
        <w:tab w:val="left" w:pos="19751"/>
        <w:tab w:val="left" w:pos="20700"/>
      </w:tabs>
      <w:adjustRightInd w:val="0"/>
      <w:snapToGrid w:val="0"/>
      <w:spacing w:line="240" w:lineRule="atLeast"/>
      <w:ind w:right="28" w:rightChars="10"/>
      <w:jc w:val="right"/>
    </w:pPr>
    <w:rPr>
      <w:rFonts w:cs="Times New Roman"/>
      <w:sz w:val="20"/>
      <w:szCs w:val="20"/>
    </w:rPr>
  </w:style>
  <w:style w:type="character" w:customStyle="1" w:styleId="729">
    <w:name w:val="A3"/>
    <w:qFormat/>
    <w:uiPriority w:val="0"/>
    <w:rPr>
      <w:rFonts w:ascii="BankGothic Lt BT" w:hAnsi="BankGothic Lt BT" w:cs="BankGothic Lt BT"/>
      <w:color w:val="000000"/>
      <w:sz w:val="36"/>
      <w:szCs w:val="36"/>
    </w:rPr>
  </w:style>
  <w:style w:type="character" w:customStyle="1" w:styleId="730">
    <w:name w:val="表格和图片 Char Char"/>
    <w:link w:val="731"/>
    <w:semiHidden/>
    <w:qFormat/>
    <w:uiPriority w:val="0"/>
    <w:rPr>
      <w:color w:val="000000"/>
      <w:sz w:val="24"/>
    </w:rPr>
  </w:style>
  <w:style w:type="paragraph" w:customStyle="1" w:styleId="731">
    <w:name w:val="表格和图片"/>
    <w:basedOn w:val="1"/>
    <w:link w:val="730"/>
    <w:semiHidden/>
    <w:qFormat/>
    <w:uiPriority w:val="0"/>
    <w:pPr>
      <w:widowControl w:val="0"/>
      <w:spacing w:line="360" w:lineRule="auto"/>
      <w:jc w:val="center"/>
    </w:pPr>
    <w:rPr>
      <w:rFonts w:ascii="Calibri" w:hAnsi="Calibri" w:cs="Times New Roman"/>
      <w:color w:val="000000"/>
      <w:szCs w:val="20"/>
    </w:rPr>
  </w:style>
  <w:style w:type="character" w:customStyle="1" w:styleId="732">
    <w:name w:val="large"/>
    <w:basedOn w:val="85"/>
    <w:qFormat/>
    <w:uiPriority w:val="0"/>
  </w:style>
  <w:style w:type="character" w:customStyle="1" w:styleId="733">
    <w:name w:val="脚注文本 Char"/>
    <w:link w:val="62"/>
    <w:qFormat/>
    <w:uiPriority w:val="99"/>
    <w:rPr>
      <w:rFonts w:ascii="Times New Roman" w:hAnsi="Times New Roman"/>
      <w:sz w:val="16"/>
    </w:rPr>
  </w:style>
  <w:style w:type="character" w:customStyle="1" w:styleId="734">
    <w:name w:val="background-color:#ffffff"/>
    <w:basedOn w:val="85"/>
    <w:qFormat/>
    <w:uiPriority w:val="0"/>
  </w:style>
  <w:style w:type="character" w:customStyle="1" w:styleId="735">
    <w:name w:val="font21"/>
    <w:qFormat/>
    <w:uiPriority w:val="0"/>
    <w:rPr>
      <w:rFonts w:hint="eastAsia" w:ascii="宋体" w:hAnsi="宋体" w:eastAsia="宋体"/>
      <w:color w:val="000000"/>
      <w:sz w:val="22"/>
      <w:u w:val="none"/>
    </w:rPr>
  </w:style>
  <w:style w:type="character" w:customStyle="1" w:styleId="736">
    <w:name w:val="普通(网站) Char"/>
    <w:link w:val="75"/>
    <w:qFormat/>
    <w:uiPriority w:val="0"/>
    <w:rPr>
      <w:rFonts w:ascii="宋体" w:hAnsi="宋体" w:cs="宋体"/>
      <w:sz w:val="24"/>
      <w:szCs w:val="24"/>
    </w:rPr>
  </w:style>
  <w:style w:type="character" w:customStyle="1" w:styleId="737">
    <w:name w:val="zy"/>
    <w:basedOn w:val="85"/>
    <w:qFormat/>
    <w:uiPriority w:val="0"/>
  </w:style>
  <w:style w:type="character" w:customStyle="1" w:styleId="738">
    <w:name w:val="zhengwencolor1"/>
    <w:qFormat/>
    <w:uiPriority w:val="0"/>
    <w:rPr>
      <w:color w:val="000000"/>
      <w:sz w:val="16"/>
      <w:szCs w:val="16"/>
    </w:rPr>
  </w:style>
  <w:style w:type="character" w:customStyle="1" w:styleId="739">
    <w:name w:val="正文文本 2 Char1"/>
    <w:semiHidden/>
    <w:qFormat/>
    <w:uiPriority w:val="0"/>
    <w:rPr>
      <w:rFonts w:ascii="Times New Roman" w:hAnsi="Times New Roman" w:eastAsia="宋体" w:cs="Times New Roman"/>
      <w:szCs w:val="24"/>
    </w:rPr>
  </w:style>
  <w:style w:type="character" w:customStyle="1" w:styleId="740">
    <w:name w:val="aaa Char Char"/>
    <w:link w:val="741"/>
    <w:qFormat/>
    <w:uiPriority w:val="0"/>
    <w:rPr>
      <w:rFonts w:ascii="ˎ̥" w:hAnsi="ˎ̥"/>
      <w:bCs/>
      <w:color w:val="000000"/>
      <w:sz w:val="24"/>
    </w:rPr>
  </w:style>
  <w:style w:type="paragraph" w:customStyle="1" w:styleId="741">
    <w:name w:val="aaa"/>
    <w:basedOn w:val="1"/>
    <w:link w:val="740"/>
    <w:qFormat/>
    <w:uiPriority w:val="0"/>
    <w:pPr>
      <w:widowControl w:val="0"/>
      <w:spacing w:beforeLines="50" w:afterLines="50" w:line="360" w:lineRule="auto"/>
      <w:ind w:firstLine="480" w:firstLineChars="200"/>
      <w:jc w:val="both"/>
    </w:pPr>
    <w:rPr>
      <w:rFonts w:ascii="ˎ̥" w:hAnsi="ˎ̥" w:cs="Times New Roman"/>
      <w:bCs/>
      <w:color w:val="000000"/>
      <w:szCs w:val="20"/>
    </w:rPr>
  </w:style>
  <w:style w:type="character" w:customStyle="1" w:styleId="742">
    <w:name w:val="Char Char171"/>
    <w:qFormat/>
    <w:uiPriority w:val="0"/>
    <w:rPr>
      <w:rFonts w:eastAsia="宋体"/>
      <w:kern w:val="2"/>
      <w:sz w:val="21"/>
      <w:szCs w:val="24"/>
      <w:lang w:val="en-US" w:eastAsia="zh-CN" w:bidi="ar-SA"/>
    </w:rPr>
  </w:style>
  <w:style w:type="character" w:customStyle="1" w:styleId="743">
    <w:name w:val="表格内容1 Char Char Char Char"/>
    <w:qFormat/>
    <w:uiPriority w:val="0"/>
    <w:rPr>
      <w:rFonts w:ascii="Arial" w:hAnsi="Arial" w:eastAsia="仿宋_GB2312"/>
      <w:kern w:val="24"/>
      <w:sz w:val="21"/>
      <w:szCs w:val="24"/>
    </w:rPr>
  </w:style>
  <w:style w:type="character" w:customStyle="1" w:styleId="744">
    <w:name w:val="bds_nopic2"/>
    <w:basedOn w:val="85"/>
    <w:qFormat/>
    <w:uiPriority w:val="0"/>
  </w:style>
  <w:style w:type="character" w:customStyle="1" w:styleId="745">
    <w:name w:val="sidecatalog-dot4"/>
    <w:basedOn w:val="85"/>
    <w:qFormat/>
    <w:uiPriority w:val="0"/>
  </w:style>
  <w:style w:type="character" w:customStyle="1" w:styleId="746">
    <w:name w:val="sidecatalog-dot1"/>
    <w:basedOn w:val="85"/>
    <w:qFormat/>
    <w:uiPriority w:val="0"/>
  </w:style>
  <w:style w:type="character" w:customStyle="1" w:styleId="747">
    <w:name w:val="Char Char Char Char1"/>
    <w:qFormat/>
    <w:uiPriority w:val="0"/>
    <w:rPr>
      <w:rFonts w:ascii="宋体" w:hAnsi="Courier New" w:eastAsia="宋体" w:cs="Courier New"/>
      <w:sz w:val="21"/>
      <w:szCs w:val="21"/>
      <w:lang w:val="en-US" w:eastAsia="zh-CN" w:bidi="ar-SA"/>
    </w:rPr>
  </w:style>
  <w:style w:type="character" w:customStyle="1" w:styleId="748">
    <w:name w:val="表格 Char Char Char"/>
    <w:qFormat/>
    <w:locked/>
    <w:uiPriority w:val="0"/>
    <w:rPr>
      <w:sz w:val="21"/>
      <w:lang w:val="en-US" w:eastAsia="zh-CN" w:bidi="ar-SA"/>
    </w:rPr>
  </w:style>
  <w:style w:type="character" w:customStyle="1" w:styleId="749">
    <w:name w:val="Char Char1 Char Char Char Char Char Char Char Char Char Char Char Char Char Char1"/>
    <w:link w:val="750"/>
    <w:qFormat/>
    <w:uiPriority w:val="0"/>
  </w:style>
  <w:style w:type="paragraph" w:customStyle="1" w:styleId="750">
    <w:name w:val="Char Char1 Char Char Char Char Char Char Char Char Char Char Char Char"/>
    <w:basedOn w:val="1"/>
    <w:link w:val="749"/>
    <w:qFormat/>
    <w:uiPriority w:val="0"/>
    <w:pPr>
      <w:widowControl w:val="0"/>
    </w:pPr>
    <w:rPr>
      <w:rFonts w:ascii="Calibri" w:hAnsi="Calibri" w:cs="Times New Roman"/>
      <w:sz w:val="20"/>
      <w:szCs w:val="20"/>
    </w:rPr>
  </w:style>
  <w:style w:type="character" w:customStyle="1" w:styleId="751">
    <w:name w:val="市局正文 Char Char"/>
    <w:link w:val="752"/>
    <w:qFormat/>
    <w:uiPriority w:val="0"/>
    <w:rPr>
      <w:rFonts w:ascii="Times New Roman" w:hAnsi="Times New Roman"/>
      <w:b/>
      <w:sz w:val="24"/>
      <w:szCs w:val="24"/>
      <w:lang w:val="de-DE"/>
    </w:rPr>
  </w:style>
  <w:style w:type="paragraph" w:customStyle="1" w:styleId="752">
    <w:name w:val="市局正文"/>
    <w:basedOn w:val="1"/>
    <w:link w:val="751"/>
    <w:qFormat/>
    <w:uiPriority w:val="0"/>
    <w:pPr>
      <w:keepNext/>
      <w:widowControl w:val="0"/>
      <w:adjustRightInd w:val="0"/>
      <w:snapToGrid w:val="0"/>
      <w:spacing w:line="360" w:lineRule="auto"/>
      <w:jc w:val="center"/>
    </w:pPr>
    <w:rPr>
      <w:rFonts w:ascii="Times New Roman" w:hAnsi="Times New Roman" w:cs="Times New Roman"/>
      <w:b/>
      <w:lang w:val="de-DE"/>
    </w:rPr>
  </w:style>
  <w:style w:type="character" w:customStyle="1" w:styleId="753">
    <w:name w:val="HTML 地址 Char"/>
    <w:link w:val="41"/>
    <w:qFormat/>
    <w:uiPriority w:val="0"/>
    <w:rPr>
      <w:rFonts w:ascii="Times New Roman" w:hAnsi="Times New Roman"/>
      <w:i/>
      <w:iCs/>
    </w:rPr>
  </w:style>
  <w:style w:type="character" w:customStyle="1" w:styleId="754">
    <w:name w:val="Char Char27"/>
    <w:qFormat/>
    <w:uiPriority w:val="0"/>
    <w:rPr>
      <w:rFonts w:hint="default" w:ascii="Times New Roman" w:hAnsi="Times New Roman" w:eastAsia="宋体" w:cs="Times New Roman"/>
      <w:sz w:val="24"/>
      <w:szCs w:val="24"/>
    </w:rPr>
  </w:style>
  <w:style w:type="character" w:customStyle="1" w:styleId="755">
    <w:name w:val="表格文字1 Char"/>
    <w:qFormat/>
    <w:uiPriority w:val="0"/>
    <w:rPr>
      <w:rFonts w:ascii="宋体" w:hAnsi="Courier New" w:eastAsia="宋体" w:cs="Courier New"/>
      <w:kern w:val="2"/>
      <w:sz w:val="21"/>
      <w:szCs w:val="21"/>
      <w:lang w:val="en-US" w:eastAsia="zh-CN" w:bidi="ar-SA"/>
    </w:rPr>
  </w:style>
  <w:style w:type="character" w:customStyle="1" w:styleId="756">
    <w:name w:val="燕山正文 Char Char"/>
    <w:link w:val="757"/>
    <w:qFormat/>
    <w:uiPriority w:val="0"/>
    <w:rPr>
      <w:rFonts w:ascii="Times New Roman" w:hAnsi="Times New Roman"/>
      <w:sz w:val="24"/>
      <w:szCs w:val="28"/>
      <w:shd w:val="clear" w:color="auto" w:fill="FFFFFF"/>
    </w:rPr>
  </w:style>
  <w:style w:type="paragraph" w:customStyle="1" w:styleId="757">
    <w:name w:val="燕山正文"/>
    <w:basedOn w:val="1"/>
    <w:link w:val="756"/>
    <w:qFormat/>
    <w:uiPriority w:val="0"/>
    <w:pPr>
      <w:widowControl w:val="0"/>
      <w:shd w:val="clear" w:color="auto" w:fill="FFFFFF"/>
      <w:tabs>
        <w:tab w:val="left" w:pos="4680"/>
      </w:tabs>
      <w:adjustRightInd w:val="0"/>
      <w:snapToGrid w:val="0"/>
      <w:spacing w:beforeLines="30" w:afterLines="30" w:line="360" w:lineRule="auto"/>
      <w:ind w:firstLine="480" w:firstLineChars="200"/>
    </w:pPr>
    <w:rPr>
      <w:rFonts w:ascii="Times New Roman" w:hAnsi="Times New Roman" w:cs="Times New Roman"/>
      <w:szCs w:val="28"/>
    </w:rPr>
  </w:style>
  <w:style w:type="character" w:customStyle="1" w:styleId="758">
    <w:name w:val="样式 小三"/>
    <w:qFormat/>
    <w:uiPriority w:val="0"/>
    <w:rPr>
      <w:rFonts w:ascii="宋体" w:eastAsia="宋体"/>
      <w:sz w:val="28"/>
      <w:szCs w:val="28"/>
    </w:rPr>
  </w:style>
  <w:style w:type="character" w:customStyle="1" w:styleId="759">
    <w:name w:val="3zw1"/>
    <w:qFormat/>
    <w:uiPriority w:val="0"/>
    <w:rPr>
      <w:color w:val="000000"/>
      <w:sz w:val="21"/>
      <w:szCs w:val="21"/>
    </w:rPr>
  </w:style>
  <w:style w:type="character" w:customStyle="1" w:styleId="760">
    <w:name w:val="标题 3 Char2"/>
    <w:qFormat/>
    <w:uiPriority w:val="0"/>
    <w:rPr>
      <w:rFonts w:ascii="Calibri" w:hAnsi="Calibri" w:eastAsia="宋体"/>
      <w:b/>
      <w:bCs/>
      <w:kern w:val="2"/>
      <w:sz w:val="32"/>
      <w:szCs w:val="32"/>
      <w:lang w:val="en-US" w:eastAsia="zh-CN" w:bidi="ar-SA"/>
    </w:rPr>
  </w:style>
  <w:style w:type="character" w:customStyle="1" w:styleId="761">
    <w:name w:val="Char Char242"/>
    <w:qFormat/>
    <w:uiPriority w:val="0"/>
    <w:rPr>
      <w:b/>
      <w:kern w:val="44"/>
      <w:sz w:val="44"/>
    </w:rPr>
  </w:style>
  <w:style w:type="character" w:customStyle="1" w:styleId="762">
    <w:name w:val="样式 (符号) 宋体 13 磅"/>
    <w:qFormat/>
    <w:uiPriority w:val="0"/>
    <w:rPr>
      <w:rFonts w:ascii="宋体" w:eastAsia="宋体"/>
      <w:sz w:val="27"/>
      <w:szCs w:val="27"/>
    </w:rPr>
  </w:style>
  <w:style w:type="character" w:customStyle="1" w:styleId="763">
    <w:name w:val="Body Text Indent 2 Char Char"/>
    <w:link w:val="764"/>
    <w:qFormat/>
    <w:uiPriority w:val="0"/>
    <w:rPr>
      <w:rFonts w:ascii="Times New Roman" w:hAnsi="Times New Roman"/>
      <w:sz w:val="24"/>
    </w:rPr>
  </w:style>
  <w:style w:type="paragraph" w:customStyle="1" w:styleId="764">
    <w:name w:val="Body Text Indent 21"/>
    <w:basedOn w:val="1"/>
    <w:link w:val="763"/>
    <w:qFormat/>
    <w:uiPriority w:val="0"/>
    <w:pPr>
      <w:widowControl w:val="0"/>
      <w:spacing w:line="440" w:lineRule="exact"/>
      <w:ind w:firstLine="540" w:firstLineChars="200"/>
    </w:pPr>
    <w:rPr>
      <w:rFonts w:ascii="Times New Roman" w:hAnsi="Times New Roman" w:cs="Times New Roman"/>
      <w:szCs w:val="20"/>
    </w:rPr>
  </w:style>
  <w:style w:type="character" w:customStyle="1" w:styleId="765">
    <w:name w:val="正文文字描述 Char Char"/>
    <w:link w:val="766"/>
    <w:qFormat/>
    <w:uiPriority w:val="0"/>
    <w:rPr>
      <w:color w:val="000000"/>
      <w:spacing w:val="20"/>
      <w:sz w:val="24"/>
      <w:szCs w:val="28"/>
    </w:rPr>
  </w:style>
  <w:style w:type="paragraph" w:customStyle="1" w:styleId="766">
    <w:name w:val="正文文字描述"/>
    <w:basedOn w:val="1"/>
    <w:link w:val="765"/>
    <w:qFormat/>
    <w:uiPriority w:val="0"/>
    <w:pPr>
      <w:widowControl w:val="0"/>
      <w:spacing w:line="480" w:lineRule="exact"/>
      <w:ind w:firstLine="200" w:firstLineChars="200"/>
      <w:jc w:val="both"/>
    </w:pPr>
    <w:rPr>
      <w:rFonts w:ascii="Calibri" w:hAnsi="Calibri" w:cs="Times New Roman"/>
      <w:color w:val="000000"/>
      <w:spacing w:val="20"/>
      <w:szCs w:val="28"/>
    </w:rPr>
  </w:style>
  <w:style w:type="character" w:customStyle="1" w:styleId="767">
    <w:name w:val="样式 (中文) 仿宋_GB2312 四号 行距: 1.5 倍行距 Char Char Char"/>
    <w:qFormat/>
    <w:uiPriority w:val="0"/>
    <w:rPr>
      <w:rFonts w:ascii="宋体" w:hAnsi="宋体" w:eastAsia="宋体"/>
      <w:kern w:val="2"/>
      <w:sz w:val="28"/>
      <w:szCs w:val="24"/>
      <w:lang w:val="en-US" w:eastAsia="zh-CN" w:bidi="ar-SA"/>
    </w:rPr>
  </w:style>
  <w:style w:type="character" w:customStyle="1" w:styleId="768">
    <w:name w:val="表头 Char Char"/>
    <w:qFormat/>
    <w:uiPriority w:val="0"/>
    <w:rPr>
      <w:rFonts w:ascii="宋体" w:hAnsi="宋体" w:eastAsia="宋体"/>
      <w:sz w:val="28"/>
      <w:szCs w:val="28"/>
      <w:lang w:bidi="ar-SA"/>
    </w:rPr>
  </w:style>
  <w:style w:type="character" w:customStyle="1" w:styleId="769">
    <w:name w:val="Footer-Even Char"/>
    <w:qFormat/>
    <w:uiPriority w:val="0"/>
    <w:rPr>
      <w:rFonts w:ascii="Calibri" w:hAnsi="Calibri" w:eastAsia="宋体"/>
      <w:kern w:val="2"/>
      <w:sz w:val="18"/>
      <w:szCs w:val="18"/>
      <w:lang w:val="en-US" w:eastAsia="zh-CN" w:bidi="ar-SA"/>
    </w:rPr>
  </w:style>
  <w:style w:type="character" w:customStyle="1" w:styleId="770">
    <w:name w:val="批注文字 Char1"/>
    <w:semiHidden/>
    <w:qFormat/>
    <w:uiPriority w:val="99"/>
    <w:rPr>
      <w:rFonts w:eastAsia="宋体"/>
      <w:szCs w:val="24"/>
      <w:lang w:bidi="ar-SA"/>
    </w:rPr>
  </w:style>
  <w:style w:type="character" w:customStyle="1" w:styleId="771">
    <w:name w:val="页眉 Char1"/>
    <w:qFormat/>
    <w:uiPriority w:val="0"/>
    <w:rPr>
      <w:rFonts w:ascii="Calibri" w:hAnsi="Calibri" w:eastAsia="宋体" w:cs="Times New Roman"/>
      <w:sz w:val="18"/>
      <w:szCs w:val="18"/>
    </w:rPr>
  </w:style>
  <w:style w:type="character" w:customStyle="1" w:styleId="772">
    <w:name w:val="yinwen1"/>
    <w:semiHidden/>
    <w:qFormat/>
    <w:uiPriority w:val="0"/>
    <w:rPr>
      <w:color w:val="3B4E9E"/>
    </w:rPr>
  </w:style>
  <w:style w:type="character" w:customStyle="1" w:styleId="773">
    <w:name w:val="bds_more"/>
    <w:qFormat/>
    <w:uiPriority w:val="0"/>
    <w:rPr>
      <w:rFonts w:hint="eastAsia" w:ascii="宋体" w:hAnsi="宋体" w:eastAsia="宋体" w:cs="宋体"/>
    </w:rPr>
  </w:style>
  <w:style w:type="character" w:customStyle="1" w:styleId="774">
    <w:name w:val="show-img-bd"/>
    <w:basedOn w:val="85"/>
    <w:qFormat/>
    <w:uiPriority w:val="0"/>
  </w:style>
  <w:style w:type="character" w:customStyle="1" w:styleId="775">
    <w:name w:val="bds_more3"/>
    <w:basedOn w:val="85"/>
    <w:qFormat/>
    <w:uiPriority w:val="0"/>
  </w:style>
  <w:style w:type="character" w:customStyle="1" w:styleId="776">
    <w:name w:val="bds_nopic"/>
    <w:basedOn w:val="85"/>
    <w:qFormat/>
    <w:uiPriority w:val="0"/>
  </w:style>
  <w:style w:type="character" w:customStyle="1" w:styleId="777">
    <w:name w:val="a-size-large"/>
    <w:basedOn w:val="85"/>
    <w:qFormat/>
    <w:uiPriority w:val="0"/>
  </w:style>
  <w:style w:type="character" w:customStyle="1" w:styleId="778">
    <w:name w:val="postbody1"/>
    <w:semiHidden/>
    <w:qFormat/>
    <w:uiPriority w:val="0"/>
    <w:rPr>
      <w:sz w:val="21"/>
      <w:szCs w:val="21"/>
    </w:rPr>
  </w:style>
  <w:style w:type="character" w:customStyle="1" w:styleId="779">
    <w:name w:val="body text 1 Char Char"/>
    <w:semiHidden/>
    <w:qFormat/>
    <w:uiPriority w:val="0"/>
    <w:rPr>
      <w:rFonts w:ascii="Times New Roman" w:hAnsi="Times New Roman" w:eastAsia="宋体" w:cs="Times New Roman"/>
      <w:snapToGrid w:val="0"/>
      <w:kern w:val="0"/>
      <w:sz w:val="24"/>
      <w:szCs w:val="24"/>
    </w:rPr>
  </w:style>
  <w:style w:type="character" w:customStyle="1" w:styleId="780">
    <w:name w:val="font01"/>
    <w:qFormat/>
    <w:uiPriority w:val="0"/>
    <w:rPr>
      <w:rFonts w:hint="default" w:ascii="Times New Roman" w:hAnsi="Times New Roman" w:cs="Times New Roman"/>
      <w:color w:val="FF0000"/>
      <w:sz w:val="18"/>
      <w:szCs w:val="18"/>
      <w:u w:val="none"/>
    </w:rPr>
  </w:style>
  <w:style w:type="character" w:customStyle="1" w:styleId="781">
    <w:name w:val="font201"/>
    <w:qFormat/>
    <w:uiPriority w:val="0"/>
    <w:rPr>
      <w:rFonts w:hint="default" w:ascii="Times New Roman" w:hAnsi="Times New Roman" w:cs="Times New Roman"/>
      <w:color w:val="000000"/>
      <w:sz w:val="18"/>
      <w:szCs w:val="18"/>
      <w:u w:val="none"/>
    </w:rPr>
  </w:style>
  <w:style w:type="character" w:customStyle="1" w:styleId="782">
    <w:name w:val="font121"/>
    <w:qFormat/>
    <w:uiPriority w:val="0"/>
    <w:rPr>
      <w:rFonts w:hint="default" w:ascii="Times New Roman" w:hAnsi="Times New Roman" w:cs="Times New Roman"/>
      <w:b/>
      <w:bCs/>
      <w:color w:val="000000"/>
      <w:sz w:val="18"/>
      <w:szCs w:val="18"/>
      <w:u w:val="none"/>
      <w:vertAlign w:val="superscript"/>
    </w:rPr>
  </w:style>
  <w:style w:type="character" w:customStyle="1" w:styleId="783">
    <w:name w:val="font181"/>
    <w:qFormat/>
    <w:uiPriority w:val="0"/>
    <w:rPr>
      <w:rFonts w:hint="eastAsia" w:ascii="宋体" w:hAnsi="宋体" w:eastAsia="宋体"/>
      <w:color w:val="000000"/>
      <w:sz w:val="18"/>
      <w:szCs w:val="18"/>
      <w:u w:val="none"/>
    </w:rPr>
  </w:style>
  <w:style w:type="character" w:customStyle="1" w:styleId="784">
    <w:name w:val="Char Char12"/>
    <w:semiHidden/>
    <w:qFormat/>
    <w:uiPriority w:val="0"/>
    <w:rPr>
      <w:rFonts w:eastAsia="宋体"/>
      <w:kern w:val="2"/>
      <w:sz w:val="18"/>
      <w:lang w:val="en-US" w:eastAsia="zh-CN" w:bidi="ar-SA"/>
    </w:rPr>
  </w:style>
  <w:style w:type="character" w:customStyle="1" w:styleId="785">
    <w:name w:val="标题 2 Char2"/>
    <w:semiHidden/>
    <w:qFormat/>
    <w:uiPriority w:val="0"/>
    <w:rPr>
      <w:rFonts w:ascii="黑体" w:eastAsia="黑体"/>
      <w:kern w:val="2"/>
      <w:sz w:val="24"/>
    </w:rPr>
  </w:style>
  <w:style w:type="character" w:customStyle="1" w:styleId="786">
    <w:name w:val="正文文本 (2) + 4 pt"/>
    <w:qFormat/>
    <w:uiPriority w:val="99"/>
    <w:rPr>
      <w:rFonts w:ascii="MingLiU" w:eastAsia="MingLiU" w:cs="MingLiU"/>
      <w:w w:val="200"/>
      <w:sz w:val="8"/>
      <w:szCs w:val="8"/>
      <w:u w:val="none"/>
      <w:shd w:val="clear" w:color="auto" w:fill="FFFFFF"/>
    </w:rPr>
  </w:style>
  <w:style w:type="character" w:customStyle="1" w:styleId="787">
    <w:name w:val="表格文字 Char"/>
    <w:qFormat/>
    <w:uiPriority w:val="0"/>
    <w:rPr>
      <w:rFonts w:ascii="Times New Roman" w:hAnsi="Times New Roman"/>
      <w:kern w:val="2"/>
      <w:sz w:val="21"/>
      <w:lang w:val="en-US" w:eastAsia="zh-CN" w:bidi="ar-DZ"/>
    </w:rPr>
  </w:style>
  <w:style w:type="character" w:customStyle="1" w:styleId="788">
    <w:name w:val="图名 Char"/>
    <w:link w:val="789"/>
    <w:qFormat/>
    <w:uiPriority w:val="0"/>
    <w:rPr>
      <w:rFonts w:ascii="宋体" w:hAnsi="宋体"/>
      <w:kern w:val="2"/>
      <w:sz w:val="24"/>
      <w:szCs w:val="24"/>
    </w:rPr>
  </w:style>
  <w:style w:type="paragraph" w:customStyle="1" w:styleId="789">
    <w:name w:val="图名"/>
    <w:link w:val="788"/>
    <w:qFormat/>
    <w:uiPriority w:val="99"/>
    <w:pPr>
      <w:widowControl w:val="0"/>
      <w:topLinePunct/>
      <w:jc w:val="center"/>
    </w:pPr>
    <w:rPr>
      <w:rFonts w:ascii="宋体" w:hAnsi="宋体" w:eastAsia="宋体" w:cs="Times New Roman"/>
      <w:kern w:val="2"/>
      <w:sz w:val="24"/>
      <w:szCs w:val="24"/>
      <w:lang w:val="en-US" w:eastAsia="zh-CN" w:bidi="ar-SA"/>
    </w:rPr>
  </w:style>
  <w:style w:type="character" w:customStyle="1" w:styleId="790">
    <w:name w:val="标题三 Char"/>
    <w:link w:val="791"/>
    <w:qFormat/>
    <w:uiPriority w:val="0"/>
    <w:rPr>
      <w:rFonts w:ascii="Times New Roman" w:hAnsi="Times New Roman" w:eastAsia="黑体"/>
      <w:b/>
      <w:bCs/>
      <w:kern w:val="2"/>
      <w:sz w:val="28"/>
      <w:szCs w:val="28"/>
    </w:rPr>
  </w:style>
  <w:style w:type="paragraph" w:customStyle="1" w:styleId="791">
    <w:name w:val="标题三"/>
    <w:basedOn w:val="134"/>
    <w:link w:val="790"/>
    <w:qFormat/>
    <w:uiPriority w:val="0"/>
    <w:pPr>
      <w:spacing w:beforeLines="50" w:afterLines="50" w:line="360" w:lineRule="auto"/>
      <w:ind w:firstLine="420" w:firstLineChars="200"/>
      <w:outlineLvl w:val="2"/>
    </w:pPr>
    <w:rPr>
      <w:rFonts w:ascii="Times New Roman" w:hAnsi="Times New Roman" w:eastAsia="黑体" w:cs="Times New Roman"/>
      <w:b/>
      <w:bCs/>
      <w:kern w:val="2"/>
      <w:sz w:val="28"/>
      <w:szCs w:val="28"/>
      <w:lang w:val="en-US" w:bidi="ar-SA"/>
    </w:rPr>
  </w:style>
  <w:style w:type="character" w:customStyle="1" w:styleId="792">
    <w:name w:val="普通(网站) Char1"/>
    <w:qFormat/>
    <w:uiPriority w:val="39"/>
    <w:rPr>
      <w:rFonts w:ascii="宋体" w:hAnsi="宋体" w:cs="宋体"/>
      <w:sz w:val="24"/>
      <w:szCs w:val="24"/>
    </w:rPr>
  </w:style>
  <w:style w:type="paragraph" w:customStyle="1" w:styleId="793">
    <w:name w:val="Char13"/>
    <w:basedOn w:val="1"/>
    <w:qFormat/>
    <w:uiPriority w:val="99"/>
    <w:pPr>
      <w:widowControl w:val="0"/>
      <w:jc w:val="both"/>
    </w:pPr>
    <w:rPr>
      <w:rFonts w:ascii="Tahoma" w:hAnsi="Tahoma" w:cs="Times New Roman"/>
      <w:kern w:val="2"/>
      <w:szCs w:val="20"/>
    </w:rPr>
  </w:style>
  <w:style w:type="paragraph" w:customStyle="1" w:styleId="794">
    <w:name w:val="Char Char Char Char"/>
    <w:basedOn w:val="1"/>
    <w:qFormat/>
    <w:uiPriority w:val="0"/>
    <w:pPr>
      <w:widowControl w:val="0"/>
      <w:jc w:val="both"/>
    </w:pPr>
    <w:rPr>
      <w:rFonts w:ascii="Times New Roman" w:hAnsi="Times New Roman" w:cs="Times New Roman"/>
      <w:kern w:val="2"/>
      <w:sz w:val="21"/>
      <w:szCs w:val="21"/>
    </w:rPr>
  </w:style>
  <w:style w:type="paragraph" w:customStyle="1" w:styleId="795">
    <w:name w:val="表标2.6"/>
    <w:next w:val="125"/>
    <w:qFormat/>
    <w:uiPriority w:val="99"/>
    <w:pPr>
      <w:tabs>
        <w:tab w:val="left" w:pos="8207"/>
      </w:tabs>
      <w:adjustRightInd w:val="0"/>
      <w:snapToGrid w:val="0"/>
      <w:spacing w:before="240" w:line="0" w:lineRule="atLeast"/>
      <w:ind w:left="-4" w:firstLine="4"/>
      <w:jc w:val="center"/>
      <w:textAlignment w:val="baseline"/>
    </w:pPr>
    <w:rPr>
      <w:rFonts w:ascii="Times New Roman" w:hAnsi="Times New Roman" w:eastAsia="黑体" w:cs="Times New Roman"/>
      <w:b/>
      <w:color w:val="000000"/>
      <w:kern w:val="2"/>
      <w:sz w:val="24"/>
      <w:szCs w:val="24"/>
      <w:lang w:val="en-US" w:eastAsia="zh-CN" w:bidi="ar-SA"/>
    </w:rPr>
  </w:style>
  <w:style w:type="paragraph" w:customStyle="1" w:styleId="796">
    <w:name w:val="xl55"/>
    <w:basedOn w:val="1"/>
    <w:qFormat/>
    <w:uiPriority w:val="99"/>
    <w:pPr>
      <w:pBdr>
        <w:top w:val="single" w:color="auto" w:sz="8" w:space="0"/>
        <w:left w:val="single" w:color="auto" w:sz="4" w:space="0"/>
        <w:bottom w:val="single" w:color="auto" w:sz="8" w:space="0"/>
      </w:pBdr>
      <w:spacing w:before="100" w:beforeAutospacing="1" w:after="100" w:afterAutospacing="1"/>
      <w:jc w:val="center"/>
    </w:pPr>
    <w:rPr>
      <w:rFonts w:eastAsia="仿宋_GB2312" w:cs="Times New Roman"/>
      <w:position w:val="-6"/>
      <w:szCs w:val="21"/>
    </w:rPr>
  </w:style>
  <w:style w:type="paragraph" w:customStyle="1" w:styleId="797">
    <w:name w:val="样式 页眉 + 宋体 黑色 段前: 0 磅 段后: 0 磅 行距: 固定值 12 磅"/>
    <w:basedOn w:val="55"/>
    <w:qFormat/>
    <w:uiPriority w:val="0"/>
    <w:pPr>
      <w:widowControl w:val="0"/>
      <w:pBdr>
        <w:bottom w:val="none" w:color="auto" w:sz="0" w:space="0"/>
      </w:pBdr>
      <w:tabs>
        <w:tab w:val="clear" w:pos="4153"/>
        <w:tab w:val="clear" w:pos="8306"/>
      </w:tabs>
      <w:spacing w:line="240" w:lineRule="exact"/>
    </w:pPr>
    <w:rPr>
      <w:rFonts w:ascii="宋体" w:hAnsi="宋体"/>
      <w:color w:val="000000"/>
      <w:kern w:val="0"/>
      <w:sz w:val="21"/>
      <w:szCs w:val="20"/>
    </w:rPr>
  </w:style>
  <w:style w:type="paragraph" w:customStyle="1" w:styleId="798">
    <w:name w:val="xl58"/>
    <w:basedOn w:val="1"/>
    <w:qFormat/>
    <w:uiPriority w:val="99"/>
    <w:pPr>
      <w:pBdr>
        <w:top w:val="single" w:color="auto" w:sz="8" w:space="0"/>
        <w:bottom w:val="single" w:color="auto" w:sz="4" w:space="0"/>
        <w:right w:val="single" w:color="auto" w:sz="8" w:space="0"/>
      </w:pBdr>
      <w:spacing w:before="100" w:beforeAutospacing="1" w:after="100" w:afterAutospacing="1"/>
      <w:jc w:val="center"/>
    </w:pPr>
    <w:rPr>
      <w:rFonts w:eastAsia="仿宋_GB2312" w:cs="Times New Roman"/>
      <w:position w:val="-6"/>
      <w:szCs w:val="21"/>
    </w:rPr>
  </w:style>
  <w:style w:type="character" w:customStyle="1" w:styleId="799">
    <w:name w:val="尾注文本 Char2"/>
    <w:basedOn w:val="85"/>
    <w:qFormat/>
    <w:uiPriority w:val="0"/>
    <w:rPr>
      <w:rFonts w:ascii="宋体" w:hAnsi="宋体" w:cs="宋体"/>
      <w:sz w:val="24"/>
      <w:szCs w:val="24"/>
    </w:rPr>
  </w:style>
  <w:style w:type="paragraph" w:customStyle="1" w:styleId="800">
    <w:name w:val="ksheet"/>
    <w:basedOn w:val="1"/>
    <w:qFormat/>
    <w:uiPriority w:val="99"/>
    <w:pPr>
      <w:widowControl w:val="0"/>
      <w:autoSpaceDE w:val="0"/>
      <w:autoSpaceDN w:val="0"/>
      <w:adjustRightInd w:val="0"/>
      <w:spacing w:line="300" w:lineRule="exact"/>
      <w:jc w:val="center"/>
      <w:textAlignment w:val="baseline"/>
    </w:pPr>
    <w:rPr>
      <w:rFonts w:hAnsi="Times New Roman" w:cs="Times New Roman"/>
      <w:snapToGrid w:val="0"/>
      <w:color w:val="000000"/>
      <w:sz w:val="21"/>
      <w:szCs w:val="20"/>
    </w:rPr>
  </w:style>
  <w:style w:type="paragraph" w:customStyle="1" w:styleId="801">
    <w:name w:val="xl26"/>
    <w:basedOn w:val="1"/>
    <w:qFormat/>
    <w:uiPriority w:val="99"/>
    <w:pPr>
      <w:pBdr>
        <w:right w:val="single" w:color="auto" w:sz="4" w:space="0"/>
      </w:pBdr>
      <w:spacing w:before="100" w:beforeAutospacing="1" w:after="100" w:afterAutospacing="1"/>
      <w:jc w:val="center"/>
    </w:pPr>
    <w:rPr>
      <w:rFonts w:ascii="Arial Unicode MS" w:hAnsi="Arial Unicode MS" w:eastAsia="Arial Unicode MS" w:cs="Times New Roman"/>
      <w:szCs w:val="20"/>
    </w:rPr>
  </w:style>
  <w:style w:type="paragraph" w:customStyle="1" w:styleId="802">
    <w:name w:val="表名"/>
    <w:basedOn w:val="1"/>
    <w:next w:val="1"/>
    <w:qFormat/>
    <w:uiPriority w:val="0"/>
    <w:pPr>
      <w:widowControl w:val="0"/>
      <w:tabs>
        <w:tab w:val="left" w:pos="8100"/>
      </w:tabs>
      <w:adjustRightInd w:val="0"/>
      <w:snapToGrid w:val="0"/>
      <w:spacing w:line="360" w:lineRule="auto"/>
      <w:ind w:right="32"/>
      <w:jc w:val="center"/>
    </w:pPr>
    <w:rPr>
      <w:rFonts w:ascii="Times New Roman" w:cs="Times New Roman"/>
      <w:b/>
      <w:snapToGrid w:val="0"/>
      <w:kern w:val="2"/>
    </w:rPr>
  </w:style>
  <w:style w:type="paragraph" w:customStyle="1" w:styleId="803">
    <w:name w:val="Char Char Char1 Char"/>
    <w:basedOn w:val="1"/>
    <w:qFormat/>
    <w:uiPriority w:val="99"/>
    <w:pPr>
      <w:widowControl w:val="0"/>
      <w:jc w:val="both"/>
    </w:pPr>
    <w:rPr>
      <w:rFonts w:ascii="Times New Roman" w:hAnsi="Times New Roman" w:cs="Times New Roman"/>
      <w:kern w:val="2"/>
      <w:sz w:val="21"/>
    </w:rPr>
  </w:style>
  <w:style w:type="paragraph" w:customStyle="1" w:styleId="804">
    <w:name w:val="列表 1"/>
    <w:basedOn w:val="1"/>
    <w:qFormat/>
    <w:uiPriority w:val="99"/>
    <w:pPr>
      <w:widowControl w:val="0"/>
      <w:tabs>
        <w:tab w:val="left" w:pos="432"/>
      </w:tabs>
      <w:spacing w:before="120" w:after="60" w:line="288" w:lineRule="auto"/>
      <w:ind w:left="432" w:hanging="432"/>
      <w:jc w:val="both"/>
    </w:pPr>
    <w:rPr>
      <w:rFonts w:ascii="Arial" w:hAnsi="Arial" w:cs="Times New Roman"/>
      <w:color w:val="FFCC99"/>
      <w:kern w:val="2"/>
      <w:szCs w:val="20"/>
    </w:rPr>
  </w:style>
  <w:style w:type="paragraph" w:customStyle="1" w:styleId="805">
    <w:name w:val="图题"/>
    <w:basedOn w:val="7"/>
    <w:qFormat/>
    <w:uiPriority w:val="99"/>
    <w:pPr>
      <w:keepNext w:val="0"/>
      <w:keepLines w:val="0"/>
      <w:widowControl w:val="0"/>
      <w:adjustRightInd w:val="0"/>
      <w:snapToGrid w:val="0"/>
      <w:spacing w:beforeLines="50" w:afterLines="50" w:line="40" w:lineRule="atLeast"/>
      <w:jc w:val="center"/>
      <w:outlineLvl w:val="9"/>
    </w:pPr>
    <w:rPr>
      <w:rFonts w:ascii="宋体" w:hAnsi="宋体" w:eastAsia="宋体"/>
      <w:b/>
      <w:sz w:val="24"/>
      <w:szCs w:val="28"/>
    </w:rPr>
  </w:style>
  <w:style w:type="character" w:customStyle="1" w:styleId="806">
    <w:name w:val="正文文本 3 Char2"/>
    <w:basedOn w:val="85"/>
    <w:qFormat/>
    <w:uiPriority w:val="0"/>
    <w:rPr>
      <w:rFonts w:ascii="宋体" w:hAnsi="宋体" w:cs="宋体"/>
      <w:sz w:val="16"/>
      <w:szCs w:val="16"/>
    </w:rPr>
  </w:style>
  <w:style w:type="paragraph" w:customStyle="1" w:styleId="807">
    <w:name w:val="表格文字2"/>
    <w:basedOn w:val="1"/>
    <w:qFormat/>
    <w:uiPriority w:val="99"/>
    <w:pPr>
      <w:widowControl w:val="0"/>
      <w:tabs>
        <w:tab w:val="left" w:pos="277"/>
        <w:tab w:val="left" w:pos="600"/>
        <w:tab w:val="left" w:pos="780"/>
        <w:tab w:val="left" w:pos="2517"/>
      </w:tabs>
      <w:adjustRightInd w:val="0"/>
      <w:spacing w:before="60"/>
      <w:jc w:val="center"/>
    </w:pPr>
    <w:rPr>
      <w:rFonts w:ascii="Times New Roman" w:hAnsi="Times New Roman" w:cs="Times New Roman"/>
      <w:sz w:val="21"/>
      <w:szCs w:val="21"/>
    </w:rPr>
  </w:style>
  <w:style w:type="paragraph" w:customStyle="1" w:styleId="808">
    <w:name w:val="封面三号"/>
    <w:basedOn w:val="1"/>
    <w:qFormat/>
    <w:uiPriority w:val="99"/>
    <w:pPr>
      <w:widowControl w:val="0"/>
      <w:jc w:val="center"/>
    </w:pPr>
    <w:rPr>
      <w:spacing w:val="55"/>
      <w:sz w:val="32"/>
      <w:szCs w:val="32"/>
    </w:rPr>
  </w:style>
  <w:style w:type="character" w:customStyle="1" w:styleId="809">
    <w:name w:val="正文文本缩进 3 Char3"/>
    <w:basedOn w:val="85"/>
    <w:qFormat/>
    <w:uiPriority w:val="0"/>
    <w:rPr>
      <w:rFonts w:ascii="宋体" w:hAnsi="宋体" w:cs="宋体"/>
      <w:sz w:val="16"/>
      <w:szCs w:val="16"/>
    </w:rPr>
  </w:style>
  <w:style w:type="paragraph" w:customStyle="1" w:styleId="810">
    <w:name w:val="样式 样式 表标题2.4 + 居中 段前: 1 行 + 两端对齐"/>
    <w:basedOn w:val="811"/>
    <w:qFormat/>
    <w:uiPriority w:val="99"/>
    <w:pPr>
      <w:tabs>
        <w:tab w:val="left" w:pos="726"/>
        <w:tab w:val="center" w:pos="4060"/>
        <w:tab w:val="right" w:pos="8261"/>
      </w:tabs>
      <w:ind w:left="2" w:firstLine="4"/>
      <w:jc w:val="both"/>
    </w:pPr>
  </w:style>
  <w:style w:type="paragraph" w:customStyle="1" w:styleId="811">
    <w:name w:val="样式 表标题2.4 + 居中 段前: 1 行"/>
    <w:basedOn w:val="812"/>
    <w:qFormat/>
    <w:uiPriority w:val="99"/>
    <w:pPr>
      <w:tabs>
        <w:tab w:val="center" w:pos="4060"/>
        <w:tab w:val="right" w:pos="8261"/>
      </w:tabs>
      <w:spacing w:beforeLines="0"/>
      <w:jc w:val="center"/>
    </w:pPr>
    <w:rPr>
      <w:rFonts w:cs="宋体"/>
      <w:bCs/>
      <w:szCs w:val="20"/>
    </w:rPr>
  </w:style>
  <w:style w:type="paragraph" w:customStyle="1" w:styleId="812">
    <w:name w:val="表标题2.4"/>
    <w:basedOn w:val="1"/>
    <w:qFormat/>
    <w:uiPriority w:val="99"/>
    <w:pPr>
      <w:widowControl w:val="0"/>
      <w:tabs>
        <w:tab w:val="center" w:pos="4060"/>
        <w:tab w:val="right" w:pos="8261"/>
      </w:tabs>
      <w:suppressAutoHyphens/>
      <w:adjustRightInd w:val="0"/>
      <w:spacing w:beforeLines="100" w:line="0" w:lineRule="atLeast"/>
      <w:jc w:val="both"/>
    </w:pPr>
    <w:rPr>
      <w:rFonts w:ascii="黑体" w:hAnsi="Times New Roman" w:eastAsia="黑体" w:cs="Times New Roman"/>
      <w:b/>
      <w:spacing w:val="6"/>
    </w:rPr>
  </w:style>
  <w:style w:type="paragraph" w:customStyle="1" w:styleId="813">
    <w:name w:val="表标题5.12"/>
    <w:basedOn w:val="1"/>
    <w:qFormat/>
    <w:uiPriority w:val="99"/>
    <w:pPr>
      <w:widowControl w:val="0"/>
      <w:tabs>
        <w:tab w:val="center" w:pos="4060"/>
        <w:tab w:val="right" w:pos="8261"/>
      </w:tabs>
      <w:suppressAutoHyphens/>
      <w:adjustRightInd w:val="0"/>
      <w:spacing w:beforeLines="100" w:line="0" w:lineRule="atLeast"/>
      <w:jc w:val="both"/>
    </w:pPr>
    <w:rPr>
      <w:rFonts w:ascii="黑体" w:hAnsi="Times New Roman" w:eastAsia="黑体" w:cs="Times New Roman"/>
      <w:b/>
      <w:spacing w:val="6"/>
      <w:szCs w:val="26"/>
    </w:rPr>
  </w:style>
  <w:style w:type="paragraph" w:customStyle="1" w:styleId="814">
    <w:name w:val="列表 B"/>
    <w:basedOn w:val="3"/>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character" w:customStyle="1" w:styleId="815">
    <w:name w:val="HTML 地址 Char2"/>
    <w:basedOn w:val="85"/>
    <w:qFormat/>
    <w:uiPriority w:val="0"/>
    <w:rPr>
      <w:rFonts w:ascii="宋体" w:hAnsi="宋体" w:cs="宋体"/>
      <w:i/>
      <w:iCs/>
      <w:sz w:val="24"/>
      <w:szCs w:val="24"/>
    </w:rPr>
  </w:style>
  <w:style w:type="paragraph" w:customStyle="1" w:styleId="816">
    <w:name w:val="列表 2L"/>
    <w:basedOn w:val="37"/>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817">
    <w:name w:val="列表 2Z"/>
    <w:basedOn w:val="37"/>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character" w:customStyle="1" w:styleId="818">
    <w:name w:val="结束语 Char2"/>
    <w:basedOn w:val="85"/>
    <w:qFormat/>
    <w:uiPriority w:val="0"/>
    <w:rPr>
      <w:rFonts w:ascii="宋体" w:hAnsi="宋体" w:cs="宋体"/>
      <w:sz w:val="24"/>
      <w:szCs w:val="24"/>
    </w:rPr>
  </w:style>
  <w:style w:type="paragraph" w:customStyle="1" w:styleId="819">
    <w:name w:val="sub_body"/>
    <w:qFormat/>
    <w:uiPriority w:val="0"/>
    <w:pPr>
      <w:widowControl w:val="0"/>
      <w:autoSpaceDE w:val="0"/>
      <w:autoSpaceDN w:val="0"/>
      <w:adjustRightInd w:val="0"/>
      <w:spacing w:before="43" w:after="43" w:line="288" w:lineRule="atLeast"/>
      <w:ind w:left="288"/>
      <w:textAlignment w:val="baseline"/>
    </w:pPr>
    <w:rPr>
      <w:rFonts w:ascii="Arial" w:hAnsi="Arial" w:eastAsia="宋体" w:cs="Times New Roman"/>
      <w:color w:val="000000"/>
      <w:lang w:val="en-US" w:eastAsia="zh-CN" w:bidi="ar-SA"/>
    </w:rPr>
  </w:style>
  <w:style w:type="paragraph" w:customStyle="1" w:styleId="820">
    <w:name w:val="Char Char Char1 Char1 Char Char Char"/>
    <w:basedOn w:val="1"/>
    <w:qFormat/>
    <w:uiPriority w:val="0"/>
    <w:pPr>
      <w:widowControl w:val="0"/>
      <w:jc w:val="both"/>
    </w:pPr>
    <w:rPr>
      <w:rFonts w:ascii="Times New Roman" w:hAnsi="Times New Roman" w:cs="Times New Roman"/>
      <w:kern w:val="2"/>
      <w:sz w:val="21"/>
    </w:rPr>
  </w:style>
  <w:style w:type="paragraph" w:customStyle="1" w:styleId="821">
    <w:name w:val="报告名"/>
    <w:basedOn w:val="1"/>
    <w:qFormat/>
    <w:uiPriority w:val="99"/>
    <w:pPr>
      <w:widowControl w:val="0"/>
      <w:tabs>
        <w:tab w:val="left" w:pos="1727"/>
        <w:tab w:val="left" w:pos="1884"/>
      </w:tabs>
      <w:adjustRightInd w:val="0"/>
      <w:spacing w:line="312" w:lineRule="auto"/>
      <w:jc w:val="both"/>
      <w:outlineLvl w:val="0"/>
    </w:pPr>
    <w:rPr>
      <w:rFonts w:ascii="Times New Roman" w:hAnsi="Times New Roman" w:cs="Times New Roman"/>
      <w:b/>
      <w:kern w:val="2"/>
    </w:rPr>
  </w:style>
  <w:style w:type="paragraph" w:customStyle="1" w:styleId="822">
    <w:name w:val="正文样式3"/>
    <w:basedOn w:val="1"/>
    <w:qFormat/>
    <w:uiPriority w:val="99"/>
    <w:pPr>
      <w:widowControl w:val="0"/>
      <w:adjustRightInd w:val="0"/>
      <w:spacing w:line="20" w:lineRule="atLeast"/>
      <w:jc w:val="center"/>
      <w:textAlignment w:val="baseline"/>
    </w:pPr>
    <w:rPr>
      <w:rFonts w:ascii="Times New Roman" w:hAnsi="Times New Roman" w:cs="Times New Roman"/>
      <w:szCs w:val="20"/>
    </w:rPr>
  </w:style>
  <w:style w:type="paragraph" w:customStyle="1" w:styleId="823">
    <w:name w:val="样式 样式 宋体 小四 左 行距: 固定值 24 磅 + 黑色 居中 首行缩进:  2 字符 段前: 5 磅 段后: 5..."/>
    <w:basedOn w:val="824"/>
    <w:qFormat/>
    <w:uiPriority w:val="99"/>
    <w:pPr>
      <w:spacing w:before="100" w:after="100"/>
      <w:ind w:firstLine="0" w:firstLineChars="0"/>
      <w:jc w:val="center"/>
    </w:pPr>
    <w:rPr>
      <w:color w:val="000000"/>
    </w:rPr>
  </w:style>
  <w:style w:type="paragraph" w:customStyle="1" w:styleId="824">
    <w:name w:val="样式 宋体 小四 左 行距: 固定值 24 磅"/>
    <w:basedOn w:val="1"/>
    <w:qFormat/>
    <w:uiPriority w:val="99"/>
    <w:pPr>
      <w:widowControl w:val="0"/>
      <w:spacing w:line="480" w:lineRule="exact"/>
      <w:ind w:firstLine="200" w:firstLineChars="200"/>
    </w:pPr>
    <w:rPr>
      <w:rFonts w:hAnsi="Times New Roman"/>
      <w:szCs w:val="20"/>
    </w:rPr>
  </w:style>
  <w:style w:type="paragraph" w:customStyle="1" w:styleId="825">
    <w:name w:val="内容"/>
    <w:basedOn w:val="1"/>
    <w:qFormat/>
    <w:uiPriority w:val="0"/>
    <w:pPr>
      <w:widowControl w:val="0"/>
      <w:spacing w:beforeLines="50" w:afterLines="50"/>
      <w:ind w:firstLine="200" w:firstLineChars="200"/>
      <w:jc w:val="both"/>
    </w:pPr>
    <w:rPr>
      <w:rFonts w:ascii="Times New Roman" w:hAnsi="Times New Roman" w:cs="Times New Roman"/>
      <w:color w:val="000000"/>
      <w:kern w:val="2"/>
    </w:rPr>
  </w:style>
  <w:style w:type="paragraph" w:customStyle="1" w:styleId="826">
    <w:name w:val="小五表文"/>
    <w:qFormat/>
    <w:uiPriority w:val="99"/>
    <w:pPr>
      <w:spacing w:beforeLines="50"/>
      <w:ind w:firstLine="3304" w:firstLineChars="1180"/>
    </w:pPr>
    <w:rPr>
      <w:rFonts w:ascii="Times New Roman" w:hAnsi="Times New Roman" w:eastAsia="黑体" w:cs="Times New Roman"/>
      <w:bCs/>
      <w:spacing w:val="20"/>
      <w:sz w:val="24"/>
      <w:lang w:val="en-US" w:eastAsia="zh-CN" w:bidi="ar-SA"/>
    </w:rPr>
  </w:style>
  <w:style w:type="paragraph" w:customStyle="1" w:styleId="827">
    <w:name w:val="文章总标题"/>
    <w:basedOn w:val="1"/>
    <w:next w:val="1"/>
    <w:qFormat/>
    <w:uiPriority w:val="99"/>
    <w:pPr>
      <w:spacing w:before="566" w:after="544" w:line="566" w:lineRule="atLeast"/>
      <w:jc w:val="center"/>
      <w:textAlignment w:val="baseline"/>
    </w:pPr>
    <w:rPr>
      <w:rFonts w:ascii="Arial" w:hAnsi="Times New Roman" w:eastAsia="黑体" w:cs="Arial"/>
      <w:bCs/>
      <w:color w:val="000000"/>
      <w:sz w:val="54"/>
      <w:szCs w:val="54"/>
      <w:u w:color="000000"/>
    </w:rPr>
  </w:style>
  <w:style w:type="paragraph" w:customStyle="1" w:styleId="828">
    <w:name w:val="插图标题"/>
    <w:basedOn w:val="1"/>
    <w:qFormat/>
    <w:uiPriority w:val="99"/>
    <w:pPr>
      <w:widowControl w:val="0"/>
      <w:tabs>
        <w:tab w:val="center" w:pos="6804"/>
        <w:tab w:val="right" w:pos="7371"/>
      </w:tabs>
      <w:overflowPunct w:val="0"/>
      <w:adjustRightInd w:val="0"/>
      <w:ind w:firstLine="567"/>
      <w:jc w:val="center"/>
      <w:textAlignment w:val="baseline"/>
    </w:pPr>
    <w:rPr>
      <w:rFonts w:ascii="黑体" w:hAnsi="Times New Roman" w:eastAsia="黑体" w:cs="Times New Roman"/>
      <w:sz w:val="28"/>
      <w:szCs w:val="20"/>
    </w:rPr>
  </w:style>
  <w:style w:type="paragraph" w:customStyle="1" w:styleId="829">
    <w:name w:val="CM62"/>
    <w:basedOn w:val="103"/>
    <w:next w:val="103"/>
    <w:qFormat/>
    <w:uiPriority w:val="99"/>
    <w:pPr>
      <w:autoSpaceDE w:val="0"/>
      <w:autoSpaceDN w:val="0"/>
      <w:spacing w:after="160"/>
    </w:pPr>
    <w:rPr>
      <w:color w:val="auto"/>
    </w:rPr>
  </w:style>
  <w:style w:type="paragraph" w:customStyle="1" w:styleId="830">
    <w:name w:val="xl78"/>
    <w:basedOn w:val="1"/>
    <w:qFormat/>
    <w:uiPriority w:val="99"/>
    <w:pPr>
      <w:pBdr>
        <w:top w:val="single" w:color="auto" w:sz="8" w:space="0"/>
        <w:bottom w:val="single" w:color="auto" w:sz="8" w:space="0"/>
        <w:right w:val="single" w:color="auto" w:sz="8" w:space="0"/>
      </w:pBdr>
      <w:spacing w:before="100" w:beforeAutospacing="1" w:after="100" w:afterAutospacing="1"/>
      <w:jc w:val="center"/>
    </w:pPr>
    <w:rPr>
      <w:rFonts w:ascii="Times New Roman" w:hAnsi="Times New Roman" w:cs="Times New Roman"/>
      <w:color w:val="000000"/>
      <w:sz w:val="18"/>
      <w:szCs w:val="18"/>
    </w:rPr>
  </w:style>
  <w:style w:type="paragraph" w:customStyle="1" w:styleId="831">
    <w:name w:val="小表右密"/>
    <w:basedOn w:val="1"/>
    <w:qFormat/>
    <w:uiPriority w:val="99"/>
    <w:pPr>
      <w:keepNext/>
      <w:widowControl w:val="0"/>
      <w:tabs>
        <w:tab w:val="left" w:pos="719"/>
        <w:tab w:val="left" w:pos="3156"/>
        <w:tab w:val="left" w:pos="4105"/>
        <w:tab w:val="left" w:pos="5054"/>
        <w:tab w:val="left" w:pos="6003"/>
        <w:tab w:val="left" w:pos="7183"/>
        <w:tab w:val="left" w:pos="8159"/>
        <w:tab w:val="left" w:pos="9312"/>
        <w:tab w:val="left" w:pos="10261"/>
        <w:tab w:val="left" w:pos="11210"/>
        <w:tab w:val="left" w:pos="12159"/>
        <w:tab w:val="left" w:pos="13108"/>
        <w:tab w:val="left" w:pos="14057"/>
        <w:tab w:val="left" w:pos="15006"/>
        <w:tab w:val="left" w:pos="15955"/>
        <w:tab w:val="left" w:pos="16904"/>
        <w:tab w:val="left" w:pos="17853"/>
        <w:tab w:val="left" w:pos="18802"/>
        <w:tab w:val="left" w:pos="19751"/>
        <w:tab w:val="left" w:pos="20700"/>
      </w:tabs>
      <w:adjustRightInd w:val="0"/>
      <w:snapToGrid w:val="0"/>
      <w:spacing w:line="240" w:lineRule="atLeast"/>
      <w:ind w:right="28" w:rightChars="10"/>
      <w:jc w:val="right"/>
    </w:pPr>
    <w:rPr>
      <w:rFonts w:cs="Times New Roman"/>
      <w:kern w:val="2"/>
      <w:sz w:val="18"/>
      <w:szCs w:val="18"/>
    </w:rPr>
  </w:style>
  <w:style w:type="character" w:customStyle="1" w:styleId="832">
    <w:name w:val="正文文本 2 Char3"/>
    <w:basedOn w:val="85"/>
    <w:qFormat/>
    <w:uiPriority w:val="0"/>
    <w:rPr>
      <w:rFonts w:ascii="宋体" w:hAnsi="宋体" w:cs="宋体"/>
      <w:sz w:val="24"/>
      <w:szCs w:val="24"/>
    </w:rPr>
  </w:style>
  <w:style w:type="paragraph" w:customStyle="1" w:styleId="833">
    <w:name w:val="Char Char Char Char Char Char Char Char Char Char Char1 Char Char Char Char"/>
    <w:basedOn w:val="1"/>
    <w:qFormat/>
    <w:uiPriority w:val="0"/>
    <w:pPr>
      <w:widowControl w:val="0"/>
      <w:jc w:val="both"/>
    </w:pPr>
    <w:rPr>
      <w:rFonts w:ascii="Times New Roman" w:hAnsi="Times New Roman" w:cs="Times New Roman"/>
      <w:kern w:val="2"/>
      <w:sz w:val="21"/>
    </w:rPr>
  </w:style>
  <w:style w:type="paragraph" w:customStyle="1" w:styleId="834">
    <w:name w:val="样式  + 首行缩进:  0.75 厘米"/>
    <w:basedOn w:val="1"/>
    <w:qFormat/>
    <w:uiPriority w:val="0"/>
    <w:pPr>
      <w:widowControl w:val="0"/>
      <w:ind w:firstLine="425"/>
    </w:pPr>
    <w:rPr>
      <w:rFonts w:ascii="Times New Roman" w:hAnsi="Times New Roman" w:cs="Times New Roman"/>
      <w:bCs/>
      <w:kern w:val="2"/>
    </w:rPr>
  </w:style>
  <w:style w:type="character" w:customStyle="1" w:styleId="835">
    <w:name w:val="注释标题 Char3"/>
    <w:basedOn w:val="85"/>
    <w:qFormat/>
    <w:uiPriority w:val="0"/>
    <w:rPr>
      <w:rFonts w:ascii="宋体" w:hAnsi="宋体" w:cs="宋体"/>
      <w:sz w:val="24"/>
      <w:szCs w:val="24"/>
    </w:rPr>
  </w:style>
  <w:style w:type="paragraph" w:customStyle="1" w:styleId="836">
    <w:name w:val="样式 湛江钢铁表 +"/>
    <w:basedOn w:val="1"/>
    <w:next w:val="1"/>
    <w:qFormat/>
    <w:uiPriority w:val="99"/>
    <w:pPr>
      <w:widowControl w:val="0"/>
      <w:adjustRightInd w:val="0"/>
      <w:snapToGrid w:val="0"/>
      <w:spacing w:beforeLines="20" w:afterLines="20"/>
      <w:jc w:val="center"/>
      <w:textAlignment w:val="baseline"/>
    </w:pPr>
    <w:rPr>
      <w:rFonts w:ascii="Times New Roman" w:hAnsi="Times New Roman" w:eastAsia="仿宋_GB2312" w:cs="Times New Roman"/>
      <w:snapToGrid w:val="0"/>
      <w:sz w:val="21"/>
      <w:szCs w:val="21"/>
    </w:rPr>
  </w:style>
  <w:style w:type="paragraph" w:customStyle="1" w:styleId="837">
    <w:name w:val="调研内容"/>
    <w:basedOn w:val="1"/>
    <w:qFormat/>
    <w:uiPriority w:val="99"/>
    <w:pPr>
      <w:widowControl w:val="0"/>
      <w:spacing w:line="360" w:lineRule="auto"/>
      <w:jc w:val="both"/>
    </w:pPr>
    <w:rPr>
      <w:rFonts w:ascii="Times New Roman" w:hAnsi="Times New Roman" w:cs="Times New Roman"/>
      <w:kern w:val="2"/>
      <w:sz w:val="21"/>
      <w:szCs w:val="20"/>
    </w:rPr>
  </w:style>
  <w:style w:type="paragraph" w:customStyle="1" w:styleId="838">
    <w:name w:val="CM22"/>
    <w:basedOn w:val="103"/>
    <w:next w:val="103"/>
    <w:qFormat/>
    <w:uiPriority w:val="99"/>
    <w:pPr>
      <w:autoSpaceDE w:val="0"/>
      <w:autoSpaceDN w:val="0"/>
    </w:pPr>
    <w:rPr>
      <w:color w:val="auto"/>
    </w:rPr>
  </w:style>
  <w:style w:type="character" w:customStyle="1" w:styleId="839">
    <w:name w:val="签名 Char2"/>
    <w:basedOn w:val="85"/>
    <w:qFormat/>
    <w:uiPriority w:val="0"/>
    <w:rPr>
      <w:rFonts w:ascii="宋体" w:hAnsi="宋体" w:cs="宋体"/>
      <w:sz w:val="24"/>
      <w:szCs w:val="24"/>
    </w:rPr>
  </w:style>
  <w:style w:type="paragraph" w:customStyle="1" w:styleId="840">
    <w:name w:val="正文3"/>
    <w:qFormat/>
    <w:uiPriority w:val="99"/>
    <w:pPr>
      <w:widowControl w:val="0"/>
      <w:adjustRightInd w:val="0"/>
      <w:spacing w:line="360" w:lineRule="atLeast"/>
    </w:pPr>
    <w:rPr>
      <w:rFonts w:hint="eastAsia" w:ascii="宋体" w:hAnsi="Times New Roman" w:eastAsia="宋体" w:cs="Times New Roman"/>
      <w:sz w:val="24"/>
      <w:lang w:val="en-US" w:eastAsia="zh-CN" w:bidi="ar-SA"/>
    </w:rPr>
  </w:style>
  <w:style w:type="paragraph" w:customStyle="1" w:styleId="841">
    <w:name w:val="列表 2J"/>
    <w:basedOn w:val="37"/>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842">
    <w:name w:val="图文框"/>
    <w:basedOn w:val="1"/>
    <w:qFormat/>
    <w:uiPriority w:val="99"/>
    <w:pPr>
      <w:widowControl w:val="0"/>
      <w:tabs>
        <w:tab w:val="left" w:pos="0"/>
      </w:tabs>
      <w:autoSpaceDE w:val="0"/>
      <w:autoSpaceDN w:val="0"/>
      <w:adjustRightInd w:val="0"/>
      <w:snapToGrid w:val="0"/>
      <w:ind w:right="-107" w:rightChars="-51"/>
      <w:jc w:val="center"/>
      <w:textAlignment w:val="baseline"/>
    </w:pPr>
    <w:rPr>
      <w:rFonts w:cs="Times New Roman"/>
      <w:color w:val="000000"/>
      <w:kern w:val="2"/>
      <w:sz w:val="21"/>
      <w:szCs w:val="21"/>
    </w:rPr>
  </w:style>
  <w:style w:type="character" w:customStyle="1" w:styleId="843">
    <w:name w:val="日期 Char2"/>
    <w:basedOn w:val="85"/>
    <w:qFormat/>
    <w:uiPriority w:val="0"/>
    <w:rPr>
      <w:rFonts w:ascii="宋体" w:hAnsi="宋体" w:cs="宋体"/>
      <w:sz w:val="24"/>
      <w:szCs w:val="24"/>
    </w:rPr>
  </w:style>
  <w:style w:type="paragraph" w:customStyle="1" w:styleId="844">
    <w:name w:val="列表 4Q"/>
    <w:basedOn w:val="71"/>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845">
    <w:name w:val="表题 Char Char"/>
    <w:basedOn w:val="1"/>
    <w:qFormat/>
    <w:uiPriority w:val="99"/>
    <w:pPr>
      <w:widowControl w:val="0"/>
      <w:spacing w:line="360" w:lineRule="auto"/>
      <w:ind w:firstLine="480" w:firstLineChars="200"/>
      <w:jc w:val="both"/>
    </w:pPr>
    <w:rPr>
      <w:rFonts w:cs="Times New Roman"/>
      <w:bCs/>
      <w:kern w:val="2"/>
    </w:rPr>
  </w:style>
  <w:style w:type="paragraph" w:customStyle="1" w:styleId="846">
    <w:name w:val="列表 4W"/>
    <w:basedOn w:val="71"/>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847">
    <w:name w:val="正文文字进缩1"/>
    <w:basedOn w:val="1"/>
    <w:qFormat/>
    <w:uiPriority w:val="0"/>
    <w:pPr>
      <w:widowControl w:val="0"/>
      <w:spacing w:line="360" w:lineRule="auto"/>
      <w:ind w:left="555"/>
      <w:jc w:val="both"/>
    </w:pPr>
    <w:rPr>
      <w:rFonts w:ascii="黑体" w:hAnsi="Times New Roman" w:eastAsia="黑体" w:cs="Times New Roman"/>
      <w:b/>
      <w:bCs/>
      <w:iCs/>
      <w:kern w:val="2"/>
      <w:sz w:val="28"/>
    </w:rPr>
  </w:style>
  <w:style w:type="paragraph" w:customStyle="1" w:styleId="848">
    <w:name w:val="xl97"/>
    <w:basedOn w:val="1"/>
    <w:qFormat/>
    <w:uiPriority w:val="99"/>
    <w:pPr>
      <w:pBdr>
        <w:left w:val="single" w:color="auto" w:sz="8" w:space="0"/>
        <w:right w:val="single" w:color="auto" w:sz="4" w:space="0"/>
      </w:pBdr>
      <w:spacing w:before="100" w:beforeAutospacing="1" w:after="100" w:afterAutospacing="1"/>
      <w:jc w:val="center"/>
      <w:textAlignment w:val="center"/>
    </w:pPr>
    <w:rPr>
      <w:rFonts w:ascii="Times New Roman" w:hAnsi="Times New Roman" w:eastAsia="Arial Unicode MS" w:cs="Times New Roman"/>
      <w:sz w:val="16"/>
      <w:szCs w:val="16"/>
    </w:rPr>
  </w:style>
  <w:style w:type="paragraph" w:customStyle="1" w:styleId="849">
    <w:name w:val="Char Char Char1 Char3"/>
    <w:basedOn w:val="1"/>
    <w:qFormat/>
    <w:uiPriority w:val="0"/>
    <w:pPr>
      <w:widowControl w:val="0"/>
      <w:jc w:val="both"/>
    </w:pPr>
    <w:rPr>
      <w:rFonts w:ascii="Times New Roman" w:hAnsi="Times New Roman" w:cs="Times New Roman"/>
      <w:kern w:val="2"/>
      <w:sz w:val="21"/>
      <w:szCs w:val="20"/>
    </w:rPr>
  </w:style>
  <w:style w:type="paragraph" w:customStyle="1" w:styleId="850">
    <w:name w:val="表8.1-1"/>
    <w:basedOn w:val="1"/>
    <w:qFormat/>
    <w:uiPriority w:val="99"/>
    <w:pPr>
      <w:widowControl w:val="0"/>
      <w:tabs>
        <w:tab w:val="left" w:pos="726"/>
      </w:tabs>
      <w:adjustRightInd w:val="0"/>
      <w:snapToGrid w:val="0"/>
      <w:spacing w:beforeLines="100" w:line="0" w:lineRule="atLeast"/>
      <w:ind w:left="2" w:firstLine="4"/>
      <w:jc w:val="center"/>
    </w:pPr>
    <w:rPr>
      <w:rFonts w:ascii="黑体" w:hAnsi="Times New Roman" w:eastAsia="黑体" w:cs="Times New Roman"/>
      <w:b/>
      <w:kern w:val="2"/>
    </w:rPr>
  </w:style>
  <w:style w:type="paragraph" w:customStyle="1" w:styleId="851">
    <w:name w:val="正文 + 首行缩进:  2 字符"/>
    <w:basedOn w:val="1"/>
    <w:qFormat/>
    <w:uiPriority w:val="99"/>
    <w:pPr>
      <w:widowControl w:val="0"/>
      <w:spacing w:line="460" w:lineRule="atLeast"/>
      <w:ind w:firstLine="528" w:firstLineChars="200"/>
      <w:jc w:val="both"/>
    </w:pPr>
    <w:rPr>
      <w:rFonts w:ascii="Times New Roman" w:hAnsi="Times New Roman" w:cs="Times New Roman"/>
      <w:spacing w:val="12"/>
      <w:kern w:val="2"/>
      <w:szCs w:val="20"/>
    </w:rPr>
  </w:style>
  <w:style w:type="paragraph" w:customStyle="1" w:styleId="852">
    <w:name w:val="表格02"/>
    <w:basedOn w:val="1"/>
    <w:qFormat/>
    <w:uiPriority w:val="99"/>
    <w:pPr>
      <w:widowControl w:val="0"/>
      <w:spacing w:line="400" w:lineRule="exact"/>
      <w:jc w:val="center"/>
    </w:pPr>
    <w:rPr>
      <w:rFonts w:ascii="Times New Roman" w:hAnsi="Times New Roman" w:cs="Times New Roman"/>
      <w:snapToGrid w:val="0"/>
      <w:kern w:val="2"/>
      <w:lang w:val="en-GB"/>
    </w:rPr>
  </w:style>
  <w:style w:type="paragraph" w:customStyle="1" w:styleId="853">
    <w:name w:val="样式 左  0 字符 首行缩进:  2 字符"/>
    <w:basedOn w:val="1"/>
    <w:qFormat/>
    <w:uiPriority w:val="0"/>
    <w:pPr>
      <w:widowControl w:val="0"/>
      <w:ind w:firstLine="200" w:firstLineChars="200"/>
      <w:jc w:val="both"/>
    </w:pPr>
    <w:rPr>
      <w:rFonts w:ascii="Times New Roman" w:hAnsi="Times New Roman" w:cs="Times New Roman"/>
      <w:kern w:val="2"/>
      <w:sz w:val="28"/>
      <w:szCs w:val="28"/>
    </w:rPr>
  </w:style>
  <w:style w:type="paragraph" w:customStyle="1" w:styleId="854">
    <w:name w:val="Char Char Char Char Char Char Char Char Char Char1"/>
    <w:basedOn w:val="1"/>
    <w:qFormat/>
    <w:uiPriority w:val="99"/>
    <w:pPr>
      <w:widowControl w:val="0"/>
      <w:jc w:val="both"/>
    </w:pPr>
    <w:rPr>
      <w:color w:val="000000"/>
      <w:kern w:val="2"/>
      <w:sz w:val="21"/>
      <w:szCs w:val="21"/>
    </w:rPr>
  </w:style>
  <w:style w:type="paragraph" w:customStyle="1" w:styleId="855">
    <w:name w:val="样式7"/>
    <w:basedOn w:val="7"/>
    <w:qFormat/>
    <w:uiPriority w:val="99"/>
    <w:pPr>
      <w:keepNext w:val="0"/>
      <w:keepLines w:val="0"/>
      <w:adjustRightInd w:val="0"/>
      <w:snapToGrid w:val="0"/>
      <w:spacing w:beforeLines="30" w:afterLines="50" w:line="360" w:lineRule="auto"/>
      <w:textAlignment w:val="baseline"/>
    </w:pPr>
    <w:rPr>
      <w:rFonts w:ascii="宋体" w:hAnsi="Courier New" w:eastAsia="宋体"/>
      <w:b/>
      <w:bCs w:val="0"/>
      <w:sz w:val="24"/>
      <w:szCs w:val="20"/>
    </w:rPr>
  </w:style>
  <w:style w:type="paragraph" w:customStyle="1" w:styleId="856">
    <w:name w:val="表标题8.1"/>
    <w:basedOn w:val="507"/>
    <w:qFormat/>
    <w:uiPriority w:val="99"/>
    <w:pPr>
      <w:tabs>
        <w:tab w:val="center" w:pos="4060"/>
        <w:tab w:val="right" w:pos="8261"/>
        <w:tab w:val="clear" w:pos="360"/>
        <w:tab w:val="clear" w:pos="726"/>
      </w:tabs>
      <w:suppressAutoHyphens/>
      <w:adjustRightInd w:val="0"/>
      <w:spacing w:beforeLines="100" w:line="0" w:lineRule="atLeast"/>
    </w:pPr>
    <w:rPr>
      <w:rFonts w:ascii="黑体" w:eastAsia="黑体" w:cs="宋体"/>
      <w:b/>
      <w:bCs/>
      <w:spacing w:val="6"/>
      <w:sz w:val="24"/>
    </w:rPr>
  </w:style>
  <w:style w:type="character" w:customStyle="1" w:styleId="857">
    <w:name w:val="脚注文本 Char2"/>
    <w:basedOn w:val="85"/>
    <w:qFormat/>
    <w:uiPriority w:val="0"/>
    <w:rPr>
      <w:rFonts w:ascii="宋体" w:hAnsi="宋体" w:cs="宋体"/>
      <w:sz w:val="18"/>
      <w:szCs w:val="18"/>
    </w:rPr>
  </w:style>
  <w:style w:type="paragraph" w:customStyle="1" w:styleId="858">
    <w:name w:val="填表内容"/>
    <w:basedOn w:val="1"/>
    <w:qFormat/>
    <w:uiPriority w:val="99"/>
    <w:pPr>
      <w:widowControl w:val="0"/>
      <w:adjustRightInd w:val="0"/>
      <w:spacing w:line="480" w:lineRule="exact"/>
      <w:ind w:firstLine="560" w:firstLineChars="200"/>
      <w:textAlignment w:val="baseline"/>
    </w:pPr>
    <w:rPr>
      <w:rFonts w:ascii="楷体_GB2312" w:hAnsi="Times New Roman" w:eastAsia="楷体_GB2312" w:cs="Times New Roman"/>
      <w:kern w:val="2"/>
      <w:sz w:val="28"/>
      <w:szCs w:val="20"/>
    </w:rPr>
  </w:style>
  <w:style w:type="paragraph" w:customStyle="1" w:styleId="859">
    <w:name w:val="样式 样式 正文首行缩进正文首行缩进 Char + 首行缩进:  2 字符 + 首行缩进:  2 字符"/>
    <w:basedOn w:val="1"/>
    <w:qFormat/>
    <w:uiPriority w:val="99"/>
    <w:pPr>
      <w:widowControl w:val="0"/>
      <w:adjustRightInd w:val="0"/>
      <w:snapToGrid w:val="0"/>
      <w:spacing w:line="360" w:lineRule="auto"/>
      <w:ind w:firstLine="480" w:firstLineChars="200"/>
      <w:jc w:val="both"/>
      <w:textAlignment w:val="baseline"/>
    </w:pPr>
    <w:rPr>
      <w:rFonts w:hAnsi="Times New Roman"/>
      <w:kern w:val="2"/>
      <w:szCs w:val="20"/>
      <w:lang w:val="zh-CN"/>
    </w:rPr>
  </w:style>
  <w:style w:type="paragraph" w:customStyle="1" w:styleId="860">
    <w:name w:val="章标题(不加入目录内)"/>
    <w:basedOn w:val="78"/>
    <w:qFormat/>
    <w:uiPriority w:val="99"/>
    <w:pPr>
      <w:keepLines/>
      <w:pageBreakBefore/>
      <w:spacing w:after="120"/>
      <w:ind w:right="0" w:firstLine="0"/>
      <w:jc w:val="center"/>
      <w:outlineLvl w:val="9"/>
    </w:pPr>
    <w:rPr>
      <w:rFonts w:ascii="Times New Roman" w:hAnsi="Times New Roman" w:eastAsia="黑体"/>
      <w:sz w:val="36"/>
      <w:szCs w:val="22"/>
    </w:rPr>
  </w:style>
  <w:style w:type="paragraph" w:customStyle="1" w:styleId="861">
    <w:name w:val="xl60"/>
    <w:basedOn w:val="1"/>
    <w:qFormat/>
    <w:uiPriority w:val="99"/>
    <w:pPr>
      <w:pBdr>
        <w:top w:val="single" w:color="auto" w:sz="4" w:space="0"/>
        <w:bottom w:val="single" w:color="auto" w:sz="8" w:space="0"/>
      </w:pBdr>
      <w:spacing w:before="100" w:beforeAutospacing="1" w:after="100" w:afterAutospacing="1"/>
      <w:jc w:val="center"/>
    </w:pPr>
    <w:rPr>
      <w:rFonts w:eastAsia="仿宋_GB2312" w:cs="Times New Roman"/>
      <w:b/>
      <w:bCs/>
      <w:position w:val="-6"/>
    </w:rPr>
  </w:style>
  <w:style w:type="paragraph" w:customStyle="1" w:styleId="862">
    <w:name w:val="xl61"/>
    <w:basedOn w:val="1"/>
    <w:qFormat/>
    <w:uiPriority w:val="99"/>
    <w:pPr>
      <w:pBdr>
        <w:bottom w:val="single" w:color="auto" w:sz="8" w:space="0"/>
        <w:right w:val="single" w:color="auto" w:sz="4" w:space="0"/>
      </w:pBdr>
      <w:spacing w:before="100" w:beforeAutospacing="1" w:after="100" w:afterAutospacing="1"/>
      <w:jc w:val="center"/>
    </w:pPr>
    <w:rPr>
      <w:rFonts w:eastAsia="仿宋_GB2312" w:cs="Times New Roman"/>
      <w:position w:val="-6"/>
      <w:szCs w:val="21"/>
    </w:rPr>
  </w:style>
  <w:style w:type="character" w:customStyle="1" w:styleId="863">
    <w:name w:val="标题 Char5"/>
    <w:basedOn w:val="85"/>
    <w:qFormat/>
    <w:uiPriority w:val="0"/>
    <w:rPr>
      <w:rFonts w:asciiTheme="majorHAnsi" w:hAnsiTheme="majorHAnsi" w:cstheme="majorBidi"/>
      <w:b/>
      <w:bCs/>
      <w:sz w:val="32"/>
      <w:szCs w:val="32"/>
    </w:rPr>
  </w:style>
  <w:style w:type="paragraph" w:customStyle="1" w:styleId="864">
    <w:name w:val="CM4"/>
    <w:basedOn w:val="103"/>
    <w:next w:val="103"/>
    <w:qFormat/>
    <w:uiPriority w:val="99"/>
    <w:pPr>
      <w:autoSpaceDE w:val="0"/>
      <w:autoSpaceDN w:val="0"/>
      <w:spacing w:line="468" w:lineRule="atLeast"/>
    </w:pPr>
    <w:rPr>
      <w:color w:val="auto"/>
    </w:rPr>
  </w:style>
  <w:style w:type="paragraph" w:customStyle="1" w:styleId="865">
    <w:name w:val="Char1 Char Char Char"/>
    <w:basedOn w:val="1"/>
    <w:qFormat/>
    <w:uiPriority w:val="0"/>
    <w:pPr>
      <w:spacing w:after="160" w:line="240" w:lineRule="exact"/>
    </w:pPr>
    <w:rPr>
      <w:rFonts w:ascii="Verdana" w:hAnsi="Verdana" w:cs="Times New Roman"/>
      <w:sz w:val="20"/>
      <w:szCs w:val="20"/>
      <w:lang w:eastAsia="en-US"/>
    </w:rPr>
  </w:style>
  <w:style w:type="character" w:customStyle="1" w:styleId="866">
    <w:name w:val="正文文本缩进 2 Char3"/>
    <w:basedOn w:val="85"/>
    <w:qFormat/>
    <w:uiPriority w:val="0"/>
    <w:rPr>
      <w:rFonts w:ascii="宋体" w:hAnsi="宋体" w:cs="宋体"/>
      <w:sz w:val="24"/>
      <w:szCs w:val="24"/>
    </w:rPr>
  </w:style>
  <w:style w:type="paragraph" w:customStyle="1" w:styleId="867">
    <w:name w:val="样式 样式 标题 1标题 1 Char标1章 + 段前: 0.5 行 段后: 0.5 行 + 段前: 0.5 行 段后: 0...."/>
    <w:basedOn w:val="1"/>
    <w:qFormat/>
    <w:uiPriority w:val="99"/>
    <w:pPr>
      <w:keepNext/>
      <w:tabs>
        <w:tab w:val="left" w:pos="0"/>
      </w:tabs>
      <w:spacing w:beforeLines="50" w:afterLines="50"/>
      <w:jc w:val="both"/>
      <w:outlineLvl w:val="0"/>
    </w:pPr>
    <w:rPr>
      <w:rFonts w:ascii="黑体" w:hAnsi="Arial" w:eastAsia="黑体"/>
      <w:color w:val="000000"/>
      <w:kern w:val="24"/>
      <w:sz w:val="28"/>
      <w:szCs w:val="20"/>
      <w:lang w:val="zh-CN"/>
    </w:rPr>
  </w:style>
  <w:style w:type="paragraph" w:customStyle="1" w:styleId="868">
    <w:name w:val="正文缩进1"/>
    <w:basedOn w:val="1"/>
    <w:qFormat/>
    <w:uiPriority w:val="99"/>
    <w:pPr>
      <w:widowControl w:val="0"/>
      <w:ind w:firstLine="420"/>
      <w:jc w:val="both"/>
    </w:pPr>
    <w:rPr>
      <w:rFonts w:ascii="Times New Roman" w:hAnsi="Times New Roman" w:cs="Times New Roman"/>
      <w:kern w:val="2"/>
      <w:szCs w:val="20"/>
    </w:rPr>
  </w:style>
  <w:style w:type="paragraph" w:customStyle="1" w:styleId="869">
    <w:name w:val="xl22"/>
    <w:basedOn w:val="1"/>
    <w:qFormat/>
    <w:uiPriority w:val="99"/>
    <w:pPr>
      <w:spacing w:before="100" w:beforeAutospacing="1" w:after="100" w:afterAutospacing="1"/>
      <w:jc w:val="center"/>
    </w:pPr>
    <w:rPr>
      <w:rFonts w:ascii="Arial Unicode MS" w:hAnsi="Arial Unicode MS" w:eastAsia="Arial Unicode MS" w:cs="Times New Roman"/>
      <w:sz w:val="21"/>
      <w:szCs w:val="21"/>
    </w:rPr>
  </w:style>
  <w:style w:type="paragraph" w:customStyle="1" w:styleId="870">
    <w:name w:val="连续正文文字"/>
    <w:basedOn w:val="32"/>
    <w:qFormat/>
    <w:uiPriority w:val="99"/>
    <w:pPr>
      <w:keepNext/>
      <w:spacing w:after="220" w:line="280" w:lineRule="exact"/>
      <w:jc w:val="center"/>
    </w:pPr>
    <w:rPr>
      <w:rFonts w:ascii="Times New Roman" w:hAnsi="Times New Roman"/>
      <w:color w:val="auto"/>
      <w:kern w:val="0"/>
      <w:sz w:val="30"/>
      <w:szCs w:val="20"/>
    </w:rPr>
  </w:style>
  <w:style w:type="paragraph" w:customStyle="1" w:styleId="871">
    <w:name w:val="表格2"/>
    <w:basedOn w:val="25"/>
    <w:qFormat/>
    <w:uiPriority w:val="99"/>
    <w:pPr>
      <w:shd w:val="clear" w:color="auto" w:fill="auto"/>
      <w:spacing w:beforeLines="5"/>
      <w:jc w:val="center"/>
    </w:pPr>
    <w:rPr>
      <w:rFonts w:ascii="宋体"/>
      <w:szCs w:val="20"/>
    </w:rPr>
  </w:style>
  <w:style w:type="paragraph" w:customStyle="1" w:styleId="872">
    <w:name w:val="Char Char Char Char Char Char Char Char Char"/>
    <w:basedOn w:val="1"/>
    <w:qFormat/>
    <w:uiPriority w:val="0"/>
    <w:pPr>
      <w:widowControl w:val="0"/>
      <w:jc w:val="both"/>
    </w:pPr>
    <w:rPr>
      <w:rFonts w:ascii="Times New Roman" w:hAnsi="Times New Roman" w:cs="Times New Roman"/>
      <w:kern w:val="2"/>
      <w:sz w:val="21"/>
      <w:szCs w:val="20"/>
    </w:rPr>
  </w:style>
  <w:style w:type="paragraph" w:customStyle="1" w:styleId="873">
    <w:name w:val="Char Char Char Char Char Char Char Char"/>
    <w:basedOn w:val="1"/>
    <w:qFormat/>
    <w:uiPriority w:val="99"/>
    <w:pPr>
      <w:widowControl w:val="0"/>
      <w:jc w:val="both"/>
    </w:pPr>
    <w:rPr>
      <w:rFonts w:ascii="Times New Roman" w:hAnsi="Times New Roman" w:cs="Times New Roman"/>
      <w:kern w:val="2"/>
      <w:sz w:val="21"/>
    </w:rPr>
  </w:style>
  <w:style w:type="paragraph" w:customStyle="1" w:styleId="874">
    <w:name w:val="普通(网站)1"/>
    <w:basedOn w:val="1"/>
    <w:qFormat/>
    <w:uiPriority w:val="0"/>
    <w:pPr>
      <w:spacing w:before="100" w:beforeAutospacing="1" w:after="100" w:afterAutospacing="1"/>
    </w:pPr>
    <w:rPr>
      <w:rFonts w:hint="eastAsia" w:cs="Times New Roman"/>
      <w:kern w:val="2"/>
      <w:szCs w:val="20"/>
    </w:rPr>
  </w:style>
  <w:style w:type="paragraph" w:customStyle="1" w:styleId="875">
    <w:name w:val="表标题16.9"/>
    <w:basedOn w:val="1"/>
    <w:qFormat/>
    <w:uiPriority w:val="99"/>
    <w:pPr>
      <w:widowControl w:val="0"/>
      <w:tabs>
        <w:tab w:val="left" w:pos="726"/>
        <w:tab w:val="center" w:pos="4060"/>
        <w:tab w:val="right" w:pos="8261"/>
      </w:tabs>
      <w:suppressAutoHyphens/>
      <w:adjustRightInd w:val="0"/>
      <w:spacing w:before="240" w:line="0" w:lineRule="atLeast"/>
      <w:ind w:left="2" w:firstLine="4"/>
      <w:jc w:val="both"/>
    </w:pPr>
    <w:rPr>
      <w:rFonts w:ascii="黑体" w:hAnsi="Times New Roman" w:eastAsia="黑体" w:cs="Times New Roman"/>
      <w:b/>
      <w:spacing w:val="6"/>
      <w:sz w:val="26"/>
      <w:szCs w:val="26"/>
    </w:rPr>
  </w:style>
  <w:style w:type="paragraph" w:customStyle="1" w:styleId="876">
    <w:name w:val="列表 2R"/>
    <w:basedOn w:val="37"/>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877">
    <w:name w:val="CM60"/>
    <w:basedOn w:val="103"/>
    <w:next w:val="103"/>
    <w:qFormat/>
    <w:uiPriority w:val="99"/>
    <w:pPr>
      <w:autoSpaceDE w:val="0"/>
      <w:autoSpaceDN w:val="0"/>
      <w:spacing w:after="343"/>
    </w:pPr>
    <w:rPr>
      <w:color w:val="auto"/>
    </w:rPr>
  </w:style>
  <w:style w:type="paragraph" w:customStyle="1" w:styleId="878">
    <w:name w:val="Char Char Char1 Char Char Char Char Char Char Char"/>
    <w:basedOn w:val="1"/>
    <w:qFormat/>
    <w:uiPriority w:val="0"/>
    <w:pPr>
      <w:widowControl w:val="0"/>
      <w:jc w:val="both"/>
    </w:pPr>
    <w:rPr>
      <w:rFonts w:ascii="Times New Roman" w:hAnsi="Times New Roman" w:cs="Times New Roman"/>
      <w:kern w:val="2"/>
      <w:sz w:val="21"/>
    </w:rPr>
  </w:style>
  <w:style w:type="paragraph" w:customStyle="1" w:styleId="879">
    <w:name w:val="样式111"/>
    <w:qFormat/>
    <w:uiPriority w:val="99"/>
    <w:pPr>
      <w:adjustRightInd w:val="0"/>
      <w:snapToGrid w:val="0"/>
      <w:jc w:val="both"/>
    </w:pPr>
    <w:rPr>
      <w:rFonts w:ascii="宋体" w:hAnsi="Times New Roman" w:eastAsia="宋体" w:cs="Times New Roman"/>
      <w:sz w:val="21"/>
      <w:lang w:val="en-US" w:eastAsia="zh-CN" w:bidi="ar-SA"/>
    </w:rPr>
  </w:style>
  <w:style w:type="paragraph" w:customStyle="1" w:styleId="880">
    <w:name w:val="样式 标题 3条标题1.1.1 + 宋体 加粗 段前: 13 磅 段后: 13 磅 行距: 多倍行距 1.73 字行"/>
    <w:basedOn w:val="7"/>
    <w:qFormat/>
    <w:uiPriority w:val="99"/>
    <w:pPr>
      <w:widowControl w:val="0"/>
      <w:adjustRightInd w:val="0"/>
      <w:snapToGrid w:val="0"/>
      <w:spacing w:beforeLines="50" w:afterLines="50" w:line="416" w:lineRule="auto"/>
      <w:jc w:val="both"/>
    </w:pPr>
    <w:rPr>
      <w:rFonts w:ascii="Arial" w:hAnsi="Arial" w:eastAsia="宋体"/>
      <w:sz w:val="28"/>
      <w:szCs w:val="28"/>
    </w:rPr>
  </w:style>
  <w:style w:type="paragraph" w:customStyle="1" w:styleId="881">
    <w:name w:val="xl71"/>
    <w:basedOn w:val="1"/>
    <w:qFormat/>
    <w:uiPriority w:val="99"/>
    <w:pPr>
      <w:pBdr>
        <w:top w:val="single" w:color="auto" w:sz="8" w:space="0"/>
        <w:left w:val="single" w:color="auto" w:sz="8" w:space="0"/>
      </w:pBdr>
      <w:spacing w:before="100" w:beforeAutospacing="1" w:after="100" w:afterAutospacing="1"/>
      <w:jc w:val="center"/>
    </w:pPr>
    <w:rPr>
      <w:rFonts w:eastAsia="仿宋_GB2312" w:cs="Times New Roman"/>
      <w:position w:val="-6"/>
      <w:szCs w:val="21"/>
    </w:rPr>
  </w:style>
  <w:style w:type="paragraph" w:customStyle="1" w:styleId="882">
    <w:name w:val="表内式样"/>
    <w:qFormat/>
    <w:uiPriority w:val="99"/>
    <w:pPr>
      <w:widowControl w:val="0"/>
      <w:jc w:val="center"/>
    </w:pPr>
    <w:rPr>
      <w:rFonts w:ascii="Times New Roman" w:hAnsi="Times New Roman" w:eastAsia="宋体" w:cs="Times New Roman"/>
      <w:sz w:val="18"/>
      <w:szCs w:val="24"/>
      <w:lang w:val="en-US" w:eastAsia="zh-CN" w:bidi="ar-SA"/>
    </w:rPr>
  </w:style>
  <w:style w:type="character" w:customStyle="1" w:styleId="883">
    <w:name w:val="信息标题 Char1"/>
    <w:basedOn w:val="85"/>
    <w:qFormat/>
    <w:uiPriority w:val="0"/>
    <w:rPr>
      <w:rFonts w:asciiTheme="majorHAnsi" w:hAnsiTheme="majorHAnsi" w:eastAsiaTheme="majorEastAsia" w:cstheme="majorBidi"/>
      <w:sz w:val="24"/>
      <w:szCs w:val="24"/>
      <w:shd w:val="pct20" w:color="auto" w:fill="auto"/>
    </w:rPr>
  </w:style>
  <w:style w:type="paragraph" w:customStyle="1" w:styleId="884">
    <w:name w:val="内蒙2"/>
    <w:basedOn w:val="5"/>
    <w:qFormat/>
    <w:uiPriority w:val="99"/>
    <w:pPr>
      <w:widowControl w:val="0"/>
      <w:spacing w:line="480" w:lineRule="exact"/>
      <w:jc w:val="both"/>
    </w:pPr>
    <w:rPr>
      <w:rFonts w:ascii="Times New Roman" w:hAnsi="Times New Roman"/>
      <w:b/>
      <w:bCs w:val="0"/>
      <w:color w:val="FF0000"/>
      <w:spacing w:val="20"/>
      <w:szCs w:val="28"/>
    </w:rPr>
  </w:style>
  <w:style w:type="character" w:customStyle="1" w:styleId="885">
    <w:name w:val="文档结构图 Char3"/>
    <w:basedOn w:val="85"/>
    <w:qFormat/>
    <w:uiPriority w:val="0"/>
    <w:rPr>
      <w:rFonts w:ascii="Microsoft YaHei UI" w:hAnsi="宋体" w:eastAsia="Microsoft YaHei UI" w:cs="宋体"/>
      <w:sz w:val="18"/>
      <w:szCs w:val="18"/>
    </w:rPr>
  </w:style>
  <w:style w:type="paragraph" w:customStyle="1" w:styleId="886">
    <w:name w:val="CM68"/>
    <w:basedOn w:val="103"/>
    <w:next w:val="103"/>
    <w:qFormat/>
    <w:uiPriority w:val="99"/>
    <w:pPr>
      <w:autoSpaceDE w:val="0"/>
      <w:autoSpaceDN w:val="0"/>
      <w:spacing w:after="265"/>
    </w:pPr>
    <w:rPr>
      <w:color w:val="auto"/>
    </w:rPr>
  </w:style>
  <w:style w:type="character" w:customStyle="1" w:styleId="887">
    <w:name w:val="电子邮件签名 Char2"/>
    <w:basedOn w:val="85"/>
    <w:qFormat/>
    <w:uiPriority w:val="0"/>
    <w:rPr>
      <w:rFonts w:ascii="宋体" w:hAnsi="宋体" w:cs="宋体"/>
      <w:sz w:val="24"/>
      <w:szCs w:val="24"/>
    </w:rPr>
  </w:style>
  <w:style w:type="paragraph" w:customStyle="1" w:styleId="888">
    <w:name w:val="样式 表格备注"/>
    <w:basedOn w:val="1"/>
    <w:qFormat/>
    <w:uiPriority w:val="99"/>
    <w:pPr>
      <w:keepNext/>
      <w:widowControl w:val="0"/>
      <w:tabs>
        <w:tab w:val="left" w:pos="628"/>
        <w:tab w:val="left" w:pos="1727"/>
        <w:tab w:val="left" w:pos="1884"/>
        <w:tab w:val="left" w:pos="4680"/>
        <w:tab w:val="left" w:pos="4900"/>
      </w:tabs>
      <w:adjustRightInd w:val="0"/>
      <w:snapToGrid w:val="0"/>
      <w:spacing w:line="360" w:lineRule="auto"/>
      <w:ind w:firstLine="480" w:firstLineChars="200"/>
      <w:jc w:val="both"/>
    </w:pPr>
    <w:rPr>
      <w:rFonts w:eastAsia="楷体_GB2312" w:cs="Times New Roman"/>
      <w:szCs w:val="20"/>
    </w:rPr>
  </w:style>
  <w:style w:type="paragraph" w:customStyle="1" w:styleId="889">
    <w:name w:val="CM1"/>
    <w:basedOn w:val="103"/>
    <w:next w:val="103"/>
    <w:qFormat/>
    <w:uiPriority w:val="99"/>
    <w:pPr>
      <w:autoSpaceDE w:val="0"/>
      <w:autoSpaceDN w:val="0"/>
    </w:pPr>
    <w:rPr>
      <w:rFonts w:ascii="宋体" w:cs="宋体"/>
      <w:color w:val="auto"/>
    </w:rPr>
  </w:style>
  <w:style w:type="paragraph" w:customStyle="1" w:styleId="890">
    <w:name w:val="xl80"/>
    <w:basedOn w:val="1"/>
    <w:qFormat/>
    <w:uiPriority w:val="99"/>
    <w:pPr>
      <w:pBdr>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891">
    <w:name w:val="Achievement"/>
    <w:basedOn w:val="32"/>
    <w:qFormat/>
    <w:uiPriority w:val="99"/>
    <w:pPr>
      <w:spacing w:after="60" w:line="220" w:lineRule="atLeast"/>
      <w:ind w:left="245" w:right="-360" w:hanging="245"/>
    </w:pPr>
    <w:rPr>
      <w:rFonts w:ascii="Times New Roman" w:hAnsi="Times New Roman"/>
      <w:color w:val="auto"/>
      <w:kern w:val="0"/>
      <w:sz w:val="20"/>
      <w:szCs w:val="20"/>
    </w:rPr>
  </w:style>
  <w:style w:type="paragraph" w:customStyle="1" w:styleId="892">
    <w:name w:val="Exhibit--Caption"/>
    <w:basedOn w:val="893"/>
    <w:next w:val="32"/>
    <w:semiHidden/>
    <w:qFormat/>
    <w:uiPriority w:val="99"/>
    <w:rPr>
      <w:i/>
    </w:rPr>
  </w:style>
  <w:style w:type="paragraph" w:customStyle="1" w:styleId="893">
    <w:name w:val="Exhibit--Title"/>
    <w:basedOn w:val="894"/>
    <w:next w:val="892"/>
    <w:qFormat/>
    <w:uiPriority w:val="0"/>
    <w:rPr>
      <w:b w:val="0"/>
      <w:sz w:val="20"/>
    </w:rPr>
  </w:style>
  <w:style w:type="paragraph" w:customStyle="1" w:styleId="894">
    <w:name w:val="Exhibit--Number"/>
    <w:basedOn w:val="895"/>
    <w:next w:val="893"/>
    <w:semiHidden/>
    <w:qFormat/>
    <w:uiPriority w:val="99"/>
  </w:style>
  <w:style w:type="paragraph" w:customStyle="1" w:styleId="895">
    <w:name w:val="Main-Head"/>
    <w:basedOn w:val="1"/>
    <w:next w:val="32"/>
    <w:semiHidden/>
    <w:qFormat/>
    <w:uiPriority w:val="99"/>
    <w:pPr>
      <w:widowControl w:val="0"/>
      <w:jc w:val="both"/>
    </w:pPr>
    <w:rPr>
      <w:rFonts w:ascii="Arial Narrow" w:hAnsi="Arial Narrow" w:eastAsia="仿宋_GB2312" w:cs="Times New Roman"/>
      <w:b/>
      <w:kern w:val="2"/>
      <w:sz w:val="22"/>
    </w:rPr>
  </w:style>
  <w:style w:type="paragraph" w:customStyle="1" w:styleId="896">
    <w:name w:val="列表 4R"/>
    <w:basedOn w:val="71"/>
    <w:qFormat/>
    <w:uiPriority w:val="99"/>
    <w:pPr>
      <w:tabs>
        <w:tab w:val="left" w:pos="907"/>
      </w:tabs>
      <w:topLinePunct w:val="0"/>
      <w:spacing w:beforeLines="50" w:afterLines="30" w:line="288" w:lineRule="auto"/>
      <w:ind w:left="907" w:leftChars="0" w:hanging="567" w:firstLineChars="0"/>
      <w:jc w:val="both"/>
    </w:pPr>
    <w:rPr>
      <w:rFonts w:ascii="Arial" w:hAnsi="Arial" w:eastAsia="宋体"/>
      <w:color w:val="CCFFFF"/>
      <w:sz w:val="24"/>
    </w:rPr>
  </w:style>
  <w:style w:type="paragraph" w:customStyle="1" w:styleId="897">
    <w:name w:val="小标题2"/>
    <w:basedOn w:val="1"/>
    <w:qFormat/>
    <w:uiPriority w:val="0"/>
    <w:pPr>
      <w:widowControl w:val="0"/>
      <w:tabs>
        <w:tab w:val="left" w:pos="5400"/>
      </w:tabs>
      <w:overflowPunct w:val="0"/>
      <w:spacing w:line="336" w:lineRule="auto"/>
      <w:ind w:firstLine="480" w:firstLineChars="200"/>
      <w:jc w:val="both"/>
    </w:pPr>
    <w:rPr>
      <w:rFonts w:ascii="Times New Roman" w:hAnsi="Times New Roman" w:cs="Times New Roman"/>
      <w:kern w:val="2"/>
    </w:rPr>
  </w:style>
  <w:style w:type="paragraph" w:customStyle="1" w:styleId="898">
    <w:name w:val="font7"/>
    <w:basedOn w:val="1"/>
    <w:qFormat/>
    <w:uiPriority w:val="99"/>
    <w:pPr>
      <w:spacing w:before="100" w:beforeAutospacing="1" w:after="100" w:afterAutospacing="1"/>
    </w:pPr>
    <w:rPr>
      <w:rFonts w:ascii="Times New Roman" w:hAnsi="Times New Roman" w:eastAsia="Arial Unicode MS" w:cs="Times New Roman"/>
      <w:b/>
      <w:bCs/>
      <w:sz w:val="32"/>
      <w:szCs w:val="32"/>
    </w:rPr>
  </w:style>
  <w:style w:type="paragraph" w:customStyle="1" w:styleId="899">
    <w:name w:val="报告表  段"/>
    <w:basedOn w:val="1"/>
    <w:qFormat/>
    <w:uiPriority w:val="99"/>
    <w:pPr>
      <w:widowControl w:val="0"/>
      <w:adjustRightInd w:val="0"/>
      <w:spacing w:line="360" w:lineRule="auto"/>
      <w:ind w:firstLine="505"/>
      <w:jc w:val="both"/>
      <w:textAlignment w:val="baseline"/>
    </w:pPr>
    <w:rPr>
      <w:rFonts w:hAnsi="Times New Roman" w:cs="Times New Roman"/>
      <w:szCs w:val="20"/>
    </w:rPr>
  </w:style>
  <w:style w:type="character" w:customStyle="1" w:styleId="900">
    <w:name w:val="正文文本缩进 Char2"/>
    <w:basedOn w:val="85"/>
    <w:link w:val="35"/>
    <w:qFormat/>
    <w:uiPriority w:val="99"/>
    <w:rPr>
      <w:rFonts w:ascii="仿宋_GB2312" w:eastAsia="仿宋_GB2312"/>
      <w:spacing w:val="-2"/>
    </w:rPr>
  </w:style>
  <w:style w:type="character" w:customStyle="1" w:styleId="901">
    <w:name w:val="正文首行缩进 2 Char2"/>
    <w:basedOn w:val="900"/>
    <w:qFormat/>
    <w:uiPriority w:val="0"/>
    <w:rPr>
      <w:rFonts w:ascii="宋体" w:hAnsi="宋体" w:eastAsia="仿宋_GB2312" w:cs="宋体"/>
      <w:spacing w:val="-2"/>
      <w:sz w:val="24"/>
      <w:szCs w:val="24"/>
    </w:rPr>
  </w:style>
  <w:style w:type="character" w:customStyle="1" w:styleId="902">
    <w:name w:val="称呼 Char2"/>
    <w:basedOn w:val="85"/>
    <w:qFormat/>
    <w:uiPriority w:val="0"/>
    <w:rPr>
      <w:rFonts w:ascii="宋体" w:hAnsi="宋体" w:cs="宋体"/>
      <w:sz w:val="24"/>
      <w:szCs w:val="24"/>
    </w:rPr>
  </w:style>
  <w:style w:type="paragraph" w:customStyle="1" w:styleId="903">
    <w:name w:val="列表 E"/>
    <w:basedOn w:val="3"/>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character" w:customStyle="1" w:styleId="904">
    <w:name w:val="HTML 预设格式 Char2"/>
    <w:basedOn w:val="85"/>
    <w:qFormat/>
    <w:uiPriority w:val="0"/>
    <w:rPr>
      <w:rFonts w:ascii="Courier New" w:hAnsi="Courier New" w:cs="Courier New"/>
    </w:rPr>
  </w:style>
  <w:style w:type="paragraph" w:customStyle="1" w:styleId="905">
    <w:name w:val="粗体字"/>
    <w:basedOn w:val="1"/>
    <w:qFormat/>
    <w:uiPriority w:val="99"/>
    <w:pPr>
      <w:widowControl w:val="0"/>
      <w:spacing w:line="360" w:lineRule="auto"/>
      <w:ind w:firstLine="200" w:firstLineChars="200"/>
      <w:jc w:val="both"/>
    </w:pPr>
    <w:rPr>
      <w:rFonts w:cs="Times New Roman"/>
      <w:b/>
      <w:bCs/>
      <w:szCs w:val="20"/>
    </w:rPr>
  </w:style>
  <w:style w:type="paragraph" w:customStyle="1" w:styleId="906">
    <w:name w:val="样式 样式 宋体 13 磅 白色 首行缩进:  0.74 厘米 + 自动设置 首行缩进:  2 字符"/>
    <w:basedOn w:val="1"/>
    <w:qFormat/>
    <w:uiPriority w:val="99"/>
    <w:pPr>
      <w:widowControl w:val="0"/>
      <w:ind w:firstLine="520" w:firstLineChars="200"/>
      <w:jc w:val="both"/>
    </w:pPr>
    <w:rPr>
      <w:kern w:val="2"/>
      <w:sz w:val="27"/>
      <w:szCs w:val="27"/>
    </w:rPr>
  </w:style>
  <w:style w:type="paragraph" w:customStyle="1" w:styleId="907">
    <w:name w:val="xl2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szCs w:val="20"/>
    </w:rPr>
  </w:style>
  <w:style w:type="paragraph" w:customStyle="1" w:styleId="908">
    <w:name w:val="图表目录11"/>
    <w:basedOn w:val="213"/>
    <w:next w:val="213"/>
    <w:qFormat/>
    <w:uiPriority w:val="99"/>
    <w:pPr>
      <w:tabs>
        <w:tab w:val="right" w:leader="dot" w:pos="8051"/>
      </w:tabs>
      <w:ind w:left="840" w:hanging="840"/>
    </w:pPr>
  </w:style>
  <w:style w:type="paragraph" w:customStyle="1" w:styleId="909">
    <w:name w:val="正文一"/>
    <w:basedOn w:val="1"/>
    <w:qFormat/>
    <w:uiPriority w:val="99"/>
    <w:pPr>
      <w:widowControl w:val="0"/>
      <w:adjustRightInd w:val="0"/>
      <w:spacing w:line="520" w:lineRule="exact"/>
      <w:ind w:firstLine="200" w:firstLineChars="200"/>
      <w:jc w:val="both"/>
      <w:textAlignment w:val="baseline"/>
    </w:pPr>
    <w:rPr>
      <w:rFonts w:cs="Times New Roman"/>
    </w:rPr>
  </w:style>
  <w:style w:type="paragraph" w:customStyle="1" w:styleId="910">
    <w:name w:val="排序（1）（2）"/>
    <w:basedOn w:val="1"/>
    <w:qFormat/>
    <w:uiPriority w:val="99"/>
    <w:pPr>
      <w:widowControl w:val="0"/>
      <w:spacing w:line="460" w:lineRule="atLeast"/>
      <w:jc w:val="both"/>
    </w:pPr>
    <w:rPr>
      <w:rFonts w:ascii="Times New Roman" w:hAnsi="Times New Roman" w:cs="Times New Roman"/>
      <w:spacing w:val="12"/>
      <w:kern w:val="2"/>
    </w:rPr>
  </w:style>
  <w:style w:type="paragraph" w:customStyle="1" w:styleId="911">
    <w:name w:val="xl101"/>
    <w:basedOn w:val="1"/>
    <w:qFormat/>
    <w:uiPriority w:val="99"/>
    <w:pPr>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sz w:val="16"/>
      <w:szCs w:val="16"/>
    </w:rPr>
  </w:style>
  <w:style w:type="paragraph" w:customStyle="1" w:styleId="912">
    <w:name w:val="样式 正文首行缩进 + 四号 首行缩进:  1 字符 段后: 2.5 磅 行距: 1.5 倍行距"/>
    <w:basedOn w:val="80"/>
    <w:qFormat/>
    <w:uiPriority w:val="99"/>
    <w:pPr>
      <w:widowControl w:val="0"/>
      <w:spacing w:after="0" w:line="360" w:lineRule="auto"/>
      <w:ind w:firstLine="100"/>
    </w:pPr>
    <w:rPr>
      <w:rFonts w:ascii="Times New Roman" w:hAnsi="Times New Roman"/>
      <w:sz w:val="28"/>
    </w:rPr>
  </w:style>
  <w:style w:type="paragraph" w:customStyle="1" w:styleId="913">
    <w:name w:val="南郊正文"/>
    <w:basedOn w:val="1"/>
    <w:next w:val="1"/>
    <w:qFormat/>
    <w:uiPriority w:val="99"/>
    <w:pPr>
      <w:widowControl w:val="0"/>
      <w:jc w:val="both"/>
    </w:pPr>
    <w:rPr>
      <w:rFonts w:ascii="Times New Roman" w:hAnsi="Times New Roman" w:cs="Times New Roman"/>
      <w:kern w:val="2"/>
    </w:rPr>
  </w:style>
  <w:style w:type="paragraph" w:customStyle="1" w:styleId="914">
    <w:name w:val="表标题3.10"/>
    <w:basedOn w:val="812"/>
    <w:qFormat/>
    <w:uiPriority w:val="99"/>
  </w:style>
  <w:style w:type="paragraph" w:customStyle="1" w:styleId="915">
    <w:name w:val="Char Char Char Char Char Char Char Char Char Char"/>
    <w:basedOn w:val="1"/>
    <w:qFormat/>
    <w:uiPriority w:val="0"/>
    <w:pPr>
      <w:widowControl w:val="0"/>
      <w:jc w:val="both"/>
    </w:pPr>
    <w:rPr>
      <w:color w:val="000000"/>
      <w:kern w:val="2"/>
      <w:sz w:val="21"/>
      <w:szCs w:val="21"/>
    </w:rPr>
  </w:style>
  <w:style w:type="paragraph" w:customStyle="1" w:styleId="916">
    <w:name w:val="xl98"/>
    <w:basedOn w:val="1"/>
    <w:qFormat/>
    <w:uiPriority w:val="99"/>
    <w:pPr>
      <w:pBdr>
        <w:left w:val="single" w:color="auto" w:sz="8" w:space="0"/>
        <w:bottom w:val="single" w:color="auto" w:sz="8" w:space="0"/>
        <w:right w:val="single" w:color="auto" w:sz="4" w:space="0"/>
      </w:pBdr>
      <w:spacing w:before="100" w:beforeAutospacing="1" w:after="100" w:afterAutospacing="1"/>
      <w:jc w:val="center"/>
      <w:textAlignment w:val="center"/>
    </w:pPr>
    <w:rPr>
      <w:rFonts w:ascii="Times New Roman" w:hAnsi="Times New Roman" w:eastAsia="Arial Unicode MS" w:cs="Times New Roman"/>
      <w:sz w:val="16"/>
      <w:szCs w:val="16"/>
    </w:rPr>
  </w:style>
  <w:style w:type="paragraph" w:customStyle="1" w:styleId="917">
    <w:name w:val="列表 2N"/>
    <w:basedOn w:val="37"/>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918">
    <w:name w:val="列表 5N"/>
    <w:basedOn w:val="65"/>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919">
    <w:name w:val="条(二级)"/>
    <w:basedOn w:val="5"/>
    <w:next w:val="1"/>
    <w:qFormat/>
    <w:uiPriority w:val="99"/>
    <w:pPr>
      <w:widowControl w:val="0"/>
      <w:autoSpaceDE w:val="0"/>
      <w:autoSpaceDN w:val="0"/>
      <w:adjustRightInd w:val="0"/>
      <w:spacing w:line="460" w:lineRule="exact"/>
      <w:textAlignment w:val="baseline"/>
      <w:outlineLvl w:val="9"/>
    </w:pPr>
    <w:rPr>
      <w:rFonts w:ascii="宋体" w:hAnsi="Times New Roman" w:eastAsia="宋体"/>
      <w:b/>
      <w:bCs w:val="0"/>
      <w:spacing w:val="3"/>
      <w:kern w:val="24"/>
      <w:sz w:val="26"/>
      <w:szCs w:val="20"/>
    </w:rPr>
  </w:style>
  <w:style w:type="paragraph" w:customStyle="1" w:styleId="920">
    <w:name w:val="新标题2"/>
    <w:basedOn w:val="1"/>
    <w:next w:val="80"/>
    <w:qFormat/>
    <w:uiPriority w:val="99"/>
    <w:pPr>
      <w:widowControl w:val="0"/>
      <w:spacing w:beforeLines="50" w:afterLines="50" w:line="360" w:lineRule="auto"/>
      <w:ind w:firstLine="200" w:firstLineChars="200"/>
      <w:jc w:val="center"/>
    </w:pPr>
  </w:style>
  <w:style w:type="paragraph" w:customStyle="1" w:styleId="921">
    <w:name w:val="条(三级)"/>
    <w:basedOn w:val="919"/>
    <w:next w:val="922"/>
    <w:qFormat/>
    <w:uiPriority w:val="99"/>
    <w:rPr>
      <w:b w:val="0"/>
    </w:rPr>
  </w:style>
  <w:style w:type="paragraph" w:customStyle="1" w:styleId="922">
    <w:name w:val="条(四级)"/>
    <w:basedOn w:val="1"/>
    <w:next w:val="1"/>
    <w:qFormat/>
    <w:uiPriority w:val="99"/>
    <w:pPr>
      <w:keepNext/>
      <w:keepLines/>
      <w:widowControl w:val="0"/>
      <w:autoSpaceDE w:val="0"/>
      <w:autoSpaceDN w:val="0"/>
      <w:adjustRightInd w:val="0"/>
      <w:spacing w:line="460" w:lineRule="exact"/>
      <w:textAlignment w:val="baseline"/>
    </w:pPr>
    <w:rPr>
      <w:rFonts w:hAnsi="Times New Roman" w:cs="Times New Roman"/>
      <w:spacing w:val="3"/>
      <w:kern w:val="24"/>
      <w:sz w:val="26"/>
      <w:szCs w:val="20"/>
    </w:rPr>
  </w:style>
  <w:style w:type="paragraph" w:customStyle="1" w:styleId="923">
    <w:name w:val="Char Char Char1 Char Char Char Char Char Char Char2"/>
    <w:basedOn w:val="1"/>
    <w:qFormat/>
    <w:uiPriority w:val="99"/>
    <w:pPr>
      <w:widowControl w:val="0"/>
      <w:jc w:val="both"/>
    </w:pPr>
    <w:rPr>
      <w:rFonts w:ascii="Times New Roman" w:hAnsi="Times New Roman" w:cs="Times New Roman"/>
      <w:kern w:val="2"/>
      <w:sz w:val="21"/>
    </w:rPr>
  </w:style>
  <w:style w:type="paragraph" w:customStyle="1" w:styleId="924">
    <w:name w:val="Char Char Char Char Char Char1 Char"/>
    <w:basedOn w:val="1"/>
    <w:qFormat/>
    <w:uiPriority w:val="0"/>
    <w:pPr>
      <w:spacing w:after="160" w:line="240" w:lineRule="exact"/>
    </w:pPr>
    <w:rPr>
      <w:rFonts w:ascii="Arial" w:hAnsi="Arial" w:eastAsia="Times New Roman" w:cs="Times New Roman"/>
      <w:b/>
      <w:szCs w:val="20"/>
      <w:lang w:eastAsia="en-US"/>
    </w:rPr>
  </w:style>
  <w:style w:type="paragraph" w:customStyle="1" w:styleId="925">
    <w:name w:val="xl53"/>
    <w:basedOn w:val="1"/>
    <w:qFormat/>
    <w:uiPriority w:val="99"/>
    <w:pPr>
      <w:pBdr>
        <w:top w:val="single" w:color="auto" w:sz="8" w:space="0"/>
        <w:left w:val="single" w:color="auto" w:sz="4" w:space="0"/>
        <w:bottom w:val="single" w:color="auto" w:sz="8" w:space="0"/>
      </w:pBdr>
      <w:spacing w:before="100" w:beforeAutospacing="1" w:after="100" w:afterAutospacing="1"/>
    </w:pPr>
    <w:rPr>
      <w:rFonts w:eastAsia="仿宋_GB2312" w:cs="Times New Roman"/>
      <w:b/>
      <w:bCs/>
      <w:position w:val="-6"/>
      <w:szCs w:val="21"/>
    </w:rPr>
  </w:style>
  <w:style w:type="paragraph" w:customStyle="1" w:styleId="926">
    <w:name w:val="标题样式3"/>
    <w:basedOn w:val="7"/>
    <w:qFormat/>
    <w:uiPriority w:val="99"/>
    <w:pPr>
      <w:keepNext w:val="0"/>
      <w:widowControl w:val="0"/>
      <w:spacing w:line="360" w:lineRule="auto"/>
      <w:jc w:val="both"/>
    </w:pPr>
    <w:rPr>
      <w:rFonts w:ascii="黑体" w:cs="黑体"/>
      <w:b/>
      <w:color w:val="000000"/>
      <w:sz w:val="28"/>
      <w:szCs w:val="28"/>
      <w:lang w:val="zh-CN"/>
    </w:rPr>
  </w:style>
  <w:style w:type="paragraph" w:customStyle="1" w:styleId="927">
    <w:name w:val="Char Char Char1 Char Char Char"/>
    <w:basedOn w:val="1"/>
    <w:qFormat/>
    <w:uiPriority w:val="0"/>
    <w:pPr>
      <w:widowControl w:val="0"/>
      <w:jc w:val="both"/>
    </w:pPr>
    <w:rPr>
      <w:rFonts w:ascii="Times New Roman" w:hAnsi="Times New Roman" w:cs="Times New Roman"/>
      <w:kern w:val="2"/>
      <w:sz w:val="21"/>
    </w:rPr>
  </w:style>
  <w:style w:type="paragraph" w:customStyle="1" w:styleId="928">
    <w:name w:val="Char Char Char Char Char Char Char Char Char Char Char Char Char Char Char Char Char"/>
    <w:basedOn w:val="1"/>
    <w:qFormat/>
    <w:uiPriority w:val="0"/>
    <w:pPr>
      <w:widowControl w:val="0"/>
      <w:jc w:val="both"/>
    </w:pPr>
    <w:rPr>
      <w:rFonts w:ascii="Times New Roman" w:hAnsi="Times New Roman" w:cs="Times New Roman"/>
      <w:kern w:val="2"/>
      <w:sz w:val="21"/>
    </w:rPr>
  </w:style>
  <w:style w:type="paragraph" w:customStyle="1" w:styleId="929">
    <w:name w:val="列表 5R"/>
    <w:basedOn w:val="65"/>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930">
    <w:name w:val="xl64"/>
    <w:basedOn w:val="1"/>
    <w:qFormat/>
    <w:uiPriority w:val="99"/>
    <w:pPr>
      <w:pBdr>
        <w:left w:val="single" w:color="auto" w:sz="4" w:space="0"/>
      </w:pBdr>
      <w:spacing w:before="100" w:beforeAutospacing="1" w:after="100" w:afterAutospacing="1"/>
      <w:jc w:val="right"/>
    </w:pPr>
    <w:rPr>
      <w:rFonts w:eastAsia="仿宋_GB2312" w:cs="Times New Roman"/>
      <w:position w:val="-6"/>
    </w:rPr>
  </w:style>
  <w:style w:type="paragraph" w:customStyle="1" w:styleId="931">
    <w:name w:val="封面标准文稿类别"/>
    <w:semiHidden/>
    <w:qFormat/>
    <w:uiPriority w:val="99"/>
    <w:pPr>
      <w:spacing w:before="440" w:line="400" w:lineRule="exact"/>
      <w:jc w:val="center"/>
    </w:pPr>
    <w:rPr>
      <w:rFonts w:ascii="宋体" w:hAnsi="Times New Roman" w:eastAsia="宋体" w:cs="Times New Roman"/>
      <w:sz w:val="24"/>
      <w:lang w:val="en-US" w:eastAsia="zh-CN" w:bidi="ar-SA"/>
    </w:rPr>
  </w:style>
  <w:style w:type="paragraph" w:customStyle="1" w:styleId="932">
    <w:name w:val="xl51"/>
    <w:basedOn w:val="1"/>
    <w:qFormat/>
    <w:uiPriority w:val="99"/>
    <w:pPr>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933">
    <w:name w:val="标题11"/>
    <w:basedOn w:val="1"/>
    <w:next w:val="1"/>
    <w:qFormat/>
    <w:uiPriority w:val="99"/>
    <w:pPr>
      <w:widowControl w:val="0"/>
      <w:spacing w:beforeLines="100" w:afterLines="50" w:line="360" w:lineRule="auto"/>
      <w:outlineLvl w:val="0"/>
    </w:pPr>
    <w:rPr>
      <w:rFonts w:ascii="仿宋_GB2312" w:hAnsi="Times New Roman" w:eastAsia="黑体" w:cs="Times New Roman"/>
      <w:b/>
      <w:kern w:val="2"/>
      <w:sz w:val="28"/>
      <w:szCs w:val="20"/>
    </w:rPr>
  </w:style>
  <w:style w:type="paragraph" w:customStyle="1" w:styleId="934">
    <w:name w:val="样式 标题 2 + Times New Roman 小三 居中 行距: 固定值 20 磅"/>
    <w:basedOn w:val="5"/>
    <w:qFormat/>
    <w:uiPriority w:val="99"/>
    <w:pPr>
      <w:spacing w:before="260" w:after="260" w:line="400" w:lineRule="exact"/>
      <w:ind w:firstLine="538" w:firstLineChars="192"/>
    </w:pPr>
    <w:rPr>
      <w:rFonts w:ascii="Times New Roman" w:hAnsi="Times New Roman" w:cs="宋体"/>
      <w:b/>
      <w:bCs w:val="0"/>
      <w:sz w:val="30"/>
      <w:szCs w:val="20"/>
    </w:rPr>
  </w:style>
  <w:style w:type="paragraph" w:customStyle="1" w:styleId="935">
    <w:name w:val="Char Char Char Char Char Char1 Char1"/>
    <w:basedOn w:val="1"/>
    <w:qFormat/>
    <w:uiPriority w:val="99"/>
    <w:pPr>
      <w:widowControl w:val="0"/>
      <w:jc w:val="both"/>
    </w:pPr>
    <w:rPr>
      <w:rFonts w:ascii="Times New Roman" w:hAnsi="Times New Roman" w:cs="Times New Roman"/>
      <w:kern w:val="2"/>
      <w:sz w:val="21"/>
    </w:rPr>
  </w:style>
  <w:style w:type="paragraph" w:customStyle="1" w:styleId="936">
    <w:name w:val="标题样工7"/>
    <w:basedOn w:val="1"/>
    <w:qFormat/>
    <w:uiPriority w:val="99"/>
    <w:pPr>
      <w:jc w:val="both"/>
    </w:pPr>
    <w:rPr>
      <w:rFonts w:ascii="华文楷体" w:hAnsi="华文楷体" w:eastAsia="仿宋_GB2312" w:cs="Times New Roman"/>
      <w:position w:val="-6"/>
      <w:szCs w:val="20"/>
    </w:rPr>
  </w:style>
  <w:style w:type="paragraph" w:customStyle="1" w:styleId="937">
    <w:name w:val="xl109"/>
    <w:basedOn w:val="1"/>
    <w:qFormat/>
    <w:uiPriority w:val="99"/>
    <w:pPr>
      <w:pBdr>
        <w:top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938">
    <w:name w:val="xl49"/>
    <w:basedOn w:val="1"/>
    <w:qFormat/>
    <w:uiPriority w:val="99"/>
    <w:pPr>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939">
    <w:name w:val="CM8"/>
    <w:basedOn w:val="103"/>
    <w:next w:val="103"/>
    <w:qFormat/>
    <w:uiPriority w:val="99"/>
    <w:pPr>
      <w:autoSpaceDE w:val="0"/>
      <w:autoSpaceDN w:val="0"/>
      <w:spacing w:line="466" w:lineRule="atLeast"/>
    </w:pPr>
    <w:rPr>
      <w:color w:val="auto"/>
    </w:rPr>
  </w:style>
  <w:style w:type="paragraph" w:customStyle="1" w:styleId="940">
    <w:name w:val="CM17"/>
    <w:basedOn w:val="103"/>
    <w:next w:val="103"/>
    <w:qFormat/>
    <w:uiPriority w:val="99"/>
    <w:pPr>
      <w:autoSpaceDE w:val="0"/>
      <w:autoSpaceDN w:val="0"/>
    </w:pPr>
    <w:rPr>
      <w:color w:val="auto"/>
    </w:rPr>
  </w:style>
  <w:style w:type="paragraph" w:customStyle="1" w:styleId="941">
    <w:name w:val="湛江钢铁表标题"/>
    <w:basedOn w:val="1"/>
    <w:qFormat/>
    <w:uiPriority w:val="99"/>
    <w:pPr>
      <w:widowControl w:val="0"/>
      <w:spacing w:beforeLines="50" w:line="360" w:lineRule="auto"/>
      <w:ind w:firstLine="480" w:firstLineChars="200"/>
      <w:jc w:val="center"/>
    </w:pPr>
    <w:rPr>
      <w:rFonts w:ascii="Times New Roman" w:hAnsi="Times New Roman" w:eastAsia="仿宋_GB2312" w:cs="Times New Roman"/>
      <w:color w:val="000000"/>
    </w:rPr>
  </w:style>
  <w:style w:type="paragraph" w:customStyle="1" w:styleId="942">
    <w:name w:val="样式 四号 行距: 1.5 倍行距"/>
    <w:basedOn w:val="1"/>
    <w:qFormat/>
    <w:uiPriority w:val="0"/>
    <w:pPr>
      <w:widowControl w:val="0"/>
      <w:spacing w:line="360" w:lineRule="auto"/>
      <w:ind w:firstLine="560" w:firstLineChars="200"/>
      <w:jc w:val="both"/>
    </w:pPr>
    <w:rPr>
      <w:rFonts w:ascii="Times New Roman" w:hAnsi="Times New Roman"/>
      <w:kern w:val="2"/>
      <w:sz w:val="28"/>
      <w:szCs w:val="20"/>
    </w:rPr>
  </w:style>
  <w:style w:type="paragraph" w:customStyle="1" w:styleId="943">
    <w:name w:val="表中文字----------------"/>
    <w:basedOn w:val="1"/>
    <w:qFormat/>
    <w:uiPriority w:val="99"/>
    <w:pPr>
      <w:widowControl w:val="0"/>
      <w:jc w:val="center"/>
    </w:pPr>
    <w:rPr>
      <w:rFonts w:ascii="Times New Roman" w:hAnsi="Times New Roman" w:cs="Times New Roman"/>
      <w:kern w:val="2"/>
      <w:sz w:val="21"/>
      <w:szCs w:val="20"/>
    </w:rPr>
  </w:style>
  <w:style w:type="paragraph" w:customStyle="1" w:styleId="944">
    <w:name w:val="nub2.4"/>
    <w:qFormat/>
    <w:uiPriority w:val="0"/>
    <w:pPr>
      <w:widowControl w:val="0"/>
      <w:tabs>
        <w:tab w:val="left" w:pos="288"/>
        <w:tab w:val="left" w:pos="1721"/>
        <w:tab w:val="left" w:pos="2776"/>
        <w:tab w:val="left" w:pos="3568"/>
        <w:tab w:val="left" w:pos="4392"/>
        <w:tab w:val="left" w:pos="5052"/>
        <w:tab w:val="left" w:pos="5943"/>
        <w:tab w:val="left" w:pos="6553"/>
        <w:tab w:val="left" w:pos="6982"/>
        <w:tab w:val="left" w:pos="7807"/>
      </w:tabs>
      <w:autoSpaceDE w:val="0"/>
      <w:autoSpaceDN w:val="0"/>
      <w:adjustRightInd w:val="0"/>
      <w:spacing w:before="43" w:after="43" w:line="302" w:lineRule="atLeast"/>
      <w:ind w:left="604"/>
    </w:pPr>
    <w:rPr>
      <w:rFonts w:ascii="Arial" w:hAnsi="Arial" w:eastAsia="宋体" w:cs="Times New Roman"/>
      <w:color w:val="000000"/>
      <w:lang w:val="en-US" w:eastAsia="zh-CN" w:bidi="ar-SA"/>
    </w:rPr>
  </w:style>
  <w:style w:type="paragraph" w:customStyle="1" w:styleId="945">
    <w:name w:val="样式 标题 3 + 宋体 小四 非加粗"/>
    <w:basedOn w:val="7"/>
    <w:qFormat/>
    <w:uiPriority w:val="99"/>
    <w:pPr>
      <w:widowControl w:val="0"/>
      <w:tabs>
        <w:tab w:val="left" w:pos="720"/>
      </w:tabs>
      <w:spacing w:before="260" w:after="260" w:line="416" w:lineRule="auto"/>
      <w:ind w:left="720" w:hanging="720"/>
      <w:jc w:val="both"/>
    </w:pPr>
    <w:rPr>
      <w:rFonts w:ascii="宋体" w:hAnsi="宋体" w:eastAsia="宋体"/>
      <w:bCs w:val="0"/>
      <w:sz w:val="24"/>
    </w:rPr>
  </w:style>
  <w:style w:type="paragraph" w:customStyle="1" w:styleId="946">
    <w:name w:val="xl68"/>
    <w:basedOn w:val="1"/>
    <w:qFormat/>
    <w:uiPriority w:val="99"/>
    <w:pPr>
      <w:pBdr>
        <w:bottom w:val="single" w:color="auto" w:sz="4" w:space="0"/>
        <w:right w:val="single" w:color="auto" w:sz="8" w:space="0"/>
      </w:pBdr>
      <w:spacing w:before="100" w:beforeAutospacing="1" w:after="100" w:afterAutospacing="1"/>
      <w:jc w:val="center"/>
    </w:pPr>
    <w:rPr>
      <w:rFonts w:eastAsia="仿宋_GB2312" w:cs="Times New Roman"/>
      <w:position w:val="-6"/>
      <w:szCs w:val="21"/>
    </w:rPr>
  </w:style>
  <w:style w:type="paragraph" w:customStyle="1" w:styleId="947">
    <w:name w:val="小5"/>
    <w:basedOn w:val="1"/>
    <w:qFormat/>
    <w:uiPriority w:val="99"/>
    <w:pPr>
      <w:adjustRightInd w:val="0"/>
      <w:snapToGrid w:val="0"/>
      <w:spacing w:line="400" w:lineRule="exact"/>
      <w:jc w:val="center"/>
    </w:pPr>
    <w:rPr>
      <w:rFonts w:cs="Times New Roman"/>
      <w:sz w:val="21"/>
      <w:szCs w:val="21"/>
    </w:rPr>
  </w:style>
  <w:style w:type="paragraph" w:customStyle="1" w:styleId="948">
    <w:name w:val="列表 2U"/>
    <w:basedOn w:val="37"/>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949">
    <w:name w:val="表内小5中"/>
    <w:basedOn w:val="1"/>
    <w:qFormat/>
    <w:uiPriority w:val="99"/>
    <w:pPr>
      <w:widowControl w:val="0"/>
      <w:jc w:val="both"/>
    </w:pPr>
    <w:rPr>
      <w:rFonts w:hAnsi="Times New Roman" w:cs="Times New Roman"/>
      <w:kern w:val="2"/>
      <w:sz w:val="18"/>
      <w:szCs w:val="18"/>
    </w:rPr>
  </w:style>
  <w:style w:type="paragraph" w:customStyle="1" w:styleId="950">
    <w:name w:val="样式 标题 2节标题 1.1标题节第一层条H2Heading 2 HiddenHeading 2 CCBSPIM2..."/>
    <w:basedOn w:val="5"/>
    <w:qFormat/>
    <w:uiPriority w:val="99"/>
    <w:pPr>
      <w:widowControl w:val="0"/>
      <w:spacing w:before="260" w:after="260" w:line="415" w:lineRule="auto"/>
      <w:jc w:val="both"/>
    </w:pPr>
    <w:rPr>
      <w:rFonts w:ascii="Arial" w:hAnsi="Arial"/>
      <w:b/>
      <w:sz w:val="32"/>
      <w:szCs w:val="20"/>
    </w:rPr>
  </w:style>
  <w:style w:type="paragraph" w:customStyle="1" w:styleId="951">
    <w:name w:val="font11"/>
    <w:basedOn w:val="1"/>
    <w:qFormat/>
    <w:uiPriority w:val="99"/>
    <w:pPr>
      <w:spacing w:before="100" w:beforeAutospacing="1" w:after="100" w:afterAutospacing="1"/>
    </w:pPr>
    <w:rPr>
      <w:rFonts w:hint="eastAsia" w:cs="Arial Unicode MS"/>
      <w:b/>
      <w:bCs/>
      <w:sz w:val="20"/>
      <w:szCs w:val="20"/>
    </w:rPr>
  </w:style>
  <w:style w:type="paragraph" w:customStyle="1" w:styleId="952">
    <w:name w:val="表格内容格式"/>
    <w:basedOn w:val="1"/>
    <w:qFormat/>
    <w:uiPriority w:val="99"/>
    <w:pPr>
      <w:widowControl w:val="0"/>
      <w:adjustRightInd w:val="0"/>
      <w:snapToGrid w:val="0"/>
      <w:jc w:val="center"/>
      <w:textAlignment w:val="baseline"/>
    </w:pPr>
    <w:rPr>
      <w:rFonts w:cs="Times New Roman"/>
      <w:snapToGrid w:val="0"/>
      <w:sz w:val="21"/>
      <w:szCs w:val="20"/>
    </w:rPr>
  </w:style>
  <w:style w:type="paragraph" w:customStyle="1" w:styleId="953">
    <w:name w:val="xl76"/>
    <w:basedOn w:val="1"/>
    <w:qFormat/>
    <w:uiPriority w:val="99"/>
    <w:pPr>
      <w:pBdr>
        <w:top w:val="single" w:color="auto" w:sz="8"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954">
    <w:name w:val="xl56"/>
    <w:basedOn w:val="1"/>
    <w:qFormat/>
    <w:uiPriority w:val="99"/>
    <w:pPr>
      <w:pBdr>
        <w:top w:val="single" w:color="auto" w:sz="8" w:space="0"/>
        <w:left w:val="single" w:color="auto" w:sz="4" w:space="0"/>
        <w:bottom w:val="single" w:color="auto" w:sz="4" w:space="0"/>
      </w:pBdr>
      <w:spacing w:before="100" w:beforeAutospacing="1" w:after="100" w:afterAutospacing="1"/>
      <w:jc w:val="center"/>
    </w:pPr>
    <w:rPr>
      <w:rFonts w:eastAsia="仿宋_GB2312" w:cs="Times New Roman"/>
      <w:position w:val="-6"/>
      <w:szCs w:val="21"/>
    </w:rPr>
  </w:style>
  <w:style w:type="paragraph" w:customStyle="1" w:styleId="955">
    <w:name w:val="报告书正文"/>
    <w:basedOn w:val="1"/>
    <w:qFormat/>
    <w:uiPriority w:val="0"/>
    <w:pPr>
      <w:widowControl w:val="0"/>
      <w:adjustRightInd w:val="0"/>
      <w:spacing w:line="360" w:lineRule="exact"/>
      <w:ind w:firstLine="454"/>
      <w:jc w:val="both"/>
      <w:textAlignment w:val="baseline"/>
    </w:pPr>
    <w:rPr>
      <w:rFonts w:ascii="Times New Roman" w:hAnsi="Times New Roman" w:cs="Times New Roman"/>
      <w:szCs w:val="20"/>
    </w:rPr>
  </w:style>
  <w:style w:type="paragraph" w:customStyle="1" w:styleId="956">
    <w:name w:val="列表 4M"/>
    <w:basedOn w:val="71"/>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957">
    <w:name w:val="Job Title"/>
    <w:next w:val="891"/>
    <w:qFormat/>
    <w:uiPriority w:val="99"/>
    <w:pPr>
      <w:spacing w:after="40" w:line="220" w:lineRule="atLeast"/>
    </w:pPr>
    <w:rPr>
      <w:rFonts w:ascii="Arial" w:hAnsi="Arial" w:eastAsia="宋体" w:cs="Times New Roman"/>
      <w:b/>
      <w:spacing w:val="-10"/>
      <w:lang w:val="en-US" w:eastAsia="zh-CN" w:bidi="ar-SA"/>
    </w:rPr>
  </w:style>
  <w:style w:type="paragraph" w:customStyle="1" w:styleId="958">
    <w:name w:val="列表 M"/>
    <w:basedOn w:val="3"/>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959">
    <w:name w:val="编制人员"/>
    <w:basedOn w:val="1"/>
    <w:qFormat/>
    <w:uiPriority w:val="99"/>
    <w:pPr>
      <w:keepNext/>
      <w:widowControl w:val="0"/>
      <w:tabs>
        <w:tab w:val="left" w:pos="2190"/>
      </w:tabs>
      <w:adjustRightInd w:val="0"/>
      <w:snapToGrid w:val="0"/>
      <w:spacing w:line="360" w:lineRule="auto"/>
      <w:jc w:val="center"/>
    </w:pPr>
    <w:rPr>
      <w:rFonts w:ascii="黑体" w:eastAsia="黑体" w:cs="Times New Roman"/>
      <w:kern w:val="2"/>
      <w:sz w:val="32"/>
      <w:szCs w:val="28"/>
    </w:rPr>
  </w:style>
  <w:style w:type="paragraph" w:customStyle="1" w:styleId="960">
    <w:name w:val="样式 正文缩进 + 小四1"/>
    <w:basedOn w:val="6"/>
    <w:qFormat/>
    <w:uiPriority w:val="99"/>
    <w:pPr>
      <w:keepNext/>
      <w:widowControl w:val="0"/>
      <w:tabs>
        <w:tab w:val="left" w:pos="1727"/>
        <w:tab w:val="left" w:pos="1884"/>
      </w:tabs>
      <w:spacing w:line="360" w:lineRule="auto"/>
      <w:ind w:firstLine="480"/>
      <w:outlineLvl w:val="0"/>
    </w:pPr>
    <w:rPr>
      <w:rFonts w:ascii="宋体" w:hAnsi="宋体" w:cs="宋体"/>
      <w:snapToGrid w:val="0"/>
      <w:color w:val="000000"/>
    </w:rPr>
  </w:style>
  <w:style w:type="character" w:customStyle="1" w:styleId="961">
    <w:name w:val="z-窗体顶端 Char2"/>
    <w:basedOn w:val="85"/>
    <w:semiHidden/>
    <w:qFormat/>
    <w:uiPriority w:val="99"/>
    <w:rPr>
      <w:rFonts w:ascii="Arial" w:hAnsi="Arial" w:cs="Arial"/>
      <w:vanish/>
      <w:sz w:val="16"/>
      <w:szCs w:val="16"/>
    </w:rPr>
  </w:style>
  <w:style w:type="paragraph" w:customStyle="1" w:styleId="962">
    <w:name w:val="内蒙4="/>
    <w:basedOn w:val="1"/>
    <w:qFormat/>
    <w:uiPriority w:val="99"/>
    <w:pPr>
      <w:widowControl w:val="0"/>
      <w:spacing w:line="480" w:lineRule="exact"/>
      <w:jc w:val="both"/>
      <w:outlineLvl w:val="3"/>
    </w:pPr>
    <w:rPr>
      <w:rFonts w:ascii="Times New Roman" w:cs="Times New Roman"/>
      <w:b/>
      <w:color w:val="FF0000"/>
      <w:spacing w:val="20"/>
      <w:kern w:val="2"/>
    </w:rPr>
  </w:style>
  <w:style w:type="paragraph" w:customStyle="1" w:styleId="963">
    <w:name w:val="小四表文左齐"/>
    <w:basedOn w:val="1"/>
    <w:qFormat/>
    <w:uiPriority w:val="99"/>
    <w:pPr>
      <w:jc w:val="center"/>
    </w:pPr>
    <w:rPr>
      <w:rFonts w:ascii="Times New Roman" w:hAnsi="Times New Roman" w:eastAsia="仿宋_GB2312" w:cs="Times New Roman"/>
      <w:bCs/>
      <w:spacing w:val="6"/>
      <w:kern w:val="16"/>
      <w:sz w:val="28"/>
      <w:szCs w:val="21"/>
    </w:rPr>
  </w:style>
  <w:style w:type="paragraph" w:customStyle="1" w:styleId="964">
    <w:name w:val="xl57"/>
    <w:basedOn w:val="1"/>
    <w:qFormat/>
    <w:uiPriority w:val="99"/>
    <w:pPr>
      <w:pBdr>
        <w:top w:val="single" w:color="auto" w:sz="8" w:space="0"/>
        <w:bottom w:val="single" w:color="auto" w:sz="4" w:space="0"/>
      </w:pBdr>
      <w:spacing w:before="100" w:beforeAutospacing="1" w:after="100" w:afterAutospacing="1"/>
      <w:jc w:val="center"/>
    </w:pPr>
    <w:rPr>
      <w:rFonts w:eastAsia="仿宋_GB2312" w:cs="Times New Roman"/>
      <w:position w:val="-6"/>
      <w:szCs w:val="21"/>
    </w:rPr>
  </w:style>
  <w:style w:type="paragraph" w:customStyle="1" w:styleId="965">
    <w:name w:val="样式 标题 2h22Header 2nd PageA.B.C.h2 main h标题2 + 仿宋_GB2312 行距..."/>
    <w:basedOn w:val="5"/>
    <w:qFormat/>
    <w:uiPriority w:val="0"/>
    <w:pPr>
      <w:spacing w:before="260" w:after="260" w:line="360" w:lineRule="auto"/>
      <w:ind w:firstLine="455" w:firstLineChars="162"/>
    </w:pPr>
    <w:rPr>
      <w:rFonts w:ascii="仿宋_GB2312" w:hAnsi="ˎ̥" w:eastAsia="仿宋_GB2312"/>
      <w:szCs w:val="20"/>
    </w:rPr>
  </w:style>
  <w:style w:type="paragraph" w:customStyle="1" w:styleId="966">
    <w:name w:val="Char1 Char Char Char Char Char1 Char1"/>
    <w:basedOn w:val="1"/>
    <w:qFormat/>
    <w:uiPriority w:val="99"/>
    <w:pPr>
      <w:widowControl w:val="0"/>
      <w:jc w:val="both"/>
    </w:pPr>
    <w:rPr>
      <w:rFonts w:ascii="Tahoma" w:hAnsi="Tahoma" w:cs="Times New Roman"/>
      <w:kern w:val="2"/>
      <w:szCs w:val="20"/>
    </w:rPr>
  </w:style>
  <w:style w:type="paragraph" w:customStyle="1" w:styleId="967">
    <w:name w:val="样式 标题 1 + 两端对齐"/>
    <w:basedOn w:val="4"/>
    <w:qFormat/>
    <w:uiPriority w:val="99"/>
    <w:pPr>
      <w:keepLines/>
      <w:widowControl w:val="0"/>
      <w:tabs>
        <w:tab w:val="left" w:pos="720"/>
      </w:tabs>
      <w:spacing w:beforeLines="100" w:afterLines="100" w:line="312" w:lineRule="auto"/>
      <w:ind w:left="-4" w:firstLine="4"/>
    </w:pPr>
    <w:rPr>
      <w:rFonts w:ascii="Times New Roman" w:hAnsi="Times New Roman" w:cs="宋体"/>
      <w:bCs/>
      <w:kern w:val="44"/>
      <w:szCs w:val="20"/>
    </w:rPr>
  </w:style>
  <w:style w:type="paragraph" w:customStyle="1" w:styleId="968">
    <w:name w:val="121111111111"/>
    <w:basedOn w:val="1"/>
    <w:qFormat/>
    <w:uiPriority w:val="99"/>
    <w:pPr>
      <w:widowControl w:val="0"/>
      <w:spacing w:line="460" w:lineRule="exact"/>
      <w:jc w:val="center"/>
    </w:pPr>
    <w:rPr>
      <w:rFonts w:ascii="Times New Roman" w:hAnsi="Times New Roman" w:eastAsia="黑体" w:cs="Times New Roman"/>
      <w:color w:val="000000"/>
      <w:spacing w:val="16"/>
      <w:kern w:val="2"/>
    </w:rPr>
  </w:style>
  <w:style w:type="paragraph" w:customStyle="1" w:styleId="969">
    <w:name w:val="Main"/>
    <w:basedOn w:val="1"/>
    <w:qFormat/>
    <w:uiPriority w:val="0"/>
    <w:pPr>
      <w:widowControl w:val="0"/>
      <w:spacing w:line="480" w:lineRule="atLeast"/>
      <w:ind w:left="400" w:leftChars="400" w:right="400" w:firstLine="200"/>
      <w:jc w:val="both"/>
    </w:pPr>
    <w:rPr>
      <w:rFonts w:hint="eastAsia" w:ascii="Tahoma" w:hAnsi="Tahoma" w:cs="Times New Roman"/>
      <w:kern w:val="2"/>
      <w:sz w:val="21"/>
      <w:szCs w:val="21"/>
    </w:rPr>
  </w:style>
  <w:style w:type="paragraph" w:customStyle="1" w:styleId="970">
    <w:name w:val="表标题1.7－2"/>
    <w:basedOn w:val="1"/>
    <w:qFormat/>
    <w:uiPriority w:val="99"/>
    <w:pPr>
      <w:widowControl w:val="0"/>
      <w:spacing w:beforeLines="100" w:line="0" w:lineRule="atLeast"/>
      <w:jc w:val="both"/>
    </w:pPr>
    <w:rPr>
      <w:rFonts w:ascii="Times New Roman" w:hAnsi="Times New Roman" w:cs="Times New Roman"/>
      <w:color w:val="000000"/>
      <w:kern w:val="2"/>
    </w:rPr>
  </w:style>
  <w:style w:type="paragraph" w:customStyle="1" w:styleId="971">
    <w:name w:val="样式 标题 3H3条标题1.1.11.1.1标题 3H31H32H33u3标题 3 Char Char Char...1"/>
    <w:basedOn w:val="7"/>
    <w:qFormat/>
    <w:uiPriority w:val="99"/>
    <w:pPr>
      <w:spacing w:beforeLines="100" w:afterLines="50" w:line="240" w:lineRule="auto"/>
    </w:pPr>
    <w:rPr>
      <w:rFonts w:cs="宋体"/>
      <w:b/>
      <w:kern w:val="28"/>
      <w:sz w:val="30"/>
      <w:szCs w:val="20"/>
    </w:rPr>
  </w:style>
  <w:style w:type="paragraph" w:customStyle="1" w:styleId="972">
    <w:name w:val="xl67"/>
    <w:basedOn w:val="1"/>
    <w:qFormat/>
    <w:uiPriority w:val="99"/>
    <w:pPr>
      <w:pBdr>
        <w:bottom w:val="single" w:color="auto" w:sz="8" w:space="0"/>
      </w:pBdr>
      <w:spacing w:before="100" w:beforeAutospacing="1" w:after="100" w:afterAutospacing="1"/>
      <w:jc w:val="right"/>
    </w:pPr>
    <w:rPr>
      <w:rFonts w:eastAsia="仿宋_GB2312" w:cs="Times New Roman"/>
      <w:position w:val="-6"/>
      <w:szCs w:val="21"/>
    </w:rPr>
  </w:style>
  <w:style w:type="paragraph" w:customStyle="1" w:styleId="973">
    <w:name w:val="表内5中9"/>
    <w:basedOn w:val="1"/>
    <w:qFormat/>
    <w:uiPriority w:val="99"/>
    <w:pPr>
      <w:widowControl w:val="0"/>
      <w:adjustRightInd w:val="0"/>
      <w:snapToGrid w:val="0"/>
      <w:jc w:val="center"/>
    </w:pPr>
    <w:rPr>
      <w:rFonts w:ascii="Times New Roman" w:cs="Times New Roman"/>
      <w:snapToGrid w:val="0"/>
      <w:sz w:val="18"/>
      <w:szCs w:val="18"/>
    </w:rPr>
  </w:style>
  <w:style w:type="paragraph" w:customStyle="1" w:styleId="974">
    <w:name w:val="简单回函地址"/>
    <w:basedOn w:val="1"/>
    <w:qFormat/>
    <w:uiPriority w:val="99"/>
    <w:pPr>
      <w:widowControl w:val="0"/>
      <w:jc w:val="both"/>
    </w:pPr>
    <w:rPr>
      <w:rFonts w:cs="Times New Roman"/>
      <w:kern w:val="2"/>
      <w:szCs w:val="32"/>
    </w:rPr>
  </w:style>
  <w:style w:type="paragraph" w:customStyle="1" w:styleId="975">
    <w:name w:val="样式 页眉 + 宋体 黑色 段前: 0 磅 段后: 0 磅 行距: 固定值 12 磅2"/>
    <w:basedOn w:val="55"/>
    <w:qFormat/>
    <w:uiPriority w:val="0"/>
    <w:pPr>
      <w:widowControl w:val="0"/>
      <w:pBdr>
        <w:bottom w:val="none" w:color="auto" w:sz="0" w:space="0"/>
      </w:pBdr>
      <w:tabs>
        <w:tab w:val="clear" w:pos="4153"/>
        <w:tab w:val="clear" w:pos="8306"/>
      </w:tabs>
      <w:spacing w:line="240" w:lineRule="exact"/>
    </w:pPr>
    <w:rPr>
      <w:rFonts w:ascii="宋体" w:hAnsi="宋体"/>
      <w:color w:val="000000"/>
      <w:kern w:val="0"/>
      <w:sz w:val="21"/>
      <w:szCs w:val="20"/>
    </w:rPr>
  </w:style>
  <w:style w:type="paragraph" w:customStyle="1" w:styleId="976">
    <w:name w:val="tian"/>
    <w:basedOn w:val="1"/>
    <w:qFormat/>
    <w:uiPriority w:val="99"/>
    <w:pPr>
      <w:widowControl w:val="0"/>
      <w:jc w:val="both"/>
    </w:pPr>
    <w:rPr>
      <w:rFonts w:ascii="Times New Roman" w:hAnsi="Times New Roman" w:cs="Times New Roman"/>
      <w:kern w:val="2"/>
      <w:szCs w:val="20"/>
    </w:rPr>
  </w:style>
  <w:style w:type="paragraph" w:customStyle="1" w:styleId="977">
    <w:name w:val="xl75"/>
    <w:basedOn w:val="1"/>
    <w:qFormat/>
    <w:uiPriority w:val="99"/>
    <w:pPr>
      <w:pBdr>
        <w:top w:val="single" w:color="auto" w:sz="4" w:space="0"/>
        <w:bottom w:val="single" w:color="auto" w:sz="4" w:space="0"/>
        <w:right w:val="single" w:color="auto" w:sz="4" w:space="0"/>
      </w:pBdr>
      <w:spacing w:before="100" w:beforeAutospacing="1" w:after="100" w:afterAutospacing="1"/>
    </w:pPr>
    <w:rPr>
      <w:rFonts w:eastAsia="仿宋_GB2312" w:cs="Times New Roman"/>
      <w:position w:val="-6"/>
    </w:rPr>
  </w:style>
  <w:style w:type="paragraph" w:customStyle="1" w:styleId="978">
    <w:name w:val="xl2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sz w:val="18"/>
      <w:szCs w:val="18"/>
    </w:rPr>
  </w:style>
  <w:style w:type="paragraph" w:customStyle="1" w:styleId="979">
    <w:name w:val="4级样式"/>
    <w:basedOn w:val="8"/>
    <w:qFormat/>
    <w:uiPriority w:val="0"/>
    <w:pPr>
      <w:widowControl w:val="0"/>
      <w:spacing w:line="360" w:lineRule="auto"/>
      <w:jc w:val="both"/>
    </w:pPr>
    <w:rPr>
      <w:rFonts w:ascii="黑体" w:hAnsi="黑体" w:eastAsia="黑体" w:cs="Times New Roman"/>
      <w:szCs w:val="24"/>
    </w:rPr>
  </w:style>
  <w:style w:type="paragraph" w:customStyle="1" w:styleId="980">
    <w:name w:val="表内字新"/>
    <w:next w:val="1"/>
    <w:qFormat/>
    <w:uiPriority w:val="99"/>
    <w:pPr>
      <w:suppressAutoHyphens/>
      <w:adjustRightInd w:val="0"/>
      <w:spacing w:line="0" w:lineRule="atLeast"/>
      <w:jc w:val="center"/>
    </w:pPr>
    <w:rPr>
      <w:rFonts w:ascii="Times New Roman" w:hAnsi="Times New Roman" w:eastAsia="宋体" w:cs="Times New Roman"/>
      <w:sz w:val="21"/>
      <w:lang w:val="en-US" w:eastAsia="zh-CN" w:bidi="ar-SA"/>
    </w:rPr>
  </w:style>
  <w:style w:type="paragraph" w:customStyle="1" w:styleId="981">
    <w:name w:val="样式 标题 1 + 自动设置"/>
    <w:basedOn w:val="4"/>
    <w:qFormat/>
    <w:uiPriority w:val="99"/>
    <w:pPr>
      <w:keepNext/>
      <w:keepLines/>
      <w:widowControl w:val="0"/>
      <w:tabs>
        <w:tab w:val="left" w:pos="700"/>
        <w:tab w:val="left" w:pos="1440"/>
      </w:tabs>
      <w:autoSpaceDE w:val="0"/>
      <w:autoSpaceDN w:val="0"/>
      <w:adjustRightInd w:val="0"/>
      <w:spacing w:line="700" w:lineRule="exact"/>
      <w:ind w:left="431" w:hanging="431"/>
      <w:jc w:val="center"/>
    </w:pPr>
    <w:rPr>
      <w:rFonts w:ascii="Times New Roman" w:hAnsi="Times New Roman" w:eastAsia="宋体"/>
      <w:bCs/>
      <w:kern w:val="44"/>
      <w:szCs w:val="20"/>
    </w:rPr>
  </w:style>
  <w:style w:type="paragraph" w:customStyle="1" w:styleId="982">
    <w:name w:val="标题样式1"/>
    <w:basedOn w:val="32"/>
    <w:qFormat/>
    <w:uiPriority w:val="99"/>
    <w:pPr>
      <w:widowControl w:val="0"/>
      <w:adjustRightInd w:val="0"/>
      <w:snapToGrid w:val="0"/>
      <w:spacing w:line="0" w:lineRule="atLeast"/>
      <w:jc w:val="center"/>
      <w:textAlignment w:val="baseline"/>
    </w:pPr>
    <w:rPr>
      <w:rFonts w:ascii="Times New Roman" w:hAnsi="Times New Roman"/>
      <w:b/>
      <w:bCs/>
      <w:snapToGrid w:val="0"/>
      <w:color w:val="auto"/>
      <w:kern w:val="0"/>
      <w:szCs w:val="20"/>
    </w:rPr>
  </w:style>
  <w:style w:type="paragraph" w:customStyle="1" w:styleId="983">
    <w:name w:val="表格03"/>
    <w:basedOn w:val="1"/>
    <w:qFormat/>
    <w:uiPriority w:val="0"/>
    <w:pPr>
      <w:widowControl w:val="0"/>
      <w:spacing w:line="400" w:lineRule="atLeast"/>
      <w:jc w:val="center"/>
    </w:pPr>
    <w:rPr>
      <w:rFonts w:ascii="Times New Roman" w:hAnsi="Times New Roman" w:cs="Times New Roman"/>
      <w:kern w:val="2"/>
      <w:sz w:val="21"/>
      <w:szCs w:val="21"/>
    </w:rPr>
  </w:style>
  <w:style w:type="paragraph" w:customStyle="1" w:styleId="984">
    <w:name w:val="样式4"/>
    <w:basedOn w:val="6"/>
    <w:qFormat/>
    <w:uiPriority w:val="99"/>
    <w:pPr>
      <w:widowControl w:val="0"/>
      <w:adjustRightInd w:val="0"/>
      <w:snapToGrid w:val="0"/>
      <w:spacing w:line="360" w:lineRule="auto"/>
      <w:ind w:firstLine="420"/>
      <w:textAlignment w:val="baseline"/>
    </w:pPr>
    <w:rPr>
      <w:rFonts w:ascii="Times New Roman" w:hAnsi="Times New Roman"/>
      <w:sz w:val="24"/>
    </w:rPr>
  </w:style>
  <w:style w:type="paragraph" w:customStyle="1" w:styleId="985">
    <w:name w:val="CM10"/>
    <w:basedOn w:val="103"/>
    <w:next w:val="103"/>
    <w:qFormat/>
    <w:uiPriority w:val="99"/>
    <w:pPr>
      <w:autoSpaceDE w:val="0"/>
      <w:autoSpaceDN w:val="0"/>
      <w:spacing w:line="468" w:lineRule="atLeast"/>
    </w:pPr>
    <w:rPr>
      <w:color w:val="auto"/>
    </w:rPr>
  </w:style>
  <w:style w:type="paragraph" w:customStyle="1" w:styleId="986">
    <w:name w:val="默认段落字体 Para Char Char Char Char Char Char Char Char Char Char Char Char Char Char Char Char"/>
    <w:basedOn w:val="1"/>
    <w:qFormat/>
    <w:uiPriority w:val="99"/>
    <w:pPr>
      <w:widowControl w:val="0"/>
      <w:spacing w:line="360" w:lineRule="auto"/>
      <w:ind w:firstLine="200" w:firstLineChars="200"/>
      <w:jc w:val="both"/>
    </w:pPr>
    <w:rPr>
      <w:kern w:val="2"/>
    </w:rPr>
  </w:style>
  <w:style w:type="paragraph" w:customStyle="1" w:styleId="987">
    <w:name w:val="lyh 正文"/>
    <w:basedOn w:val="66"/>
    <w:qFormat/>
    <w:uiPriority w:val="0"/>
    <w:pPr>
      <w:adjustRightInd w:val="0"/>
      <w:snapToGrid w:val="0"/>
      <w:spacing w:after="0" w:line="360" w:lineRule="auto"/>
      <w:ind w:left="0" w:leftChars="0" w:firstLine="200" w:firstLineChars="200"/>
    </w:pPr>
    <w:rPr>
      <w:rFonts w:ascii="宋体"/>
      <w:sz w:val="28"/>
      <w:szCs w:val="28"/>
    </w:rPr>
  </w:style>
  <w:style w:type="paragraph" w:customStyle="1" w:styleId="988">
    <w:name w:val="Char1 Char Char Char Char Char1 Char"/>
    <w:basedOn w:val="1"/>
    <w:qFormat/>
    <w:uiPriority w:val="0"/>
    <w:pPr>
      <w:widowControl w:val="0"/>
      <w:jc w:val="both"/>
    </w:pPr>
    <w:rPr>
      <w:rFonts w:ascii="Tahoma" w:hAnsi="Tahoma" w:cs="Times New Roman"/>
      <w:kern w:val="2"/>
      <w:szCs w:val="20"/>
    </w:rPr>
  </w:style>
  <w:style w:type="paragraph" w:customStyle="1" w:styleId="989">
    <w:name w:val="CM70"/>
    <w:basedOn w:val="103"/>
    <w:next w:val="103"/>
    <w:qFormat/>
    <w:uiPriority w:val="99"/>
    <w:pPr>
      <w:autoSpaceDE w:val="0"/>
      <w:autoSpaceDN w:val="0"/>
      <w:spacing w:after="300"/>
    </w:pPr>
    <w:rPr>
      <w:color w:val="auto"/>
    </w:rPr>
  </w:style>
  <w:style w:type="paragraph" w:customStyle="1" w:styleId="990">
    <w:name w:val="样式 燕山正文 + 首行缩进:  2 字符"/>
    <w:basedOn w:val="1"/>
    <w:qFormat/>
    <w:uiPriority w:val="99"/>
    <w:pPr>
      <w:widowControl w:val="0"/>
      <w:tabs>
        <w:tab w:val="left" w:pos="4680"/>
      </w:tabs>
      <w:adjustRightInd w:val="0"/>
      <w:snapToGrid w:val="0"/>
      <w:spacing w:beforeLines="30" w:afterLines="30" w:line="360" w:lineRule="auto"/>
      <w:ind w:firstLine="480" w:firstLineChars="200"/>
    </w:pPr>
    <w:rPr>
      <w:rFonts w:ascii="Times New Roman" w:hAnsi="Times New Roman" w:cs="Times New Roman"/>
      <w:kern w:val="2"/>
      <w:szCs w:val="20"/>
    </w:rPr>
  </w:style>
  <w:style w:type="paragraph" w:customStyle="1" w:styleId="991">
    <w:name w:val="表格标题2"/>
    <w:basedOn w:val="319"/>
    <w:next w:val="319"/>
    <w:qFormat/>
    <w:uiPriority w:val="0"/>
    <w:pPr>
      <w:spacing w:line="240" w:lineRule="auto"/>
    </w:pPr>
    <w:rPr>
      <w:rFonts w:eastAsia="宋体"/>
      <w:b/>
    </w:rPr>
  </w:style>
  <w:style w:type="paragraph" w:customStyle="1" w:styleId="992">
    <w:name w:val="表内5"/>
    <w:basedOn w:val="291"/>
    <w:qFormat/>
    <w:uiPriority w:val="99"/>
    <w:pPr>
      <w:tabs>
        <w:tab w:val="left" w:pos="4305"/>
        <w:tab w:val="clear" w:pos="0"/>
      </w:tabs>
      <w:adjustRightInd w:val="0"/>
      <w:snapToGrid w:val="0"/>
      <w:spacing w:line="400" w:lineRule="exact"/>
      <w:ind w:firstLine="480" w:firstLineChars="200"/>
      <w:jc w:val="center"/>
    </w:pPr>
    <w:rPr>
      <w:rFonts w:ascii="宋体" w:hAnsi="宋体"/>
      <w:b w:val="0"/>
      <w:color w:val="000000"/>
      <w:sz w:val="21"/>
      <w:szCs w:val="21"/>
      <w:shd w:val="pct10" w:color="auto" w:fill="FFFFFF"/>
    </w:rPr>
  </w:style>
  <w:style w:type="paragraph" w:customStyle="1" w:styleId="993">
    <w:name w:val="xl74"/>
    <w:basedOn w:val="1"/>
    <w:qFormat/>
    <w:uiPriority w:val="99"/>
    <w:pPr>
      <w:pBdr>
        <w:right w:val="single" w:color="auto" w:sz="4" w:space="0"/>
      </w:pBdr>
      <w:spacing w:before="100" w:beforeAutospacing="1" w:after="100" w:afterAutospacing="1"/>
    </w:pPr>
    <w:rPr>
      <w:rFonts w:eastAsia="仿宋_GB2312" w:cs="Times New Roman"/>
      <w:position w:val="-6"/>
    </w:rPr>
  </w:style>
  <w:style w:type="paragraph" w:customStyle="1" w:styleId="994">
    <w:name w:val="列表 3K"/>
    <w:basedOn w:val="14"/>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995">
    <w:name w:val="图表目录1"/>
    <w:basedOn w:val="117"/>
    <w:next w:val="117"/>
    <w:qFormat/>
    <w:uiPriority w:val="99"/>
    <w:pPr>
      <w:tabs>
        <w:tab w:val="right" w:leader="dot" w:pos="8051"/>
      </w:tabs>
      <w:ind w:left="840" w:hanging="840"/>
    </w:pPr>
    <w:rPr>
      <w:rFonts w:eastAsia="Times New Roman"/>
      <w:szCs w:val="22"/>
    </w:rPr>
  </w:style>
  <w:style w:type="paragraph" w:customStyle="1" w:styleId="996">
    <w:name w:val="样式 标题 21.1标题 21.1标题2标题 2 Char1节_Heading 2标2二级标题1.1标题一..."/>
    <w:basedOn w:val="5"/>
    <w:qFormat/>
    <w:uiPriority w:val="99"/>
    <w:pPr>
      <w:widowControl w:val="0"/>
      <w:tabs>
        <w:tab w:val="left" w:pos="840"/>
      </w:tabs>
      <w:spacing w:before="120" w:after="120" w:line="312" w:lineRule="auto"/>
      <w:ind w:left="840" w:hanging="420"/>
      <w:jc w:val="both"/>
    </w:pPr>
    <w:rPr>
      <w:rFonts w:ascii="Arial" w:hAnsi="Arial"/>
      <w:b/>
      <w:color w:val="000000"/>
      <w:sz w:val="24"/>
      <w:szCs w:val="24"/>
    </w:rPr>
  </w:style>
  <w:style w:type="paragraph" w:customStyle="1" w:styleId="997">
    <w:name w:val="表格文本"/>
    <w:basedOn w:val="1"/>
    <w:next w:val="1"/>
    <w:qFormat/>
    <w:uiPriority w:val="99"/>
    <w:pPr>
      <w:widowControl w:val="0"/>
      <w:spacing w:line="240" w:lineRule="exact"/>
      <w:jc w:val="both"/>
    </w:pPr>
    <w:rPr>
      <w:rFonts w:ascii="Times New Roman" w:hAnsi="Times New Roman" w:cs="Times New Roman"/>
      <w:kern w:val="2"/>
      <w:sz w:val="21"/>
      <w:szCs w:val="20"/>
    </w:rPr>
  </w:style>
  <w:style w:type="paragraph" w:customStyle="1" w:styleId="998">
    <w:name w:val="CM29"/>
    <w:basedOn w:val="103"/>
    <w:next w:val="103"/>
    <w:qFormat/>
    <w:uiPriority w:val="99"/>
    <w:pPr>
      <w:autoSpaceDE w:val="0"/>
      <w:autoSpaceDN w:val="0"/>
      <w:spacing w:line="456" w:lineRule="atLeast"/>
    </w:pPr>
    <w:rPr>
      <w:rFonts w:ascii="宋体" w:cs="宋体"/>
      <w:color w:val="auto"/>
    </w:rPr>
  </w:style>
  <w:style w:type="paragraph" w:customStyle="1" w:styleId="999">
    <w:name w:val="In Table (II)"/>
    <w:basedOn w:val="1000"/>
    <w:qFormat/>
    <w:uiPriority w:val="99"/>
    <w:pPr>
      <w:tabs>
        <w:tab w:val="left" w:pos="2200"/>
        <w:tab w:val="left" w:pos="3960"/>
        <w:tab w:val="left" w:pos="5280"/>
      </w:tabs>
      <w:spacing w:beforeLines="25" w:afterLines="25"/>
      <w:ind w:left="52" w:leftChars="20"/>
      <w:jc w:val="left"/>
    </w:pPr>
    <w:rPr>
      <w:bCs/>
    </w:rPr>
  </w:style>
  <w:style w:type="paragraph" w:customStyle="1" w:styleId="1000">
    <w:name w:val="In Table"/>
    <w:basedOn w:val="1"/>
    <w:qFormat/>
    <w:uiPriority w:val="99"/>
    <w:pPr>
      <w:widowControl w:val="0"/>
      <w:tabs>
        <w:tab w:val="left" w:pos="3960"/>
        <w:tab w:val="left" w:pos="5280"/>
      </w:tabs>
      <w:spacing w:before="96" w:after="96" w:line="0" w:lineRule="atLeast"/>
      <w:jc w:val="center"/>
    </w:pPr>
    <w:rPr>
      <w:rFonts w:ascii="Tahoma" w:hAnsi="Tahoma" w:eastAsia="华文中宋" w:cs="Times New Roman"/>
      <w:kern w:val="2"/>
      <w:sz w:val="21"/>
      <w:szCs w:val="20"/>
    </w:rPr>
  </w:style>
  <w:style w:type="paragraph" w:customStyle="1" w:styleId="1001">
    <w:name w:val="CM9"/>
    <w:basedOn w:val="103"/>
    <w:next w:val="103"/>
    <w:qFormat/>
    <w:uiPriority w:val="0"/>
    <w:pPr>
      <w:autoSpaceDE w:val="0"/>
      <w:autoSpaceDN w:val="0"/>
      <w:spacing w:line="468" w:lineRule="atLeast"/>
    </w:pPr>
    <w:rPr>
      <w:color w:val="auto"/>
    </w:rPr>
  </w:style>
  <w:style w:type="paragraph" w:customStyle="1" w:styleId="1002">
    <w:name w:val="Char Char210"/>
    <w:basedOn w:val="1"/>
    <w:qFormat/>
    <w:uiPriority w:val="0"/>
    <w:pPr>
      <w:widowControl w:val="0"/>
      <w:spacing w:beforeLines="100"/>
      <w:jc w:val="both"/>
    </w:pPr>
    <w:rPr>
      <w:rFonts w:ascii="Times New Roman" w:hAnsi="Times New Roman" w:cs="Times New Roman"/>
      <w:kern w:val="2"/>
      <w:sz w:val="21"/>
    </w:rPr>
  </w:style>
  <w:style w:type="paragraph" w:customStyle="1" w:styleId="1003">
    <w:name w:val="样式 黑体 加粗 居中"/>
    <w:basedOn w:val="1"/>
    <w:qFormat/>
    <w:uiPriority w:val="99"/>
    <w:pPr>
      <w:widowControl w:val="0"/>
      <w:spacing w:line="312" w:lineRule="auto"/>
      <w:ind w:firstLine="573"/>
      <w:jc w:val="center"/>
    </w:pPr>
    <w:rPr>
      <w:rFonts w:ascii="Times New Roman" w:hAnsi="Times New Roman" w:eastAsia="黑体"/>
      <w:b/>
      <w:bCs/>
      <w:kern w:val="2"/>
    </w:rPr>
  </w:style>
  <w:style w:type="paragraph" w:customStyle="1" w:styleId="1004">
    <w:name w:val="标题6"/>
    <w:basedOn w:val="1"/>
    <w:next w:val="80"/>
    <w:qFormat/>
    <w:uiPriority w:val="99"/>
    <w:pPr>
      <w:keepNext/>
      <w:widowControl w:val="0"/>
      <w:spacing w:line="360" w:lineRule="auto"/>
      <w:ind w:firstLine="567"/>
      <w:outlineLvl w:val="5"/>
    </w:pPr>
    <w:rPr>
      <w:rFonts w:ascii="Times New Roman" w:hAnsi="Times New Roman" w:cs="Times New Roman"/>
      <w:kern w:val="2"/>
      <w:sz w:val="28"/>
      <w:szCs w:val="21"/>
    </w:rPr>
  </w:style>
  <w:style w:type="paragraph" w:customStyle="1" w:styleId="1005">
    <w:name w:val="标题5"/>
    <w:basedOn w:val="117"/>
    <w:qFormat/>
    <w:uiPriority w:val="99"/>
    <w:pPr>
      <w:snapToGrid w:val="0"/>
      <w:spacing w:beforeLines="50" w:line="360" w:lineRule="auto"/>
      <w:ind w:firstLine="520" w:firstLineChars="200"/>
      <w:jc w:val="both"/>
      <w:textAlignment w:val="auto"/>
    </w:pPr>
    <w:rPr>
      <w:rFonts w:ascii="Times New Roman"/>
      <w:snapToGrid w:val="0"/>
      <w:color w:val="000000"/>
      <w:szCs w:val="24"/>
    </w:rPr>
  </w:style>
  <w:style w:type="paragraph" w:customStyle="1" w:styleId="1006">
    <w:name w:val="Char Char Char Char Char Char Char Char Char Char Char Char1 Char"/>
    <w:basedOn w:val="1"/>
    <w:next w:val="1"/>
    <w:qFormat/>
    <w:uiPriority w:val="0"/>
    <w:pPr>
      <w:widowControl w:val="0"/>
      <w:spacing w:line="336" w:lineRule="auto"/>
      <w:ind w:firstLine="200" w:firstLineChars="200"/>
      <w:jc w:val="both"/>
    </w:pPr>
    <w:rPr>
      <w:rFonts w:eastAsia="汉鼎简书宋"/>
      <w:kern w:val="2"/>
    </w:rPr>
  </w:style>
  <w:style w:type="paragraph" w:customStyle="1" w:styleId="1007">
    <w:name w:val="正文标题3"/>
    <w:basedOn w:val="7"/>
    <w:qFormat/>
    <w:uiPriority w:val="99"/>
    <w:pPr>
      <w:widowControl w:val="0"/>
      <w:spacing w:line="240" w:lineRule="auto"/>
      <w:jc w:val="both"/>
    </w:pPr>
    <w:rPr>
      <w:sz w:val="28"/>
    </w:rPr>
  </w:style>
  <w:style w:type="paragraph" w:customStyle="1" w:styleId="1008">
    <w:name w:val="正文文字缩进1"/>
    <w:basedOn w:val="49"/>
    <w:qFormat/>
    <w:uiPriority w:val="0"/>
    <w:pPr>
      <w:spacing w:after="0" w:line="360" w:lineRule="auto"/>
      <w:ind w:left="0" w:leftChars="0" w:firstLine="560"/>
    </w:pPr>
    <w:rPr>
      <w:rFonts w:ascii="黑体" w:hAnsi="Arial Black" w:eastAsia="黑体"/>
      <w:b/>
      <w:bCs/>
      <w:sz w:val="28"/>
      <w:szCs w:val="20"/>
    </w:rPr>
  </w:style>
  <w:style w:type="paragraph" w:customStyle="1" w:styleId="1009">
    <w:name w:val="前言"/>
    <w:basedOn w:val="104"/>
    <w:qFormat/>
    <w:uiPriority w:val="99"/>
    <w:pPr>
      <w:widowControl/>
      <w:adjustRightInd/>
      <w:snapToGrid/>
      <w:ind w:firstLine="300" w:firstLineChars="300"/>
      <w:jc w:val="left"/>
      <w:outlineLvl w:val="0"/>
    </w:pPr>
    <w:rPr>
      <w:rFonts w:ascii="仿宋_GB2312" w:eastAsia="宋体"/>
      <w:b/>
      <w:bCs/>
      <w:szCs w:val="28"/>
    </w:rPr>
  </w:style>
  <w:style w:type="paragraph" w:customStyle="1" w:styleId="1010">
    <w:name w:val="默认段落字体 Para Char Char Char Char"/>
    <w:basedOn w:val="1"/>
    <w:qFormat/>
    <w:uiPriority w:val="99"/>
    <w:pPr>
      <w:widowControl w:val="0"/>
      <w:jc w:val="both"/>
    </w:pPr>
    <w:rPr>
      <w:rFonts w:ascii="Times New Roman" w:hAnsi="Times New Roman" w:cs="Times New Roman"/>
      <w:kern w:val="2"/>
      <w:sz w:val="21"/>
    </w:rPr>
  </w:style>
  <w:style w:type="paragraph" w:customStyle="1" w:styleId="1011">
    <w:name w:val="表标题1"/>
    <w:basedOn w:val="1"/>
    <w:qFormat/>
    <w:uiPriority w:val="99"/>
    <w:pPr>
      <w:keepNext/>
      <w:widowControl w:val="0"/>
      <w:adjustRightInd w:val="0"/>
      <w:spacing w:before="60" w:after="60" w:line="397" w:lineRule="atLeast"/>
      <w:jc w:val="center"/>
      <w:textAlignment w:val="baseline"/>
    </w:pPr>
    <w:rPr>
      <w:rFonts w:ascii="Times New Roman" w:hAnsi="Times New Roman" w:cs="Times New Roman"/>
      <w:b/>
      <w:szCs w:val="20"/>
    </w:rPr>
  </w:style>
  <w:style w:type="paragraph" w:customStyle="1" w:styleId="1012">
    <w:name w:val="样式 样式 标题 1 + 两端对齐 + 居中"/>
    <w:basedOn w:val="1"/>
    <w:qFormat/>
    <w:uiPriority w:val="99"/>
    <w:pPr>
      <w:keepLines/>
      <w:widowControl w:val="0"/>
      <w:tabs>
        <w:tab w:val="left" w:pos="1424"/>
      </w:tabs>
      <w:spacing w:before="840" w:after="360" w:line="312" w:lineRule="auto"/>
      <w:ind w:left="573"/>
      <w:jc w:val="center"/>
      <w:outlineLvl w:val="0"/>
    </w:pPr>
    <w:rPr>
      <w:rFonts w:ascii="Times New Roman" w:hAnsi="Times New Roman" w:eastAsia="黑体"/>
      <w:b/>
      <w:bCs/>
      <w:kern w:val="44"/>
      <w:sz w:val="36"/>
      <w:szCs w:val="36"/>
    </w:rPr>
  </w:style>
  <w:style w:type="paragraph" w:customStyle="1" w:styleId="1013">
    <w:name w:val="正文-使用"/>
    <w:basedOn w:val="1"/>
    <w:qFormat/>
    <w:uiPriority w:val="0"/>
    <w:pPr>
      <w:widowControl w:val="0"/>
      <w:spacing w:line="360" w:lineRule="auto"/>
      <w:ind w:firstLine="482" w:firstLineChars="200"/>
      <w:jc w:val="both"/>
    </w:pPr>
    <w:rPr>
      <w:rFonts w:ascii="Times New Roman" w:hAnsi="Times New Roman" w:cs="Times New Roman"/>
      <w:kern w:val="2"/>
      <w:szCs w:val="20"/>
    </w:rPr>
  </w:style>
  <w:style w:type="paragraph" w:customStyle="1" w:styleId="1014">
    <w:name w:val="xl89"/>
    <w:basedOn w:val="1"/>
    <w:qFormat/>
    <w:uiPriority w:val="99"/>
    <w:pPr>
      <w:pBdr>
        <w:top w:val="single" w:color="auto" w:sz="4" w:space="0"/>
        <w:bottom w:val="single" w:color="auto" w:sz="4" w:space="0"/>
        <w:right w:val="single" w:color="auto" w:sz="4" w:space="0"/>
      </w:pBdr>
      <w:spacing w:before="100" w:beforeAutospacing="1" w:after="100" w:afterAutospacing="1"/>
    </w:pPr>
    <w:rPr>
      <w:rFonts w:ascii="Times New Roman" w:hAnsi="Times New Roman" w:eastAsia="Arial Unicode MS" w:cs="Times New Roman"/>
      <w:sz w:val="16"/>
      <w:szCs w:val="16"/>
    </w:rPr>
  </w:style>
  <w:style w:type="paragraph" w:customStyle="1" w:styleId="1015">
    <w:name w:val="样式 小四"/>
    <w:basedOn w:val="1"/>
    <w:qFormat/>
    <w:uiPriority w:val="99"/>
    <w:pPr>
      <w:widowControl w:val="0"/>
      <w:ind w:firstLine="200" w:firstLineChars="200"/>
      <w:jc w:val="both"/>
    </w:pPr>
    <w:rPr>
      <w:rFonts w:ascii="Times New Roman" w:hAnsi="Times New Roman"/>
      <w:kern w:val="2"/>
      <w:szCs w:val="20"/>
    </w:rPr>
  </w:style>
  <w:style w:type="paragraph" w:customStyle="1" w:styleId="1016">
    <w:name w:val="表中文字"/>
    <w:basedOn w:val="1"/>
    <w:qFormat/>
    <w:uiPriority w:val="99"/>
    <w:pPr>
      <w:widowControl w:val="0"/>
      <w:topLinePunct/>
      <w:spacing w:line="360" w:lineRule="auto"/>
      <w:jc w:val="center"/>
    </w:pPr>
    <w:rPr>
      <w:rFonts w:ascii="仿宋_GB2312" w:hAnsi="Times New Roman" w:eastAsia="仿宋_GB2312" w:cs="Times New Roman"/>
      <w:kern w:val="2"/>
      <w:sz w:val="28"/>
      <w:szCs w:val="20"/>
    </w:rPr>
  </w:style>
  <w:style w:type="paragraph" w:customStyle="1" w:styleId="1017">
    <w:name w:val="Section Title"/>
    <w:basedOn w:val="1"/>
    <w:next w:val="1"/>
    <w:qFormat/>
    <w:uiPriority w:val="99"/>
    <w:pPr>
      <w:pBdr>
        <w:top w:val="single" w:color="FFFFFF" w:sz="6" w:space="2"/>
        <w:left w:val="single" w:color="FFFFFF" w:sz="6" w:space="2"/>
        <w:bottom w:val="single" w:color="FFFFFF" w:sz="6" w:space="2"/>
        <w:right w:val="single" w:color="FFFFFF" w:sz="6" w:space="2"/>
      </w:pBdr>
      <w:shd w:val="pct10" w:color="auto" w:fill="auto"/>
      <w:spacing w:before="120" w:line="280" w:lineRule="atLeast"/>
    </w:pPr>
    <w:rPr>
      <w:rFonts w:ascii="Arial" w:hAnsi="Arial" w:cs="Times New Roman"/>
      <w:b/>
      <w:spacing w:val="-10"/>
      <w:position w:val="7"/>
      <w:sz w:val="20"/>
      <w:szCs w:val="20"/>
    </w:rPr>
  </w:style>
  <w:style w:type="paragraph" w:customStyle="1" w:styleId="1018">
    <w:name w:val="样式 段落1 + 自动设置"/>
    <w:basedOn w:val="178"/>
    <w:qFormat/>
    <w:uiPriority w:val="99"/>
    <w:pPr>
      <w:ind w:firstLine="840" w:firstLineChars="400"/>
    </w:pPr>
    <w:rPr>
      <w:rFonts w:ascii="黑体" w:hAnsi="宋体"/>
      <w:bCs w:val="0"/>
      <w:spacing w:val="0"/>
      <w:szCs w:val="21"/>
    </w:rPr>
  </w:style>
  <w:style w:type="paragraph" w:customStyle="1" w:styleId="1019">
    <w:name w:val="02"/>
    <w:basedOn w:val="5"/>
    <w:qFormat/>
    <w:uiPriority w:val="99"/>
    <w:pPr>
      <w:widowControl w:val="0"/>
      <w:spacing w:line="480" w:lineRule="auto"/>
      <w:jc w:val="both"/>
    </w:pPr>
    <w:rPr>
      <w:rFonts w:ascii="Times New Roman" w:hAnsi="Times New Roman" w:eastAsia="宋体"/>
      <w:b/>
      <w:color w:val="333333"/>
      <w:sz w:val="24"/>
      <w:szCs w:val="20"/>
    </w:rPr>
  </w:style>
  <w:style w:type="paragraph" w:customStyle="1" w:styleId="1020">
    <w:name w:val="样式 样式 小四 段后: 6 磅 行距: 1.5 倍行距 + 首行缩进:  2 字符"/>
    <w:basedOn w:val="1"/>
    <w:qFormat/>
    <w:uiPriority w:val="99"/>
    <w:pPr>
      <w:keepNext/>
      <w:widowControl w:val="0"/>
      <w:spacing w:line="360" w:lineRule="auto"/>
      <w:ind w:firstLine="200" w:firstLineChars="200"/>
    </w:pPr>
    <w:rPr>
      <w:kern w:val="2"/>
      <w:sz w:val="28"/>
      <w:szCs w:val="20"/>
    </w:rPr>
  </w:style>
  <w:style w:type="paragraph" w:customStyle="1" w:styleId="1021">
    <w:name w:val="注×："/>
    <w:qFormat/>
    <w:uiPriority w:val="99"/>
    <w:pPr>
      <w:widowControl w:val="0"/>
      <w:tabs>
        <w:tab w:val="left" w:pos="630"/>
      </w:tabs>
      <w:autoSpaceDE w:val="0"/>
      <w:autoSpaceDN w:val="0"/>
      <w:jc w:val="both"/>
    </w:pPr>
    <w:rPr>
      <w:rFonts w:ascii="宋体" w:hAnsi="Times New Roman" w:eastAsia="宋体" w:cs="Times New Roman"/>
      <w:sz w:val="18"/>
      <w:lang w:val="en-US" w:eastAsia="zh-CN" w:bidi="ar-SA"/>
    </w:rPr>
  </w:style>
  <w:style w:type="paragraph" w:customStyle="1" w:styleId="1022">
    <w:name w:val="xl44"/>
    <w:basedOn w:val="1"/>
    <w:qFormat/>
    <w:uiPriority w:val="99"/>
    <w:pPr>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023">
    <w:name w:val="表号文字"/>
    <w:basedOn w:val="1"/>
    <w:qFormat/>
    <w:uiPriority w:val="99"/>
    <w:pPr>
      <w:widowControl w:val="0"/>
      <w:adjustRightInd w:val="0"/>
      <w:snapToGrid w:val="0"/>
      <w:spacing w:before="120" w:line="300" w:lineRule="auto"/>
    </w:pPr>
    <w:rPr>
      <w:rFonts w:ascii="Times New Roman" w:hAnsi="Times New Roman" w:eastAsia="黑体" w:cs="Times New Roman"/>
      <w:kern w:val="2"/>
    </w:rPr>
  </w:style>
  <w:style w:type="paragraph" w:customStyle="1" w:styleId="1024">
    <w:name w:val="0"/>
    <w:basedOn w:val="1"/>
    <w:qFormat/>
    <w:uiPriority w:val="0"/>
    <w:pPr>
      <w:jc w:val="both"/>
    </w:pPr>
    <w:rPr>
      <w:rFonts w:ascii="Times New Roman" w:hAnsi="Times New Roman" w:cs="Times New Roman"/>
      <w:sz w:val="21"/>
      <w:szCs w:val="20"/>
    </w:rPr>
  </w:style>
  <w:style w:type="paragraph" w:customStyle="1" w:styleId="1025">
    <w:name w:val="列表 2W"/>
    <w:basedOn w:val="37"/>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026">
    <w:name w:val="列表 2T"/>
    <w:basedOn w:val="37"/>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027">
    <w:name w:val="Char4 Char Char Char Char Char Char"/>
    <w:basedOn w:val="1"/>
    <w:qFormat/>
    <w:uiPriority w:val="0"/>
    <w:pPr>
      <w:widowControl w:val="0"/>
      <w:spacing w:line="360" w:lineRule="auto"/>
      <w:ind w:firstLine="200" w:firstLineChars="200"/>
      <w:jc w:val="both"/>
    </w:pPr>
    <w:rPr>
      <w:kern w:val="2"/>
    </w:rPr>
  </w:style>
  <w:style w:type="paragraph" w:customStyle="1" w:styleId="1028">
    <w:name w:val="列表 5A"/>
    <w:basedOn w:val="65"/>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029">
    <w:name w:val="xl29"/>
    <w:basedOn w:val="1"/>
    <w:qFormat/>
    <w:uiPriority w:val="99"/>
    <w:pPr>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030">
    <w:name w:val="CM13"/>
    <w:basedOn w:val="103"/>
    <w:next w:val="103"/>
    <w:qFormat/>
    <w:uiPriority w:val="99"/>
    <w:pPr>
      <w:autoSpaceDE w:val="0"/>
      <w:autoSpaceDN w:val="0"/>
      <w:spacing w:line="468" w:lineRule="atLeast"/>
    </w:pPr>
    <w:rPr>
      <w:color w:val="auto"/>
    </w:rPr>
  </w:style>
  <w:style w:type="paragraph" w:customStyle="1" w:styleId="1031">
    <w:name w:val="表头样式"/>
    <w:basedOn w:val="1"/>
    <w:qFormat/>
    <w:uiPriority w:val="99"/>
    <w:pPr>
      <w:keepNext/>
      <w:spacing w:beforeLines="50" w:afterLines="50" w:line="520" w:lineRule="exact"/>
      <w:ind w:firstLine="280" w:firstLineChars="100"/>
      <w:jc w:val="both"/>
    </w:pPr>
    <w:rPr>
      <w:bCs/>
      <w:kern w:val="2"/>
      <w:sz w:val="28"/>
      <w:szCs w:val="28"/>
    </w:rPr>
  </w:style>
  <w:style w:type="paragraph" w:customStyle="1" w:styleId="1032">
    <w:name w:val="灯泡注释(打印无效)"/>
    <w:basedOn w:val="80"/>
    <w:qFormat/>
    <w:uiPriority w:val="99"/>
    <w:pPr>
      <w:widowControl w:val="0"/>
      <w:snapToGrid w:val="0"/>
      <w:spacing w:after="0"/>
      <w:ind w:firstLine="0" w:firstLineChars="0"/>
    </w:pPr>
    <w:rPr>
      <w:rFonts w:ascii="Times New Roman" w:hAnsi="Times New Roman"/>
      <w:i/>
      <w:vanish/>
      <w:color w:val="FF0000"/>
      <w:szCs w:val="21"/>
    </w:rPr>
  </w:style>
  <w:style w:type="paragraph" w:customStyle="1" w:styleId="1033">
    <w:name w:val="图文字"/>
    <w:basedOn w:val="1"/>
    <w:next w:val="1"/>
    <w:qFormat/>
    <w:uiPriority w:val="0"/>
    <w:pPr>
      <w:widowControl w:val="0"/>
      <w:snapToGrid w:val="0"/>
      <w:jc w:val="both"/>
    </w:pPr>
    <w:rPr>
      <w:rFonts w:ascii="Arial" w:hAnsi="Arial" w:eastAsia="楷体_GB2312" w:cs="Times New Roman"/>
      <w:kern w:val="2"/>
      <w:szCs w:val="20"/>
    </w:rPr>
  </w:style>
  <w:style w:type="paragraph" w:customStyle="1" w:styleId="1034">
    <w:name w:val="表中样式"/>
    <w:basedOn w:val="1"/>
    <w:qFormat/>
    <w:uiPriority w:val="99"/>
    <w:pPr>
      <w:spacing w:line="240" w:lineRule="exact"/>
      <w:ind w:left="-25" w:leftChars="-25" w:right="-31" w:rightChars="-31"/>
      <w:jc w:val="center"/>
    </w:pPr>
    <w:rPr>
      <w:bCs/>
      <w:sz w:val="21"/>
      <w:szCs w:val="32"/>
    </w:rPr>
  </w:style>
  <w:style w:type="paragraph" w:customStyle="1" w:styleId="1035">
    <w:name w:val="表标题5.14"/>
    <w:basedOn w:val="1"/>
    <w:qFormat/>
    <w:uiPriority w:val="99"/>
    <w:pPr>
      <w:widowControl w:val="0"/>
      <w:tabs>
        <w:tab w:val="left" w:pos="726"/>
      </w:tabs>
      <w:spacing w:beforeLines="100" w:line="0" w:lineRule="atLeast"/>
      <w:ind w:left="2" w:firstLine="4"/>
      <w:jc w:val="both"/>
    </w:pPr>
    <w:rPr>
      <w:rFonts w:ascii="Times New Roman" w:hAnsi="Times New Roman" w:eastAsia="黑体" w:cs="Times New Roman"/>
      <w:b/>
      <w:kern w:val="2"/>
    </w:rPr>
  </w:style>
  <w:style w:type="paragraph" w:customStyle="1" w:styleId="1036">
    <w:name w:val="Char Char Char1 Char Char Char1"/>
    <w:basedOn w:val="1"/>
    <w:qFormat/>
    <w:uiPriority w:val="99"/>
    <w:pPr>
      <w:widowControl w:val="0"/>
      <w:jc w:val="both"/>
    </w:pPr>
    <w:rPr>
      <w:rFonts w:ascii="Times New Roman" w:hAnsi="Times New Roman" w:cs="Times New Roman"/>
      <w:kern w:val="2"/>
      <w:sz w:val="21"/>
    </w:rPr>
  </w:style>
  <w:style w:type="paragraph" w:customStyle="1" w:styleId="1037">
    <w:name w:val="xl100"/>
    <w:basedOn w:val="1"/>
    <w:qFormat/>
    <w:uiPriority w:val="99"/>
    <w:pPr>
      <w:pBdr>
        <w:top w:val="single" w:color="auto" w:sz="8" w:space="0"/>
        <w:bottom w:val="single" w:color="auto" w:sz="4" w:space="0"/>
        <w:right w:val="single" w:color="auto" w:sz="8" w:space="0"/>
      </w:pBdr>
      <w:spacing w:before="100" w:beforeAutospacing="1" w:after="100" w:afterAutospacing="1"/>
    </w:pPr>
    <w:rPr>
      <w:rFonts w:ascii="Arial Unicode MS" w:hAnsi="Arial Unicode MS" w:eastAsia="Arial Unicode MS" w:cs="Arial Unicode MS"/>
    </w:rPr>
  </w:style>
  <w:style w:type="paragraph" w:customStyle="1" w:styleId="1038">
    <w:name w:val="样式 标题 4款标题1.1.1.1 南陵标题 4标题 4 CharH4PIM 4h4First Subheadin..."/>
    <w:basedOn w:val="8"/>
    <w:qFormat/>
    <w:uiPriority w:val="0"/>
    <w:pPr>
      <w:keepNext w:val="0"/>
      <w:keepLines w:val="0"/>
      <w:widowControl w:val="0"/>
      <w:spacing w:line="360" w:lineRule="auto"/>
      <w:jc w:val="both"/>
    </w:pPr>
    <w:rPr>
      <w:rFonts w:ascii="黑体" w:eastAsia="黑体" w:cs="Times New Roman"/>
      <w:bCs/>
      <w:color w:val="000000"/>
      <w:lang w:val="en-US"/>
    </w:rPr>
  </w:style>
  <w:style w:type="paragraph" w:customStyle="1" w:styleId="1039">
    <w:name w:val="列表 4S"/>
    <w:basedOn w:val="71"/>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040">
    <w:name w:val="条文2"/>
    <w:basedOn w:val="8"/>
    <w:qFormat/>
    <w:uiPriority w:val="99"/>
    <w:pPr>
      <w:keepNext w:val="0"/>
      <w:keepLines w:val="0"/>
      <w:widowControl w:val="0"/>
      <w:tabs>
        <w:tab w:val="left" w:pos="360"/>
      </w:tabs>
      <w:adjustRightInd w:val="0"/>
      <w:spacing w:line="460" w:lineRule="exact"/>
      <w:ind w:left="1151" w:hanging="425"/>
      <w:textAlignment w:val="baseline"/>
      <w:outlineLvl w:val="9"/>
    </w:pPr>
    <w:rPr>
      <w:rFonts w:ascii="宋体" w:hAnsi="Arial" w:cs="Times New Roman"/>
      <w:spacing w:val="3"/>
      <w:kern w:val="24"/>
      <w:lang w:val="en-US"/>
    </w:rPr>
  </w:style>
  <w:style w:type="paragraph" w:customStyle="1" w:styleId="1041">
    <w:name w:val="Char4 Char Char Char Char Char Char2"/>
    <w:basedOn w:val="1"/>
    <w:qFormat/>
    <w:uiPriority w:val="99"/>
    <w:pPr>
      <w:widowControl w:val="0"/>
      <w:spacing w:line="360" w:lineRule="auto"/>
      <w:ind w:firstLine="200" w:firstLineChars="200"/>
      <w:jc w:val="both"/>
    </w:pPr>
    <w:rPr>
      <w:kern w:val="2"/>
    </w:rPr>
  </w:style>
  <w:style w:type="paragraph" w:customStyle="1" w:styleId="1042">
    <w:name w:val="表格11"/>
    <w:basedOn w:val="328"/>
    <w:qFormat/>
    <w:uiPriority w:val="99"/>
    <w:pPr>
      <w:widowControl w:val="0"/>
      <w:spacing w:line="240" w:lineRule="auto"/>
    </w:pPr>
    <w:rPr>
      <w:rFonts w:ascii="黑体" w:eastAsia="仿宋_GB2312"/>
      <w:szCs w:val="28"/>
    </w:rPr>
  </w:style>
  <w:style w:type="paragraph" w:customStyle="1" w:styleId="1043">
    <w:name w:val="xl87"/>
    <w:basedOn w:val="1"/>
    <w:qFormat/>
    <w:uiPriority w:val="99"/>
    <w:pPr>
      <w:pBdr>
        <w:top w:val="single" w:color="auto" w:sz="8" w:space="0"/>
        <w:bottom w:val="single" w:color="auto" w:sz="4" w:space="0"/>
        <w:right w:val="single" w:color="auto" w:sz="4" w:space="0"/>
      </w:pBdr>
      <w:spacing w:before="100" w:beforeAutospacing="1" w:after="100" w:afterAutospacing="1"/>
    </w:pPr>
    <w:rPr>
      <w:rFonts w:ascii="Times New Roman" w:hAnsi="Times New Roman" w:eastAsia="Arial Unicode MS" w:cs="Times New Roman"/>
      <w:sz w:val="16"/>
      <w:szCs w:val="16"/>
    </w:rPr>
  </w:style>
  <w:style w:type="paragraph" w:customStyle="1" w:styleId="1044">
    <w:name w:val="列表 2V"/>
    <w:basedOn w:val="37"/>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045">
    <w:name w:val="列表 4A"/>
    <w:basedOn w:val="71"/>
    <w:qFormat/>
    <w:uiPriority w:val="99"/>
    <w:pPr>
      <w:tabs>
        <w:tab w:val="left" w:pos="360"/>
      </w:tabs>
      <w:topLinePunct w:val="0"/>
      <w:spacing w:beforeLines="50" w:afterLines="30" w:line="288" w:lineRule="auto"/>
      <w:ind w:left="360" w:leftChars="0" w:hanging="360"/>
      <w:jc w:val="both"/>
    </w:pPr>
    <w:rPr>
      <w:rFonts w:ascii="Arial" w:hAnsi="Arial" w:eastAsia="宋体"/>
      <w:color w:val="CCFFFF"/>
      <w:sz w:val="24"/>
    </w:rPr>
  </w:style>
  <w:style w:type="paragraph" w:customStyle="1" w:styleId="1046">
    <w:name w:val="正文王"/>
    <w:basedOn w:val="1"/>
    <w:qFormat/>
    <w:uiPriority w:val="99"/>
    <w:pPr>
      <w:tabs>
        <w:tab w:val="left" w:pos="7080"/>
      </w:tabs>
      <w:adjustRightInd w:val="0"/>
      <w:snapToGrid w:val="0"/>
      <w:spacing w:line="360" w:lineRule="auto"/>
      <w:ind w:firstLine="480" w:firstLineChars="200"/>
      <w:jc w:val="both"/>
    </w:pPr>
    <w:rPr>
      <w:rFonts w:ascii="Times New Roman" w:hAnsi="Times New Roman" w:eastAsia="仿宋_GB2312" w:cs="Times New Roman"/>
      <w:snapToGrid w:val="0"/>
      <w:szCs w:val="28"/>
    </w:rPr>
  </w:style>
  <w:style w:type="paragraph" w:customStyle="1" w:styleId="1047">
    <w:name w:val="表标题17.21"/>
    <w:basedOn w:val="1"/>
    <w:qFormat/>
    <w:uiPriority w:val="99"/>
    <w:pPr>
      <w:widowControl w:val="0"/>
      <w:tabs>
        <w:tab w:val="left" w:pos="284"/>
        <w:tab w:val="center" w:pos="4060"/>
        <w:tab w:val="right" w:pos="8261"/>
      </w:tabs>
      <w:suppressAutoHyphens/>
      <w:adjustRightInd w:val="0"/>
      <w:spacing w:before="240" w:line="0" w:lineRule="atLeast"/>
      <w:jc w:val="center"/>
    </w:pPr>
    <w:rPr>
      <w:rFonts w:ascii="黑体" w:hAnsi="Times New Roman" w:eastAsia="黑体" w:cs="Times New Roman"/>
      <w:b/>
      <w:spacing w:val="6"/>
    </w:rPr>
  </w:style>
  <w:style w:type="paragraph" w:customStyle="1" w:styleId="1048">
    <w:name w:val="style18"/>
    <w:basedOn w:val="1"/>
    <w:qFormat/>
    <w:uiPriority w:val="99"/>
    <w:pPr>
      <w:spacing w:before="100" w:beforeAutospacing="1" w:after="100" w:afterAutospacing="1"/>
    </w:pPr>
    <w:rPr>
      <w:rFonts w:cs="Times New Roman"/>
      <w:color w:val="000000"/>
      <w:sz w:val="21"/>
      <w:szCs w:val="21"/>
    </w:rPr>
  </w:style>
  <w:style w:type="paragraph" w:customStyle="1" w:styleId="1049">
    <w:name w:val="样式8"/>
    <w:basedOn w:val="7"/>
    <w:qFormat/>
    <w:uiPriority w:val="99"/>
    <w:pPr>
      <w:keepNext w:val="0"/>
      <w:keepLines w:val="0"/>
      <w:adjustRightInd w:val="0"/>
      <w:snapToGrid w:val="0"/>
      <w:spacing w:beforeLines="20" w:afterLines="50" w:line="360" w:lineRule="auto"/>
      <w:textAlignment w:val="baseline"/>
    </w:pPr>
    <w:rPr>
      <w:rFonts w:ascii="宋体" w:hAnsi="Courier New" w:eastAsia="宋体"/>
      <w:b/>
      <w:bCs w:val="0"/>
      <w:sz w:val="24"/>
      <w:szCs w:val="20"/>
    </w:rPr>
  </w:style>
  <w:style w:type="paragraph" w:customStyle="1" w:styleId="1050">
    <w:name w:val="标标题1.9"/>
    <w:basedOn w:val="1"/>
    <w:qFormat/>
    <w:uiPriority w:val="99"/>
    <w:pPr>
      <w:widowControl w:val="0"/>
      <w:tabs>
        <w:tab w:val="left" w:pos="726"/>
        <w:tab w:val="center" w:pos="4060"/>
        <w:tab w:val="right" w:pos="8261"/>
      </w:tabs>
      <w:suppressAutoHyphens/>
      <w:adjustRightInd w:val="0"/>
      <w:spacing w:before="240" w:line="0" w:lineRule="atLeast"/>
      <w:ind w:left="2" w:firstLine="4"/>
      <w:jc w:val="center"/>
    </w:pPr>
    <w:rPr>
      <w:rFonts w:ascii="黑体" w:hAnsi="Times New Roman" w:eastAsia="黑体" w:cs="Times New Roman"/>
      <w:b/>
      <w:spacing w:val="6"/>
      <w:sz w:val="26"/>
      <w:szCs w:val="26"/>
    </w:rPr>
  </w:style>
  <w:style w:type="paragraph" w:customStyle="1" w:styleId="1051">
    <w:name w:val="CM66"/>
    <w:basedOn w:val="103"/>
    <w:next w:val="103"/>
    <w:qFormat/>
    <w:uiPriority w:val="99"/>
    <w:pPr>
      <w:autoSpaceDE w:val="0"/>
      <w:autoSpaceDN w:val="0"/>
      <w:spacing w:after="215"/>
    </w:pPr>
    <w:rPr>
      <w:color w:val="auto"/>
    </w:rPr>
  </w:style>
  <w:style w:type="paragraph" w:customStyle="1" w:styleId="1052">
    <w:name w:val="表右"/>
    <w:basedOn w:val="1"/>
    <w:qFormat/>
    <w:uiPriority w:val="99"/>
    <w:pPr>
      <w:keepNext/>
      <w:widowControl w:val="0"/>
      <w:tabs>
        <w:tab w:val="left" w:pos="2190"/>
      </w:tabs>
      <w:adjustRightInd w:val="0"/>
      <w:snapToGrid w:val="0"/>
      <w:spacing w:line="240" w:lineRule="atLeast"/>
      <w:ind w:right="20" w:rightChars="20"/>
      <w:jc w:val="right"/>
    </w:pPr>
    <w:rPr>
      <w:rFonts w:cs="Times New Roman"/>
      <w:kern w:val="2"/>
      <w:szCs w:val="28"/>
    </w:rPr>
  </w:style>
  <w:style w:type="paragraph" w:customStyle="1" w:styleId="1053">
    <w:name w:val="副题目"/>
    <w:basedOn w:val="60"/>
    <w:qFormat/>
    <w:uiPriority w:val="99"/>
    <w:pPr>
      <w:keepNext/>
      <w:keepLines/>
      <w:spacing w:beforeLines="100" w:after="100" w:afterAutospacing="1" w:line="600" w:lineRule="atLeast"/>
      <w:outlineLvl w:val="9"/>
    </w:pPr>
    <w:rPr>
      <w:rFonts w:ascii="Arial" w:hAnsi="Arial" w:eastAsia="经典叠圆体简" w:cs="Times New Roman"/>
      <w:b w:val="0"/>
      <w:bCs w:val="0"/>
      <w:iCs/>
      <w:color w:val="CC99FF"/>
      <w:spacing w:val="36"/>
      <w:sz w:val="36"/>
      <w:szCs w:val="20"/>
      <w:lang w:bidi="he-IL"/>
    </w:rPr>
  </w:style>
  <w:style w:type="paragraph" w:customStyle="1" w:styleId="1054">
    <w:name w:val="样式 标题3"/>
    <w:basedOn w:val="7"/>
    <w:qFormat/>
    <w:uiPriority w:val="0"/>
    <w:pPr>
      <w:widowControl w:val="0"/>
      <w:spacing w:beforeLines="50" w:afterLines="50" w:line="360" w:lineRule="auto"/>
      <w:ind w:firstLine="200"/>
    </w:pPr>
    <w:rPr>
      <w:rFonts w:ascii="宋体" w:hAnsi="宋体" w:eastAsia="宋体" w:cs="宋体"/>
      <w:b/>
      <w:sz w:val="28"/>
      <w:szCs w:val="24"/>
    </w:rPr>
  </w:style>
  <w:style w:type="paragraph" w:customStyle="1" w:styleId="1055">
    <w:name w:val="列表 H"/>
    <w:basedOn w:val="3"/>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056">
    <w:name w:val="CM61"/>
    <w:basedOn w:val="103"/>
    <w:next w:val="103"/>
    <w:qFormat/>
    <w:uiPriority w:val="99"/>
    <w:pPr>
      <w:autoSpaceDE w:val="0"/>
      <w:autoSpaceDN w:val="0"/>
      <w:spacing w:after="78"/>
    </w:pPr>
    <w:rPr>
      <w:color w:val="auto"/>
    </w:rPr>
  </w:style>
  <w:style w:type="paragraph" w:customStyle="1" w:styleId="1057">
    <w:name w:val="xl30"/>
    <w:basedOn w:val="1"/>
    <w:qFormat/>
    <w:uiPriority w:val="99"/>
    <w:pPr>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058">
    <w:name w:val="普通(Web)1"/>
    <w:basedOn w:val="1"/>
    <w:qFormat/>
    <w:uiPriority w:val="99"/>
    <w:rPr>
      <w:rFonts w:eastAsia="仿宋_GB2312"/>
      <w:color w:val="000000"/>
    </w:rPr>
  </w:style>
  <w:style w:type="paragraph" w:customStyle="1" w:styleId="1059">
    <w:name w:val="xl94"/>
    <w:basedOn w:val="1"/>
    <w:qFormat/>
    <w:uiPriority w:val="99"/>
    <w:pPr>
      <w:spacing w:before="100" w:beforeAutospacing="1" w:after="100" w:afterAutospacing="1"/>
      <w:jc w:val="center"/>
    </w:pPr>
    <w:rPr>
      <w:rFonts w:ascii="Times New Roman" w:hAnsi="Times New Roman" w:eastAsia="Arial Unicode MS" w:cs="Times New Roman"/>
      <w:sz w:val="20"/>
      <w:szCs w:val="20"/>
    </w:rPr>
  </w:style>
  <w:style w:type="paragraph" w:customStyle="1" w:styleId="1060">
    <w:name w:val="标题2.5"/>
    <w:basedOn w:val="1061"/>
    <w:next w:val="280"/>
    <w:qFormat/>
    <w:uiPriority w:val="99"/>
    <w:pPr>
      <w:topLinePunct/>
      <w:spacing w:beforeLines="0" w:line="360" w:lineRule="auto"/>
    </w:pPr>
    <w:rPr>
      <w:rFonts w:ascii="仿宋_GB2312"/>
      <w:b w:val="0"/>
    </w:rPr>
  </w:style>
  <w:style w:type="paragraph" w:customStyle="1" w:styleId="1061">
    <w:name w:val="标题2"/>
    <w:basedOn w:val="1"/>
    <w:next w:val="1"/>
    <w:semiHidden/>
    <w:qFormat/>
    <w:uiPriority w:val="99"/>
    <w:pPr>
      <w:widowControl w:val="0"/>
      <w:spacing w:beforeLines="100" w:afterLines="100" w:line="640" w:lineRule="exact"/>
      <w:outlineLvl w:val="1"/>
    </w:pPr>
    <w:rPr>
      <w:rFonts w:ascii="黑体" w:hAnsi="Times New Roman" w:eastAsia="黑体" w:cs="Times New Roman"/>
      <w:b/>
      <w:color w:val="000000"/>
      <w:kern w:val="2"/>
      <w:sz w:val="28"/>
      <w:szCs w:val="28"/>
    </w:rPr>
  </w:style>
  <w:style w:type="paragraph" w:customStyle="1" w:styleId="1062">
    <w:name w:val="表格中"/>
    <w:basedOn w:val="1"/>
    <w:qFormat/>
    <w:uiPriority w:val="99"/>
    <w:pPr>
      <w:widowControl w:val="0"/>
      <w:snapToGrid w:val="0"/>
      <w:spacing w:line="360" w:lineRule="auto"/>
      <w:jc w:val="both"/>
    </w:pPr>
    <w:rPr>
      <w:rFonts w:cs="Times New Roman"/>
      <w:spacing w:val="-20"/>
      <w:kern w:val="2"/>
      <w:sz w:val="28"/>
      <w:szCs w:val="28"/>
    </w:rPr>
  </w:style>
  <w:style w:type="paragraph" w:customStyle="1" w:styleId="1063">
    <w:name w:val="表格编号"/>
    <w:basedOn w:val="1"/>
    <w:qFormat/>
    <w:uiPriority w:val="99"/>
    <w:pPr>
      <w:widowControl w:val="0"/>
      <w:spacing w:line="400" w:lineRule="exact"/>
      <w:jc w:val="both"/>
    </w:pPr>
    <w:rPr>
      <w:rFonts w:ascii="Times New Roman" w:hAnsi="Times New Roman" w:cs="Times New Roman"/>
      <w:sz w:val="28"/>
      <w:szCs w:val="28"/>
    </w:rPr>
  </w:style>
  <w:style w:type="paragraph" w:customStyle="1" w:styleId="1064">
    <w:name w:val="表字"/>
    <w:basedOn w:val="1"/>
    <w:qFormat/>
    <w:uiPriority w:val="99"/>
    <w:pPr>
      <w:widowControl w:val="0"/>
      <w:jc w:val="center"/>
    </w:pPr>
    <w:rPr>
      <w:rFonts w:hAnsi="Times New Roman" w:cs="Times New Roman"/>
      <w:kern w:val="2"/>
      <w:sz w:val="21"/>
      <w:szCs w:val="20"/>
    </w:rPr>
  </w:style>
  <w:style w:type="paragraph" w:customStyle="1" w:styleId="1065">
    <w:name w:val="xl33"/>
    <w:basedOn w:val="1"/>
    <w:qFormat/>
    <w:uiPriority w:val="99"/>
    <w:pPr>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仿宋_GB2312" w:eastAsia="仿宋_GB2312" w:cs="Times New Roman"/>
      <w:szCs w:val="20"/>
    </w:rPr>
  </w:style>
  <w:style w:type="paragraph" w:customStyle="1" w:styleId="1066">
    <w:name w:val="xl69"/>
    <w:basedOn w:val="1"/>
    <w:qFormat/>
    <w:uiPriority w:val="99"/>
    <w:pPr>
      <w:pBdr>
        <w:bottom w:val="single" w:color="auto" w:sz="4" w:space="0"/>
      </w:pBdr>
      <w:spacing w:before="100" w:beforeAutospacing="1" w:after="100" w:afterAutospacing="1"/>
      <w:jc w:val="right"/>
    </w:pPr>
    <w:rPr>
      <w:rFonts w:eastAsia="仿宋_GB2312" w:cs="Times New Roman"/>
      <w:b/>
      <w:bCs/>
      <w:position w:val="-6"/>
    </w:rPr>
  </w:style>
  <w:style w:type="paragraph" w:customStyle="1" w:styleId="1067">
    <w:name w:val="样式 标题 4 + 左侧:  0 厘米 悬挂缩进: 8.64 字符 段前: 6 磅 段后: 6 磅 行距: 单倍行距"/>
    <w:basedOn w:val="8"/>
    <w:qFormat/>
    <w:uiPriority w:val="99"/>
    <w:pPr>
      <w:widowControl w:val="0"/>
      <w:tabs>
        <w:tab w:val="left" w:pos="360"/>
      </w:tabs>
      <w:spacing w:before="120" w:after="120" w:line="312" w:lineRule="auto"/>
      <w:jc w:val="both"/>
    </w:pPr>
    <w:rPr>
      <w:rFonts w:ascii="Arial" w:hAnsi="Arial" w:eastAsia="黑体"/>
      <w:b/>
      <w:bCs/>
      <w:kern w:val="2"/>
      <w:lang w:val="en-US"/>
    </w:rPr>
  </w:style>
  <w:style w:type="paragraph" w:customStyle="1" w:styleId="1068">
    <w:name w:val="样式 标题 4款标题1.1.1.1 南陵标题 4标题 4 CharH4PIM 4h4First Subheadin...2"/>
    <w:basedOn w:val="8"/>
    <w:qFormat/>
    <w:uiPriority w:val="0"/>
    <w:pPr>
      <w:keepNext w:val="0"/>
      <w:keepLines w:val="0"/>
      <w:widowControl w:val="0"/>
      <w:spacing w:line="360" w:lineRule="auto"/>
      <w:jc w:val="both"/>
    </w:pPr>
    <w:rPr>
      <w:rFonts w:ascii="黑体" w:eastAsia="黑体"/>
      <w:color w:val="000000"/>
      <w:kern w:val="2"/>
      <w:szCs w:val="24"/>
      <w:lang w:val="en-US"/>
    </w:rPr>
  </w:style>
  <w:style w:type="paragraph" w:customStyle="1" w:styleId="1069">
    <w:name w:val="xl105"/>
    <w:basedOn w:val="1"/>
    <w:qFormat/>
    <w:uiPriority w:val="99"/>
    <w:pPr>
      <w:pBdr>
        <w:top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070">
    <w:name w:val="表后空行"/>
    <w:basedOn w:val="1"/>
    <w:next w:val="1"/>
    <w:qFormat/>
    <w:uiPriority w:val="99"/>
    <w:pPr>
      <w:widowControl w:val="0"/>
      <w:jc w:val="both"/>
    </w:pPr>
    <w:rPr>
      <w:rFonts w:ascii="Times New Roman" w:hAnsi="Times New Roman" w:cs="Times New Roman"/>
      <w:kern w:val="18"/>
      <w:sz w:val="18"/>
    </w:rPr>
  </w:style>
  <w:style w:type="paragraph" w:customStyle="1" w:styleId="1071">
    <w:name w:val="项目点符号"/>
    <w:basedOn w:val="1"/>
    <w:qFormat/>
    <w:uiPriority w:val="99"/>
    <w:pPr>
      <w:widowControl w:val="0"/>
      <w:snapToGrid w:val="0"/>
      <w:jc w:val="both"/>
    </w:pPr>
    <w:rPr>
      <w:rFonts w:ascii="Times New Roman" w:hAnsi="Times New Roman" w:cs="Times New Roman"/>
      <w:bCs/>
      <w:sz w:val="21"/>
      <w:szCs w:val="21"/>
    </w:rPr>
  </w:style>
  <w:style w:type="paragraph" w:customStyle="1" w:styleId="1072">
    <w:name w:val="CM23"/>
    <w:basedOn w:val="103"/>
    <w:next w:val="103"/>
    <w:qFormat/>
    <w:uiPriority w:val="99"/>
    <w:pPr>
      <w:autoSpaceDE w:val="0"/>
      <w:autoSpaceDN w:val="0"/>
    </w:pPr>
    <w:rPr>
      <w:color w:val="auto"/>
    </w:rPr>
  </w:style>
  <w:style w:type="paragraph" w:customStyle="1" w:styleId="1073">
    <w:name w:val="样式 样式 注意 + 首行缩进:  2 字符 + 首行缩进:  2 字符"/>
    <w:basedOn w:val="80"/>
    <w:next w:val="80"/>
    <w:qFormat/>
    <w:uiPriority w:val="99"/>
    <w:pPr>
      <w:widowControl w:val="0"/>
      <w:tabs>
        <w:tab w:val="left" w:pos="628"/>
        <w:tab w:val="left" w:pos="1727"/>
        <w:tab w:val="left" w:pos="1884"/>
        <w:tab w:val="left" w:pos="2514"/>
        <w:tab w:val="left" w:pos="4900"/>
      </w:tabs>
      <w:autoSpaceDE w:val="0"/>
      <w:autoSpaceDN w:val="0"/>
      <w:adjustRightInd w:val="0"/>
      <w:snapToGrid w:val="0"/>
      <w:spacing w:after="0" w:line="360" w:lineRule="auto"/>
      <w:ind w:left="-2" w:leftChars="-1" w:right="-99" w:rightChars="-47" w:firstLine="480" w:firstLineChars="0"/>
    </w:pPr>
    <w:rPr>
      <w:color w:val="000000"/>
      <w:szCs w:val="21"/>
      <w:lang w:val="zh-CN"/>
    </w:rPr>
  </w:style>
  <w:style w:type="paragraph" w:customStyle="1" w:styleId="1074">
    <w:name w:val="表11"/>
    <w:basedOn w:val="13"/>
    <w:qFormat/>
    <w:uiPriority w:val="99"/>
    <w:pPr>
      <w:keepNext w:val="0"/>
      <w:keepLines w:val="0"/>
      <w:topLinePunct w:val="0"/>
      <w:adjustRightInd w:val="0"/>
      <w:snapToGrid w:val="0"/>
      <w:spacing w:before="0" w:after="0" w:line="360" w:lineRule="exact"/>
      <w:ind w:firstLine="0" w:firstLineChars="0"/>
      <w:outlineLvl w:val="9"/>
    </w:pPr>
    <w:rPr>
      <w:rFonts w:ascii="Times New Roman" w:hAnsi="Times New Roman" w:eastAsia="宋体"/>
      <w:sz w:val="21"/>
    </w:rPr>
  </w:style>
  <w:style w:type="paragraph" w:customStyle="1" w:styleId="1075">
    <w:name w:val="小表中密"/>
    <w:basedOn w:val="1"/>
    <w:qFormat/>
    <w:uiPriority w:val="99"/>
    <w:pPr>
      <w:keepNext/>
      <w:widowControl w:val="0"/>
      <w:adjustRightInd w:val="0"/>
      <w:snapToGrid w:val="0"/>
      <w:spacing w:line="240" w:lineRule="atLeast"/>
      <w:jc w:val="center"/>
    </w:pPr>
    <w:rPr>
      <w:rFonts w:cs="Times New Roman"/>
      <w:kern w:val="2"/>
      <w:sz w:val="18"/>
      <w:szCs w:val="18"/>
    </w:rPr>
  </w:style>
  <w:style w:type="paragraph" w:customStyle="1" w:styleId="1076">
    <w:name w:val="四级标题"/>
    <w:basedOn w:val="8"/>
    <w:next w:val="851"/>
    <w:qFormat/>
    <w:uiPriority w:val="0"/>
    <w:pPr>
      <w:keepNext w:val="0"/>
      <w:keepLines w:val="0"/>
      <w:widowControl w:val="0"/>
      <w:snapToGrid w:val="0"/>
      <w:spacing w:line="480" w:lineRule="exact"/>
      <w:jc w:val="both"/>
    </w:pPr>
    <w:rPr>
      <w:rFonts w:eastAsia="黑体" w:cs="Times New Roman"/>
      <w:bCs/>
      <w:color w:val="0070C0"/>
      <w:kern w:val="2"/>
      <w:szCs w:val="28"/>
      <w:lang w:val="en-US"/>
    </w:rPr>
  </w:style>
  <w:style w:type="paragraph" w:customStyle="1" w:styleId="1077">
    <w:name w:val="样式 表标12.2 + 段前: 1 行"/>
    <w:basedOn w:val="1"/>
    <w:qFormat/>
    <w:uiPriority w:val="99"/>
    <w:pPr>
      <w:widowControl w:val="0"/>
      <w:tabs>
        <w:tab w:val="left" w:pos="280"/>
        <w:tab w:val="left" w:pos="726"/>
      </w:tabs>
      <w:adjustRightInd w:val="0"/>
      <w:snapToGrid w:val="0"/>
      <w:spacing w:beforeLines="100" w:line="0" w:lineRule="atLeast"/>
      <w:ind w:left="2" w:firstLine="4"/>
      <w:jc w:val="center"/>
    </w:pPr>
    <w:rPr>
      <w:rFonts w:ascii="黑体" w:eastAsia="黑体"/>
      <w:b/>
      <w:bCs/>
      <w:kern w:val="2"/>
      <w:szCs w:val="20"/>
    </w:rPr>
  </w:style>
  <w:style w:type="paragraph" w:customStyle="1" w:styleId="1078">
    <w:name w:val="样式 燕山正文 + 首行缩进:  3.5 字符1"/>
    <w:basedOn w:val="757"/>
    <w:qFormat/>
    <w:uiPriority w:val="99"/>
    <w:pPr>
      <w:shd w:val="clear" w:color="auto" w:fill="auto"/>
      <w:ind w:firstLine="200"/>
      <w:jc w:val="both"/>
    </w:pPr>
    <w:rPr>
      <w:color w:val="000000"/>
      <w:sz w:val="28"/>
      <w:szCs w:val="20"/>
    </w:rPr>
  </w:style>
  <w:style w:type="paragraph" w:customStyle="1" w:styleId="1079">
    <w:name w:val="样式 标题 1 + 宋体 二号 加粗 两端对齐 段前: 17 磅 段后: 16.5 磅 行距: 多倍行距 2.41 ..."/>
    <w:basedOn w:val="4"/>
    <w:qFormat/>
    <w:uiPriority w:val="99"/>
    <w:pPr>
      <w:keepNext/>
      <w:keepLines/>
      <w:widowControl w:val="0"/>
      <w:spacing w:beforeLines="100" w:afterLines="100" w:line="578" w:lineRule="auto"/>
      <w:jc w:val="both"/>
    </w:pPr>
    <w:rPr>
      <w:rFonts w:ascii="Arial" w:hAnsi="Arial" w:eastAsia="宋体"/>
      <w:bCs/>
      <w:kern w:val="44"/>
      <w:sz w:val="44"/>
      <w:szCs w:val="44"/>
    </w:rPr>
  </w:style>
  <w:style w:type="paragraph" w:customStyle="1" w:styleId="1080">
    <w:name w:val="Company Name"/>
    <w:basedOn w:val="1"/>
    <w:next w:val="1"/>
    <w:qFormat/>
    <w:uiPriority w:val="99"/>
    <w:pPr>
      <w:tabs>
        <w:tab w:val="left" w:pos="2160"/>
        <w:tab w:val="right" w:pos="6480"/>
      </w:tabs>
      <w:spacing w:before="220" w:after="40" w:line="220" w:lineRule="atLeast"/>
      <w:ind w:right="-360"/>
    </w:pPr>
    <w:rPr>
      <w:rFonts w:ascii="Times New Roman" w:hAnsi="Times New Roman" w:cs="Times New Roman"/>
      <w:sz w:val="20"/>
      <w:szCs w:val="20"/>
    </w:rPr>
  </w:style>
  <w:style w:type="paragraph" w:customStyle="1" w:styleId="1081">
    <w:name w:val="表格字2"/>
    <w:basedOn w:val="1"/>
    <w:qFormat/>
    <w:uiPriority w:val="0"/>
    <w:pPr>
      <w:widowControl w:val="0"/>
      <w:jc w:val="both"/>
    </w:pPr>
    <w:rPr>
      <w:rFonts w:cs="Times New Roman"/>
      <w:color w:val="000000"/>
      <w:kern w:val="16"/>
      <w:sz w:val="21"/>
      <w:szCs w:val="21"/>
    </w:rPr>
  </w:style>
  <w:style w:type="paragraph" w:customStyle="1" w:styleId="1082">
    <w:name w:val="表内5中4"/>
    <w:basedOn w:val="992"/>
    <w:qFormat/>
    <w:uiPriority w:val="99"/>
    <w:pPr>
      <w:tabs>
        <w:tab w:val="clear" w:pos="4305"/>
      </w:tabs>
      <w:spacing w:line="240" w:lineRule="auto"/>
      <w:ind w:firstLine="0" w:firstLineChars="0"/>
    </w:pPr>
    <w:rPr>
      <w:rFonts w:hAnsi="Times New Roman"/>
      <w:bCs/>
      <w:color w:val="auto"/>
      <w:szCs w:val="20"/>
      <w:shd w:val="clear" w:color="auto" w:fill="auto"/>
    </w:rPr>
  </w:style>
  <w:style w:type="paragraph" w:customStyle="1" w:styleId="1083">
    <w:name w:val="样式 标题 4 + 宋体 小四 非加粗"/>
    <w:basedOn w:val="8"/>
    <w:qFormat/>
    <w:uiPriority w:val="99"/>
    <w:pPr>
      <w:widowControl w:val="0"/>
      <w:tabs>
        <w:tab w:val="left" w:pos="360"/>
        <w:tab w:val="left" w:pos="1984"/>
      </w:tabs>
      <w:spacing w:before="280" w:after="290" w:line="376" w:lineRule="auto"/>
      <w:ind w:left="1984" w:hanging="708"/>
      <w:jc w:val="both"/>
    </w:pPr>
    <w:rPr>
      <w:rFonts w:ascii="宋体" w:hAnsi="宋体" w:cs="Times New Roman"/>
      <w:szCs w:val="28"/>
      <w:lang w:val="en-US"/>
    </w:rPr>
  </w:style>
  <w:style w:type="paragraph" w:customStyle="1" w:styleId="1084">
    <w:name w:val="列表 J"/>
    <w:basedOn w:val="3"/>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085">
    <w:name w:val="xl27"/>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086">
    <w:name w:val="章标题"/>
    <w:next w:val="1"/>
    <w:qFormat/>
    <w:uiPriority w:val="0"/>
    <w:pPr>
      <w:tabs>
        <w:tab w:val="left" w:pos="425"/>
      </w:tabs>
      <w:spacing w:beforeLines="50" w:afterLines="50"/>
      <w:ind w:left="425" w:hanging="425"/>
      <w:jc w:val="both"/>
      <w:outlineLvl w:val="1"/>
    </w:pPr>
    <w:rPr>
      <w:rFonts w:ascii="黑体" w:hAnsi="Times New Roman" w:eastAsia="黑体" w:cs="Times New Roman"/>
      <w:sz w:val="21"/>
      <w:lang w:val="en-US" w:eastAsia="zh-CN" w:bidi="ar-SA"/>
    </w:rPr>
  </w:style>
  <w:style w:type="paragraph" w:customStyle="1" w:styleId="1087">
    <w:name w:val="正文段落（缩进）"/>
    <w:basedOn w:val="1"/>
    <w:next w:val="44"/>
    <w:qFormat/>
    <w:uiPriority w:val="99"/>
    <w:pPr>
      <w:widowControl w:val="0"/>
      <w:spacing w:line="360" w:lineRule="auto"/>
    </w:pPr>
    <w:rPr>
      <w:rFonts w:ascii="Times New Roman" w:hAnsi="Times New Roman" w:cs="Times New Roman"/>
      <w:szCs w:val="20"/>
    </w:rPr>
  </w:style>
  <w:style w:type="paragraph" w:customStyle="1" w:styleId="1088">
    <w:name w:val="[1]正文"/>
    <w:basedOn w:val="1"/>
    <w:qFormat/>
    <w:uiPriority w:val="99"/>
    <w:pPr>
      <w:widowControl w:val="0"/>
      <w:adjustRightInd w:val="0"/>
      <w:snapToGrid w:val="0"/>
      <w:spacing w:line="500" w:lineRule="exact"/>
      <w:ind w:firstLine="200" w:firstLineChars="200"/>
    </w:pPr>
    <w:rPr>
      <w:rFonts w:ascii="Times New Roman" w:hAnsi="Times New Roman" w:cs="Times New Roman"/>
      <w:sz w:val="28"/>
      <w:szCs w:val="28"/>
    </w:rPr>
  </w:style>
  <w:style w:type="paragraph" w:customStyle="1" w:styleId="1089">
    <w:name w:val="Char Char Char1 Char1"/>
    <w:basedOn w:val="1"/>
    <w:qFormat/>
    <w:uiPriority w:val="99"/>
    <w:pPr>
      <w:widowControl w:val="0"/>
      <w:jc w:val="both"/>
    </w:pPr>
    <w:rPr>
      <w:rFonts w:ascii="Times New Roman" w:hAnsi="Times New Roman" w:cs="Times New Roman"/>
      <w:kern w:val="2"/>
      <w:sz w:val="21"/>
    </w:rPr>
  </w:style>
  <w:style w:type="paragraph" w:customStyle="1" w:styleId="1090">
    <w:name w:val="CM2"/>
    <w:basedOn w:val="103"/>
    <w:next w:val="103"/>
    <w:qFormat/>
    <w:uiPriority w:val="99"/>
    <w:pPr>
      <w:autoSpaceDE w:val="0"/>
      <w:autoSpaceDN w:val="0"/>
      <w:spacing w:line="468" w:lineRule="atLeast"/>
    </w:pPr>
    <w:rPr>
      <w:color w:val="auto"/>
    </w:rPr>
  </w:style>
  <w:style w:type="paragraph" w:customStyle="1" w:styleId="1091">
    <w:name w:val="font9"/>
    <w:basedOn w:val="1"/>
    <w:qFormat/>
    <w:uiPriority w:val="99"/>
    <w:pPr>
      <w:spacing w:before="100" w:beforeAutospacing="1" w:after="100" w:afterAutospacing="1"/>
    </w:pPr>
    <w:rPr>
      <w:rFonts w:hint="eastAsia" w:cs="Arial Unicode MS"/>
      <w:b/>
      <w:bCs/>
      <w:sz w:val="44"/>
      <w:szCs w:val="44"/>
    </w:rPr>
  </w:style>
  <w:style w:type="paragraph" w:customStyle="1" w:styleId="1092">
    <w:name w:val="样式 加粗 黑色 首行缩进:  0 厘米"/>
    <w:basedOn w:val="1"/>
    <w:qFormat/>
    <w:uiPriority w:val="99"/>
    <w:pPr>
      <w:widowControl w:val="0"/>
      <w:tabs>
        <w:tab w:val="left" w:pos="425"/>
      </w:tabs>
      <w:spacing w:line="312" w:lineRule="auto"/>
      <w:ind w:left="425" w:hanging="425"/>
      <w:jc w:val="both"/>
    </w:pPr>
    <w:rPr>
      <w:rFonts w:ascii="Times New Roman" w:hAnsi="Times New Roman"/>
      <w:b/>
      <w:bCs/>
      <w:color w:val="000000"/>
      <w:kern w:val="2"/>
      <w:szCs w:val="20"/>
    </w:rPr>
  </w:style>
  <w:style w:type="paragraph" w:customStyle="1" w:styleId="1093">
    <w:name w:val="Char Char Char Char Char Char Char Char Char Char Char1 Char Char Char Char Char Char Char"/>
    <w:basedOn w:val="1"/>
    <w:qFormat/>
    <w:uiPriority w:val="0"/>
    <w:pPr>
      <w:widowControl w:val="0"/>
      <w:jc w:val="both"/>
    </w:pPr>
    <w:rPr>
      <w:rFonts w:ascii="Times New Roman" w:hAnsi="Times New Roman" w:cs="Times New Roman"/>
      <w:kern w:val="2"/>
      <w:sz w:val="21"/>
    </w:rPr>
  </w:style>
  <w:style w:type="paragraph" w:customStyle="1" w:styleId="1094">
    <w:name w:val="No Title"/>
    <w:basedOn w:val="1"/>
    <w:qFormat/>
    <w:uiPriority w:val="99"/>
    <w:pPr>
      <w:pBdr>
        <w:top w:val="single" w:color="FFFFFF" w:sz="6" w:space="2"/>
        <w:left w:val="single" w:color="FFFFFF" w:sz="6" w:space="2"/>
        <w:bottom w:val="single" w:color="FFFFFF" w:sz="6" w:space="2"/>
        <w:right w:val="single" w:color="FFFFFF" w:sz="6" w:space="2"/>
      </w:pBdr>
      <w:spacing w:before="120" w:line="280" w:lineRule="atLeast"/>
    </w:pPr>
    <w:rPr>
      <w:rFonts w:ascii="Arial" w:hAnsi="Arial" w:cs="Times New Roman"/>
      <w:b/>
      <w:spacing w:val="-10"/>
      <w:position w:val="7"/>
      <w:sz w:val="20"/>
      <w:szCs w:val="20"/>
    </w:rPr>
  </w:style>
  <w:style w:type="paragraph" w:customStyle="1" w:styleId="1095">
    <w:name w:val="CM3"/>
    <w:basedOn w:val="103"/>
    <w:next w:val="103"/>
    <w:qFormat/>
    <w:uiPriority w:val="99"/>
    <w:pPr>
      <w:autoSpaceDE w:val="0"/>
      <w:autoSpaceDN w:val="0"/>
      <w:spacing w:line="468" w:lineRule="atLeast"/>
    </w:pPr>
    <w:rPr>
      <w:color w:val="auto"/>
    </w:rPr>
  </w:style>
  <w:style w:type="paragraph" w:customStyle="1" w:styleId="1096">
    <w:name w:val="hei12"/>
    <w:basedOn w:val="1"/>
    <w:qFormat/>
    <w:uiPriority w:val="99"/>
    <w:pPr>
      <w:spacing w:before="100" w:beforeAutospacing="1" w:after="100" w:afterAutospacing="1" w:line="360" w:lineRule="atLeast"/>
    </w:pPr>
    <w:rPr>
      <w:rFonts w:ascii="Verdana" w:hAnsi="Verdana" w:cs="Times New Roman"/>
      <w:color w:val="000000"/>
      <w:sz w:val="22"/>
      <w:szCs w:val="20"/>
    </w:rPr>
  </w:style>
  <w:style w:type="paragraph" w:customStyle="1" w:styleId="1097">
    <w:name w:val="font5"/>
    <w:basedOn w:val="1"/>
    <w:qFormat/>
    <w:uiPriority w:val="99"/>
    <w:pPr>
      <w:spacing w:before="100" w:beforeAutospacing="1" w:after="100" w:afterAutospacing="1"/>
    </w:pPr>
    <w:rPr>
      <w:rFonts w:hint="eastAsia" w:cs="Arial Unicode MS"/>
      <w:sz w:val="18"/>
      <w:szCs w:val="18"/>
    </w:rPr>
  </w:style>
  <w:style w:type="paragraph" w:customStyle="1" w:styleId="1098">
    <w:name w:val="正文首行缩进1"/>
    <w:basedOn w:val="32"/>
    <w:qFormat/>
    <w:uiPriority w:val="99"/>
    <w:pPr>
      <w:widowControl w:val="0"/>
      <w:adjustRightInd w:val="0"/>
      <w:spacing w:line="312" w:lineRule="auto"/>
      <w:ind w:firstLine="567"/>
      <w:jc w:val="both"/>
      <w:textAlignment w:val="baseline"/>
    </w:pPr>
    <w:rPr>
      <w:rFonts w:ascii="Times New Roman" w:hAnsi="Times New Roman"/>
      <w:color w:val="auto"/>
      <w:kern w:val="0"/>
      <w:sz w:val="28"/>
      <w:szCs w:val="24"/>
    </w:rPr>
  </w:style>
  <w:style w:type="paragraph" w:customStyle="1" w:styleId="1099">
    <w:name w:val="Char11"/>
    <w:basedOn w:val="1"/>
    <w:qFormat/>
    <w:uiPriority w:val="99"/>
    <w:pPr>
      <w:widowControl w:val="0"/>
      <w:jc w:val="both"/>
    </w:pPr>
    <w:rPr>
      <w:rFonts w:ascii="Tahoma" w:hAnsi="Tahoma" w:cs="Times New Roman"/>
      <w:kern w:val="2"/>
      <w:szCs w:val="20"/>
    </w:rPr>
  </w:style>
  <w:style w:type="paragraph" w:customStyle="1" w:styleId="1100">
    <w:name w:val="样式 表头样式 + 两端对齐 段前: 0.5 行 段后: 0.5 行 首行缩进:  1 字符"/>
    <w:basedOn w:val="1031"/>
    <w:qFormat/>
    <w:uiPriority w:val="99"/>
    <w:pPr>
      <w:keepLines/>
      <w:spacing w:beforeLines="0"/>
      <w:ind w:firstLine="560" w:firstLineChars="200"/>
    </w:pPr>
    <w:rPr>
      <w:bCs w:val="0"/>
      <w:sz w:val="24"/>
      <w:szCs w:val="20"/>
    </w:rPr>
  </w:style>
  <w:style w:type="paragraph" w:customStyle="1" w:styleId="1101">
    <w:name w:val="列表 4U"/>
    <w:basedOn w:val="71"/>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102">
    <w:name w:val="xl52"/>
    <w:basedOn w:val="1"/>
    <w:qFormat/>
    <w:uiPriority w:val="99"/>
    <w:pPr>
      <w:pBdr>
        <w:top w:val="single" w:color="auto" w:sz="8" w:space="0"/>
        <w:bottom w:val="single" w:color="auto" w:sz="8" w:space="0"/>
        <w:right w:val="single" w:color="auto" w:sz="4" w:space="0"/>
      </w:pBdr>
      <w:spacing w:before="100" w:beforeAutospacing="1" w:after="100" w:afterAutospacing="1"/>
      <w:jc w:val="right"/>
    </w:pPr>
    <w:rPr>
      <w:rFonts w:eastAsia="仿宋_GB2312" w:cs="Times New Roman"/>
      <w:position w:val="-6"/>
      <w:szCs w:val="21"/>
    </w:rPr>
  </w:style>
  <w:style w:type="paragraph" w:customStyle="1" w:styleId="1103">
    <w:name w:val="表2"/>
    <w:basedOn w:val="32"/>
    <w:qFormat/>
    <w:uiPriority w:val="99"/>
    <w:pPr>
      <w:tabs>
        <w:tab w:val="left" w:pos="1260"/>
      </w:tabs>
      <w:autoSpaceDE w:val="0"/>
      <w:autoSpaceDN w:val="0"/>
      <w:adjustRightInd w:val="0"/>
      <w:snapToGrid w:val="0"/>
      <w:ind w:right="-91"/>
      <w:jc w:val="both"/>
      <w:textAlignment w:val="bottom"/>
    </w:pPr>
    <w:rPr>
      <w:rFonts w:ascii="Times New Roman" w:hAnsi="Times New Roman" w:eastAsia="仿宋_GB2312" w:cs="Arial"/>
      <w:color w:val="auto"/>
      <w:kern w:val="0"/>
      <w:sz w:val="20"/>
      <w:szCs w:val="21"/>
    </w:rPr>
  </w:style>
  <w:style w:type="paragraph" w:customStyle="1" w:styleId="1104">
    <w:name w:val="样式 表内小5中 + 下划线 居中"/>
    <w:basedOn w:val="949"/>
    <w:qFormat/>
    <w:uiPriority w:val="99"/>
    <w:pPr>
      <w:jc w:val="center"/>
    </w:pPr>
    <w:rPr>
      <w:szCs w:val="20"/>
      <w:u w:val="single"/>
    </w:rPr>
  </w:style>
  <w:style w:type="paragraph" w:customStyle="1" w:styleId="1105">
    <w:name w:val="尾消息标题"/>
    <w:basedOn w:val="1"/>
    <w:next w:val="32"/>
    <w:qFormat/>
    <w:uiPriority w:val="99"/>
    <w:pPr>
      <w:pBdr>
        <w:bottom w:val="single" w:color="auto" w:sz="6" w:space="19"/>
        <w:between w:val="single" w:color="auto" w:sz="6" w:space="19"/>
      </w:pBdr>
      <w:tabs>
        <w:tab w:val="left" w:pos="1260"/>
        <w:tab w:val="left" w:pos="2940"/>
      </w:tabs>
      <w:spacing w:line="0" w:lineRule="atLeast"/>
    </w:pPr>
    <w:rPr>
      <w:rFonts w:ascii="Times New Roman" w:hAnsi="Times New Roman" w:cs="Times New Roman"/>
      <w:sz w:val="18"/>
      <w:szCs w:val="18"/>
    </w:rPr>
  </w:style>
  <w:style w:type="paragraph" w:customStyle="1" w:styleId="1106">
    <w:name w:val="样式 标题 1 + 两端对齐1"/>
    <w:basedOn w:val="4"/>
    <w:qFormat/>
    <w:uiPriority w:val="99"/>
    <w:pPr>
      <w:keepLines/>
      <w:widowControl w:val="0"/>
      <w:tabs>
        <w:tab w:val="left" w:pos="720"/>
      </w:tabs>
      <w:spacing w:beforeLines="100" w:afterLines="100" w:line="312" w:lineRule="auto"/>
      <w:ind w:left="-4" w:firstLine="4"/>
      <w:jc w:val="both"/>
    </w:pPr>
    <w:rPr>
      <w:rFonts w:ascii="Times New Roman" w:hAnsi="Times New Roman" w:cs="宋体"/>
      <w:bCs/>
      <w:kern w:val="44"/>
      <w:szCs w:val="20"/>
    </w:rPr>
  </w:style>
  <w:style w:type="paragraph" w:customStyle="1" w:styleId="1107">
    <w:name w:val="特殊标题３"/>
    <w:basedOn w:val="1"/>
    <w:qFormat/>
    <w:uiPriority w:val="0"/>
    <w:pPr>
      <w:widowControl w:val="0"/>
      <w:overflowPunct w:val="0"/>
      <w:autoSpaceDE w:val="0"/>
      <w:autoSpaceDN w:val="0"/>
      <w:adjustRightInd w:val="0"/>
      <w:spacing w:line="360" w:lineRule="auto"/>
      <w:jc w:val="both"/>
    </w:pPr>
    <w:rPr>
      <w:rFonts w:ascii="Times New Roman" w:hAnsi="Times New Roman" w:eastAsia="仿宋_GB2312" w:cs="Times New Roman"/>
      <w:sz w:val="28"/>
      <w:szCs w:val="20"/>
    </w:rPr>
  </w:style>
  <w:style w:type="paragraph" w:customStyle="1" w:styleId="1108">
    <w:name w:val="Char Char Char Char Char Char Char Char Char Char Char Char Char Char Char"/>
    <w:basedOn w:val="1"/>
    <w:qFormat/>
    <w:uiPriority w:val="0"/>
    <w:pPr>
      <w:widowControl w:val="0"/>
      <w:jc w:val="both"/>
    </w:pPr>
    <w:rPr>
      <w:rFonts w:ascii="Times New Roman" w:hAnsi="Times New Roman" w:cs="Times New Roman"/>
      <w:kern w:val="2"/>
      <w:sz w:val="21"/>
    </w:rPr>
  </w:style>
  <w:style w:type="paragraph" w:customStyle="1" w:styleId="1109">
    <w:name w:val="正文样式1"/>
    <w:basedOn w:val="1"/>
    <w:qFormat/>
    <w:uiPriority w:val="99"/>
    <w:pPr>
      <w:widowControl w:val="0"/>
      <w:ind w:firstLine="200" w:firstLineChars="200"/>
      <w:jc w:val="both"/>
    </w:pPr>
    <w:rPr>
      <w:rFonts w:ascii="Times New Roman" w:hAnsi="Times New Roman" w:eastAsia="仿宋_GB2312" w:cs="Times New Roman"/>
      <w:kern w:val="2"/>
    </w:rPr>
  </w:style>
  <w:style w:type="paragraph" w:customStyle="1" w:styleId="1110">
    <w:name w:val="xl73"/>
    <w:basedOn w:val="1"/>
    <w:qFormat/>
    <w:uiPriority w:val="99"/>
    <w:pPr>
      <w:pBdr>
        <w:top w:val="single" w:color="auto" w:sz="4" w:space="0"/>
        <w:left w:val="single" w:color="auto" w:sz="4" w:space="0"/>
        <w:bottom w:val="single" w:color="auto" w:sz="4" w:space="0"/>
      </w:pBdr>
      <w:spacing w:before="100" w:beforeAutospacing="1" w:after="100" w:afterAutospacing="1"/>
      <w:jc w:val="right"/>
    </w:pPr>
    <w:rPr>
      <w:rFonts w:eastAsia="仿宋_GB2312" w:cs="Times New Roman"/>
      <w:position w:val="-6"/>
    </w:rPr>
  </w:style>
  <w:style w:type="paragraph" w:customStyle="1" w:styleId="1111">
    <w:name w:val="Char Char Char1 Char Char Char Char Char Char Char1"/>
    <w:basedOn w:val="1"/>
    <w:qFormat/>
    <w:uiPriority w:val="99"/>
    <w:pPr>
      <w:widowControl w:val="0"/>
      <w:jc w:val="both"/>
    </w:pPr>
    <w:rPr>
      <w:rFonts w:ascii="Times New Roman" w:hAnsi="Times New Roman" w:cs="Times New Roman"/>
      <w:kern w:val="2"/>
      <w:sz w:val="21"/>
    </w:rPr>
  </w:style>
  <w:style w:type="paragraph" w:customStyle="1" w:styleId="1112">
    <w:name w:val="列表 4G"/>
    <w:basedOn w:val="71"/>
    <w:qFormat/>
    <w:uiPriority w:val="99"/>
    <w:pPr>
      <w:tabs>
        <w:tab w:val="left" w:pos="645"/>
      </w:tabs>
      <w:topLinePunct w:val="0"/>
      <w:spacing w:beforeLines="50" w:afterLines="30" w:line="288" w:lineRule="auto"/>
      <w:ind w:left="645" w:leftChars="0" w:hanging="645" w:firstLineChars="0"/>
      <w:jc w:val="both"/>
    </w:pPr>
    <w:rPr>
      <w:rFonts w:ascii="Arial" w:hAnsi="Arial" w:eastAsia="宋体"/>
      <w:color w:val="CCFFFF"/>
      <w:sz w:val="24"/>
    </w:rPr>
  </w:style>
  <w:style w:type="paragraph" w:customStyle="1" w:styleId="1113">
    <w:name w:val="Char Char Char Char Char Char Char1"/>
    <w:basedOn w:val="1"/>
    <w:semiHidden/>
    <w:qFormat/>
    <w:uiPriority w:val="0"/>
    <w:pPr>
      <w:widowControl w:val="0"/>
      <w:jc w:val="both"/>
    </w:pPr>
    <w:rPr>
      <w:rFonts w:ascii="Times New Roman" w:hAnsi="Times New Roman" w:cs="Times New Roman"/>
      <w:kern w:val="2"/>
      <w:sz w:val="21"/>
    </w:rPr>
  </w:style>
  <w:style w:type="paragraph" w:customStyle="1" w:styleId="1114">
    <w:name w:val="表 头"/>
    <w:basedOn w:val="1"/>
    <w:qFormat/>
    <w:uiPriority w:val="99"/>
    <w:pPr>
      <w:widowControl w:val="0"/>
      <w:adjustRightInd w:val="0"/>
      <w:spacing w:before="120" w:after="120" w:line="360" w:lineRule="atLeast"/>
      <w:jc w:val="center"/>
    </w:pPr>
    <w:rPr>
      <w:rFonts w:ascii="Times New Roman" w:hAnsi="Times New Roman" w:eastAsia="黑体" w:cs="Times New Roman"/>
      <w:spacing w:val="10"/>
      <w:szCs w:val="20"/>
    </w:rPr>
  </w:style>
  <w:style w:type="paragraph" w:customStyle="1" w:styleId="1115">
    <w:name w:val="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116">
    <w:name w:val="xl38"/>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hint="eastAsia" w:ascii="仿宋_GB2312" w:hAnsi="Arial Unicode MS" w:eastAsia="仿宋_GB2312" w:cs="Arial Unicode MS"/>
      <w:szCs w:val="20"/>
    </w:rPr>
  </w:style>
  <w:style w:type="paragraph" w:customStyle="1" w:styleId="1117">
    <w:name w:val="表头王"/>
    <w:basedOn w:val="1"/>
    <w:qFormat/>
    <w:uiPriority w:val="99"/>
    <w:pPr>
      <w:widowControl w:val="0"/>
      <w:adjustRightInd w:val="0"/>
      <w:snapToGrid w:val="0"/>
      <w:spacing w:line="360" w:lineRule="auto"/>
      <w:jc w:val="center"/>
    </w:pPr>
    <w:rPr>
      <w:rFonts w:ascii="黑体" w:eastAsia="黑体" w:cs="Times New Roman"/>
      <w:b/>
      <w:kern w:val="2"/>
    </w:rPr>
  </w:style>
  <w:style w:type="paragraph" w:customStyle="1" w:styleId="1118">
    <w:name w:val="S表格"/>
    <w:basedOn w:val="1"/>
    <w:qFormat/>
    <w:uiPriority w:val="99"/>
    <w:pPr>
      <w:widowControl w:val="0"/>
      <w:spacing w:before="240" w:line="360" w:lineRule="auto"/>
      <w:jc w:val="both"/>
      <w:outlineLvl w:val="2"/>
    </w:pPr>
    <w:rPr>
      <w:rFonts w:ascii="Times New Roman" w:hAnsi="Times New Roman" w:cs="Times New Roman"/>
      <w:bCs/>
      <w:kern w:val="2"/>
    </w:rPr>
  </w:style>
  <w:style w:type="paragraph" w:customStyle="1" w:styleId="1119">
    <w:name w:val="xl59"/>
    <w:basedOn w:val="1"/>
    <w:qFormat/>
    <w:uiPriority w:val="99"/>
    <w:pPr>
      <w:pBdr>
        <w:top w:val="single" w:color="auto" w:sz="8" w:space="0"/>
        <w:bottom w:val="single" w:color="auto" w:sz="4" w:space="0"/>
        <w:right w:val="single" w:color="auto" w:sz="4" w:space="0"/>
      </w:pBdr>
      <w:spacing w:before="100" w:beforeAutospacing="1" w:after="100" w:afterAutospacing="1"/>
      <w:jc w:val="center"/>
    </w:pPr>
    <w:rPr>
      <w:rFonts w:eastAsia="仿宋_GB2312" w:cs="Times New Roman"/>
      <w:position w:val="-6"/>
      <w:szCs w:val="21"/>
    </w:rPr>
  </w:style>
  <w:style w:type="paragraph" w:customStyle="1" w:styleId="1120">
    <w:name w:val="Char Char Char2 Char Char Char Char Char Char Char Char Char Char"/>
    <w:basedOn w:val="1"/>
    <w:qFormat/>
    <w:uiPriority w:val="99"/>
    <w:pPr>
      <w:widowControl w:val="0"/>
      <w:jc w:val="both"/>
    </w:pPr>
    <w:rPr>
      <w:rFonts w:ascii="Times New Roman" w:hAnsi="Times New Roman" w:cs="Times New Roman"/>
      <w:kern w:val="2"/>
      <w:sz w:val="21"/>
    </w:rPr>
  </w:style>
  <w:style w:type="paragraph" w:customStyle="1" w:styleId="1121">
    <w:name w:val="Institution"/>
    <w:basedOn w:val="1"/>
    <w:next w:val="891"/>
    <w:qFormat/>
    <w:uiPriority w:val="99"/>
    <w:pPr>
      <w:tabs>
        <w:tab w:val="left" w:pos="2160"/>
        <w:tab w:val="right" w:pos="6480"/>
      </w:tabs>
      <w:spacing w:before="220" w:after="60" w:line="220" w:lineRule="atLeast"/>
      <w:ind w:right="-360"/>
    </w:pPr>
    <w:rPr>
      <w:rFonts w:ascii="Times New Roman" w:hAnsi="Times New Roman" w:cs="Times New Roman"/>
      <w:sz w:val="20"/>
      <w:szCs w:val="20"/>
    </w:rPr>
  </w:style>
  <w:style w:type="paragraph" w:customStyle="1" w:styleId="1122">
    <w:name w:val="13点"/>
    <w:basedOn w:val="1"/>
    <w:qFormat/>
    <w:uiPriority w:val="99"/>
    <w:pPr>
      <w:widowControl w:val="0"/>
      <w:adjustRightInd w:val="0"/>
      <w:snapToGrid w:val="0"/>
      <w:jc w:val="center"/>
    </w:pPr>
    <w:rPr>
      <w:rFonts w:cs="Times New Roman"/>
      <w:kern w:val="2"/>
      <w:szCs w:val="28"/>
    </w:rPr>
  </w:style>
  <w:style w:type="paragraph" w:customStyle="1" w:styleId="1123">
    <w:name w:val="正文表标题"/>
    <w:next w:val="8"/>
    <w:qFormat/>
    <w:uiPriority w:val="99"/>
    <w:pPr>
      <w:jc w:val="center"/>
    </w:pPr>
    <w:rPr>
      <w:rFonts w:ascii="黑体" w:hAnsi="Times New Roman" w:eastAsia="黑体" w:cs="Times New Roman"/>
      <w:sz w:val="21"/>
      <w:lang w:val="en-US" w:eastAsia="zh-CN" w:bidi="ar-SA"/>
    </w:rPr>
  </w:style>
  <w:style w:type="paragraph" w:customStyle="1" w:styleId="1124">
    <w:name w:val="列表 5T"/>
    <w:basedOn w:val="65"/>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125">
    <w:name w:val="yxp_表格内文字"/>
    <w:basedOn w:val="1"/>
    <w:qFormat/>
    <w:uiPriority w:val="0"/>
    <w:pPr>
      <w:widowControl w:val="0"/>
      <w:jc w:val="both"/>
    </w:pPr>
    <w:rPr>
      <w:rFonts w:ascii="Times New Roman" w:hAnsi="Times New Roman"/>
      <w:sz w:val="28"/>
    </w:rPr>
  </w:style>
  <w:style w:type="paragraph" w:customStyle="1" w:styleId="1126">
    <w:name w:val="表标题2.2"/>
    <w:basedOn w:val="1"/>
    <w:qFormat/>
    <w:uiPriority w:val="99"/>
    <w:pPr>
      <w:tabs>
        <w:tab w:val="left" w:pos="726"/>
        <w:tab w:val="left" w:pos="8207"/>
      </w:tabs>
      <w:adjustRightInd w:val="0"/>
      <w:snapToGrid w:val="0"/>
      <w:spacing w:before="240" w:line="0" w:lineRule="atLeast"/>
      <w:ind w:left="2" w:firstLine="4"/>
      <w:jc w:val="center"/>
      <w:textAlignment w:val="baseline"/>
    </w:pPr>
    <w:rPr>
      <w:rFonts w:ascii="Times New Roman" w:hAnsi="Times New Roman" w:eastAsia="黑体" w:cs="Times New Roman"/>
      <w:b/>
      <w:color w:val="000000"/>
      <w:kern w:val="2"/>
    </w:rPr>
  </w:style>
  <w:style w:type="paragraph" w:customStyle="1" w:styleId="1127">
    <w:name w:val="font0"/>
    <w:basedOn w:val="1"/>
    <w:qFormat/>
    <w:uiPriority w:val="99"/>
    <w:pPr>
      <w:spacing w:before="100" w:beforeAutospacing="1" w:after="100" w:afterAutospacing="1"/>
    </w:pPr>
    <w:rPr>
      <w:rFonts w:hint="eastAsia" w:cs="Arial Unicode MS"/>
      <w:szCs w:val="20"/>
    </w:rPr>
  </w:style>
  <w:style w:type="paragraph" w:customStyle="1" w:styleId="1128">
    <w:name w:val="0005左缩2"/>
    <w:basedOn w:val="1"/>
    <w:qFormat/>
    <w:uiPriority w:val="99"/>
    <w:pPr>
      <w:autoSpaceDE w:val="0"/>
      <w:autoSpaceDN w:val="0"/>
      <w:adjustRightInd w:val="0"/>
      <w:spacing w:afterLines="30" w:line="500" w:lineRule="exact"/>
      <w:ind w:firstLine="200" w:firstLineChars="200"/>
      <w:jc w:val="both"/>
    </w:pPr>
    <w:rPr>
      <w:rFonts w:cs="Times New Roman"/>
      <w:kern w:val="2"/>
      <w:sz w:val="28"/>
      <w:szCs w:val="28"/>
    </w:rPr>
  </w:style>
  <w:style w:type="paragraph" w:customStyle="1" w:styleId="1129">
    <w:name w:val="样式 样式 样式 正文首行缩进 + 黑体 四号 黑色 + 右侧:  -0.47 字符 + 左侧:  1.52 厘米 首行缩进:..."/>
    <w:basedOn w:val="8"/>
    <w:next w:val="8"/>
    <w:qFormat/>
    <w:uiPriority w:val="99"/>
    <w:pPr>
      <w:widowControl w:val="0"/>
      <w:tabs>
        <w:tab w:val="left" w:pos="360"/>
        <w:tab w:val="left" w:pos="1680"/>
        <w:tab w:val="left" w:pos="3316"/>
      </w:tabs>
      <w:spacing w:line="360" w:lineRule="auto"/>
      <w:ind w:left="1680" w:hanging="420"/>
      <w:jc w:val="both"/>
    </w:pPr>
    <w:rPr>
      <w:rFonts w:ascii="宋体" w:hAnsi="Arial" w:cs="Times New Roman"/>
      <w:bCs/>
      <w:kern w:val="2"/>
      <w:sz w:val="28"/>
      <w:lang w:val="en-US"/>
    </w:rPr>
  </w:style>
  <w:style w:type="paragraph" w:customStyle="1" w:styleId="1130">
    <w:name w:val="表4.14－1"/>
    <w:basedOn w:val="1"/>
    <w:qFormat/>
    <w:uiPriority w:val="99"/>
    <w:pPr>
      <w:widowControl w:val="0"/>
      <w:tabs>
        <w:tab w:val="left" w:pos="726"/>
        <w:tab w:val="center" w:pos="4060"/>
        <w:tab w:val="right" w:pos="8261"/>
      </w:tabs>
      <w:suppressAutoHyphens/>
      <w:adjustRightInd w:val="0"/>
      <w:spacing w:beforeLines="100" w:line="0" w:lineRule="atLeast"/>
      <w:ind w:left="2" w:firstLine="4"/>
      <w:jc w:val="center"/>
    </w:pPr>
    <w:rPr>
      <w:rFonts w:ascii="黑体" w:hAnsi="Times New Roman" w:eastAsia="黑体"/>
      <w:b/>
      <w:bCs/>
      <w:spacing w:val="6"/>
      <w:szCs w:val="20"/>
    </w:rPr>
  </w:style>
  <w:style w:type="paragraph" w:customStyle="1" w:styleId="1131">
    <w:name w:val="样式5"/>
    <w:basedOn w:val="6"/>
    <w:qFormat/>
    <w:uiPriority w:val="99"/>
    <w:pPr>
      <w:widowControl w:val="0"/>
      <w:adjustRightInd w:val="0"/>
      <w:snapToGrid w:val="0"/>
      <w:spacing w:line="360" w:lineRule="auto"/>
      <w:ind w:firstLine="420"/>
      <w:textAlignment w:val="baseline"/>
    </w:pPr>
    <w:rPr>
      <w:rFonts w:ascii="Times New Roman" w:hAnsi="Times New Roman"/>
      <w:sz w:val="24"/>
    </w:rPr>
  </w:style>
  <w:style w:type="paragraph" w:customStyle="1" w:styleId="1132">
    <w:name w:val="样式 样式 首行缩进:  2 字符 + 首行缩进:  2 字符"/>
    <w:basedOn w:val="1"/>
    <w:qFormat/>
    <w:uiPriority w:val="99"/>
    <w:pPr>
      <w:widowControl w:val="0"/>
      <w:ind w:firstLine="587" w:firstLineChars="200"/>
      <w:jc w:val="both"/>
    </w:pPr>
    <w:rPr>
      <w:rFonts w:hAnsi="Times New Roman" w:cs="Times New Roman"/>
      <w:kern w:val="2"/>
      <w:sz w:val="27"/>
      <w:szCs w:val="27"/>
    </w:rPr>
  </w:style>
  <w:style w:type="paragraph" w:customStyle="1" w:styleId="1133">
    <w:name w:val="列表 2E"/>
    <w:basedOn w:val="37"/>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134">
    <w:name w:val="样式 样式 样式 正文首行缩进 + 首行缩进:  2 字符 + 首行缩进:  2 字符 + 首行缩进:  2 字符"/>
    <w:basedOn w:val="1"/>
    <w:qFormat/>
    <w:uiPriority w:val="99"/>
    <w:pPr>
      <w:tabs>
        <w:tab w:val="left" w:pos="628"/>
        <w:tab w:val="left" w:pos="1727"/>
        <w:tab w:val="left" w:pos="1884"/>
        <w:tab w:val="left" w:pos="2660"/>
        <w:tab w:val="left" w:pos="5460"/>
      </w:tabs>
      <w:autoSpaceDE w:val="0"/>
      <w:snapToGrid w:val="0"/>
      <w:spacing w:line="360" w:lineRule="auto"/>
      <w:ind w:firstLine="200" w:firstLineChars="200"/>
    </w:pPr>
    <w:rPr>
      <w:rFonts w:hAnsi="Times New Roman"/>
      <w:snapToGrid w:val="0"/>
      <w:color w:val="000000"/>
      <w:sz w:val="28"/>
      <w:szCs w:val="20"/>
    </w:rPr>
  </w:style>
  <w:style w:type="paragraph" w:customStyle="1" w:styleId="1135">
    <w:name w:val="正文表格"/>
    <w:basedOn w:val="1"/>
    <w:qFormat/>
    <w:uiPriority w:val="0"/>
    <w:pPr>
      <w:keepNext/>
      <w:keepLines/>
      <w:widowControl w:val="0"/>
      <w:tabs>
        <w:tab w:val="center" w:pos="6804"/>
      </w:tabs>
      <w:overflowPunct w:val="0"/>
      <w:adjustRightInd w:val="0"/>
      <w:spacing w:before="80"/>
      <w:jc w:val="center"/>
      <w:textAlignment w:val="bottom"/>
    </w:pPr>
    <w:rPr>
      <w:rFonts w:ascii="Times New Roman" w:hAnsi="Times New Roman" w:cs="Times New Roman"/>
      <w:sz w:val="28"/>
      <w:szCs w:val="20"/>
    </w:rPr>
  </w:style>
  <w:style w:type="paragraph" w:customStyle="1" w:styleId="1136">
    <w:name w:val="CM11"/>
    <w:basedOn w:val="103"/>
    <w:next w:val="103"/>
    <w:qFormat/>
    <w:uiPriority w:val="99"/>
    <w:pPr>
      <w:autoSpaceDE w:val="0"/>
      <w:autoSpaceDN w:val="0"/>
      <w:spacing w:line="456" w:lineRule="atLeast"/>
    </w:pPr>
    <w:rPr>
      <w:rFonts w:ascii="宋体" w:cs="宋体"/>
      <w:color w:val="auto"/>
    </w:rPr>
  </w:style>
  <w:style w:type="paragraph" w:customStyle="1" w:styleId="1137">
    <w:name w:val="Personal Info"/>
    <w:basedOn w:val="891"/>
    <w:qFormat/>
    <w:uiPriority w:val="99"/>
    <w:pPr>
      <w:spacing w:before="220"/>
    </w:pPr>
  </w:style>
  <w:style w:type="paragraph" w:customStyle="1" w:styleId="1138">
    <w:name w:val="符号说明"/>
    <w:basedOn w:val="1"/>
    <w:qFormat/>
    <w:uiPriority w:val="99"/>
    <w:pPr>
      <w:widowControl w:val="0"/>
      <w:tabs>
        <w:tab w:val="left" w:pos="1260"/>
        <w:tab w:val="left" w:pos="3780"/>
        <w:tab w:val="left" w:pos="4680"/>
      </w:tabs>
      <w:spacing w:line="360" w:lineRule="auto"/>
      <w:ind w:firstLine="840" w:firstLineChars="400"/>
      <w:jc w:val="both"/>
    </w:pPr>
    <w:rPr>
      <w:rFonts w:ascii="Times New Roman" w:hAnsi="Times New Roman" w:cs="Times New Roman"/>
      <w:kern w:val="2"/>
      <w:sz w:val="21"/>
      <w:szCs w:val="21"/>
    </w:rPr>
  </w:style>
  <w:style w:type="paragraph" w:customStyle="1" w:styleId="1139">
    <w:name w:val="二级条标题"/>
    <w:basedOn w:val="1140"/>
    <w:next w:val="1"/>
    <w:qFormat/>
    <w:uiPriority w:val="99"/>
    <w:pPr>
      <w:tabs>
        <w:tab w:val="left" w:pos="360"/>
        <w:tab w:val="left" w:pos="709"/>
        <w:tab w:val="left" w:pos="851"/>
        <w:tab w:val="left" w:pos="903"/>
        <w:tab w:val="left" w:pos="1260"/>
        <w:tab w:val="left" w:pos="1680"/>
      </w:tabs>
      <w:ind w:left="1680"/>
      <w:outlineLvl w:val="3"/>
    </w:pPr>
  </w:style>
  <w:style w:type="paragraph" w:customStyle="1" w:styleId="1140">
    <w:name w:val="一级条标题"/>
    <w:basedOn w:val="4"/>
    <w:next w:val="1"/>
    <w:qFormat/>
    <w:uiPriority w:val="99"/>
    <w:pPr>
      <w:tabs>
        <w:tab w:val="left" w:pos="360"/>
        <w:tab w:val="left" w:pos="709"/>
        <w:tab w:val="left" w:pos="903"/>
        <w:tab w:val="left" w:pos="1260"/>
      </w:tabs>
      <w:spacing w:beforeLines="100" w:afterLines="100"/>
      <w:ind w:left="1260" w:hanging="420"/>
      <w:jc w:val="both"/>
      <w:outlineLvl w:val="2"/>
    </w:pPr>
    <w:rPr>
      <w:rFonts w:ascii="黑体" w:hAnsi="Times New Roman"/>
      <w:b/>
      <w:kern w:val="0"/>
      <w:sz w:val="21"/>
      <w:szCs w:val="20"/>
    </w:rPr>
  </w:style>
  <w:style w:type="paragraph" w:customStyle="1" w:styleId="1141">
    <w:name w:val="表内宋5中"/>
    <w:basedOn w:val="6"/>
    <w:qFormat/>
    <w:uiPriority w:val="99"/>
    <w:pPr>
      <w:widowControl w:val="0"/>
      <w:autoSpaceDE w:val="0"/>
      <w:autoSpaceDN w:val="0"/>
      <w:adjustRightInd w:val="0"/>
      <w:snapToGrid w:val="0"/>
      <w:spacing w:line="240" w:lineRule="auto"/>
      <w:ind w:firstLine="0"/>
      <w:jc w:val="center"/>
    </w:pPr>
    <w:rPr>
      <w:rFonts w:ascii="宋体" w:hAnsi="宋体"/>
      <w:sz w:val="20"/>
    </w:rPr>
  </w:style>
  <w:style w:type="paragraph" w:customStyle="1" w:styleId="1142">
    <w:name w:val="环正文"/>
    <w:basedOn w:val="1"/>
    <w:semiHidden/>
    <w:qFormat/>
    <w:uiPriority w:val="99"/>
    <w:pPr>
      <w:tabs>
        <w:tab w:val="left" w:pos="5094"/>
      </w:tabs>
      <w:adjustRightInd w:val="0"/>
      <w:spacing w:line="440" w:lineRule="exact"/>
      <w:ind w:firstLine="464" w:firstLineChars="200"/>
      <w:jc w:val="both"/>
      <w:textAlignment w:val="baseline"/>
    </w:pPr>
    <w:rPr>
      <w:rFonts w:cs="Times New Roman"/>
      <w:color w:val="000000"/>
      <w:spacing w:val="-4"/>
      <w:szCs w:val="20"/>
    </w:rPr>
  </w:style>
  <w:style w:type="paragraph" w:customStyle="1" w:styleId="1143">
    <w:name w:val="WPS Plain"/>
    <w:qFormat/>
    <w:uiPriority w:val="99"/>
    <w:rPr>
      <w:rFonts w:ascii="Times New Roman" w:hAnsi="Times New Roman" w:eastAsia="宋体" w:cs="Times New Roman"/>
      <w:lang w:val="en-US" w:eastAsia="zh-CN" w:bidi="ar-SA"/>
    </w:rPr>
  </w:style>
  <w:style w:type="paragraph" w:customStyle="1" w:styleId="1144">
    <w:name w:val="样式 标题 4常用标题 4 + 段前: 6 磅 段后: 6 磅 行距: 固定值 26 磅"/>
    <w:basedOn w:val="8"/>
    <w:qFormat/>
    <w:uiPriority w:val="99"/>
    <w:pPr>
      <w:widowControl w:val="0"/>
      <w:tabs>
        <w:tab w:val="left" w:pos="360"/>
        <w:tab w:val="left" w:pos="800"/>
        <w:tab w:val="left" w:pos="1440"/>
      </w:tabs>
      <w:spacing w:before="120" w:after="120" w:line="520" w:lineRule="exact"/>
      <w:jc w:val="both"/>
    </w:pPr>
    <w:rPr>
      <w:rFonts w:ascii="Arial" w:hAnsi="Arial" w:eastAsia="黑体"/>
      <w:bCs/>
      <w:sz w:val="28"/>
      <w:lang w:val="en-US"/>
    </w:rPr>
  </w:style>
  <w:style w:type="paragraph" w:customStyle="1" w:styleId="1145">
    <w:name w:val="内蒙正文"/>
    <w:basedOn w:val="1"/>
    <w:qFormat/>
    <w:uiPriority w:val="99"/>
    <w:pPr>
      <w:widowControl w:val="0"/>
      <w:spacing w:line="480" w:lineRule="exact"/>
      <w:ind w:firstLine="560" w:firstLineChars="200"/>
      <w:jc w:val="both"/>
    </w:pPr>
    <w:rPr>
      <w:rFonts w:ascii="Times New Roman" w:eastAsia="Times New Roman" w:cs="Times New Roman"/>
      <w:color w:val="FF0000"/>
      <w:spacing w:val="20"/>
      <w:kern w:val="2"/>
    </w:rPr>
  </w:style>
  <w:style w:type="paragraph" w:customStyle="1" w:styleId="1146">
    <w:name w:val="xl70"/>
    <w:basedOn w:val="1"/>
    <w:qFormat/>
    <w:uiPriority w:val="99"/>
    <w:pPr>
      <w:pBdr>
        <w:bottom w:val="single" w:color="auto" w:sz="4" w:space="0"/>
      </w:pBdr>
      <w:spacing w:before="100" w:beforeAutospacing="1" w:after="100" w:afterAutospacing="1"/>
      <w:jc w:val="right"/>
    </w:pPr>
    <w:rPr>
      <w:rFonts w:eastAsia="仿宋_GB2312" w:cs="Times New Roman"/>
      <w:position w:val="-6"/>
      <w:szCs w:val="21"/>
    </w:rPr>
  </w:style>
  <w:style w:type="paragraph" w:customStyle="1" w:styleId="1147">
    <w:name w:val="样式 表标题3.10 + 段前: 1 行"/>
    <w:basedOn w:val="914"/>
    <w:qFormat/>
    <w:uiPriority w:val="99"/>
    <w:pPr>
      <w:tabs>
        <w:tab w:val="left" w:pos="726"/>
        <w:tab w:val="clear" w:pos="4060"/>
        <w:tab w:val="clear" w:pos="8261"/>
      </w:tabs>
      <w:ind w:left="2" w:firstLine="4"/>
    </w:pPr>
    <w:rPr>
      <w:rFonts w:cs="宋体"/>
      <w:bCs/>
      <w:spacing w:val="0"/>
    </w:rPr>
  </w:style>
  <w:style w:type="paragraph" w:customStyle="1" w:styleId="1148">
    <w:name w:val="码头表"/>
    <w:basedOn w:val="1"/>
    <w:qFormat/>
    <w:uiPriority w:val="99"/>
    <w:pPr>
      <w:widowControl w:val="0"/>
      <w:jc w:val="center"/>
    </w:pPr>
    <w:rPr>
      <w:rFonts w:cs="Times New Roman"/>
      <w:color w:val="000000"/>
      <w:kern w:val="2"/>
      <w:sz w:val="18"/>
    </w:rPr>
  </w:style>
  <w:style w:type="paragraph" w:customStyle="1" w:styleId="1149">
    <w:name w:val="lyh正文"/>
    <w:basedOn w:val="1"/>
    <w:qFormat/>
    <w:uiPriority w:val="0"/>
    <w:pPr>
      <w:widowControl w:val="0"/>
      <w:adjustRightInd w:val="0"/>
      <w:snapToGrid w:val="0"/>
      <w:spacing w:line="360" w:lineRule="auto"/>
      <w:ind w:firstLine="200" w:firstLineChars="200"/>
    </w:pPr>
    <w:rPr>
      <w:rFonts w:cs="Times New Roman"/>
      <w:bCs/>
      <w:kern w:val="2"/>
      <w:sz w:val="28"/>
      <w:szCs w:val="32"/>
    </w:rPr>
  </w:style>
  <w:style w:type="paragraph" w:customStyle="1" w:styleId="1150">
    <w:name w:val="表格标题"/>
    <w:basedOn w:val="1"/>
    <w:next w:val="1"/>
    <w:qFormat/>
    <w:uiPriority w:val="0"/>
    <w:pPr>
      <w:adjustRightInd w:val="0"/>
      <w:snapToGrid w:val="0"/>
      <w:ind w:firstLine="200" w:firstLineChars="200"/>
      <w:jc w:val="center"/>
    </w:pPr>
    <w:rPr>
      <w:rFonts w:ascii="Times New Roman" w:hAnsi="Times New Roman" w:eastAsia="黑体" w:cs="黑体"/>
      <w:b/>
      <w:sz w:val="21"/>
      <w:szCs w:val="22"/>
    </w:rPr>
  </w:style>
  <w:style w:type="paragraph" w:customStyle="1" w:styleId="1151">
    <w:name w:val="CM65"/>
    <w:basedOn w:val="103"/>
    <w:next w:val="103"/>
    <w:qFormat/>
    <w:uiPriority w:val="99"/>
    <w:pPr>
      <w:autoSpaceDE w:val="0"/>
      <w:autoSpaceDN w:val="0"/>
      <w:spacing w:after="418"/>
    </w:pPr>
    <w:rPr>
      <w:color w:val="auto"/>
    </w:rPr>
  </w:style>
  <w:style w:type="paragraph" w:customStyle="1" w:styleId="1152">
    <w:name w:val="样式 标题 2 + Times New Roman 小三 居中 行距: 单倍行距"/>
    <w:basedOn w:val="5"/>
    <w:qFormat/>
    <w:uiPriority w:val="99"/>
    <w:pPr>
      <w:spacing w:before="260" w:after="260" w:line="240" w:lineRule="auto"/>
      <w:ind w:firstLine="538" w:firstLineChars="192"/>
    </w:pPr>
    <w:rPr>
      <w:rFonts w:ascii="Times New Roman" w:hAnsi="Times New Roman" w:cs="宋体"/>
      <w:b/>
      <w:bCs w:val="0"/>
      <w:sz w:val="30"/>
      <w:szCs w:val="20"/>
    </w:rPr>
  </w:style>
  <w:style w:type="paragraph" w:customStyle="1" w:styleId="1153">
    <w:name w:val="表格式"/>
    <w:basedOn w:val="3"/>
    <w:qFormat/>
    <w:uiPriority w:val="99"/>
    <w:pPr>
      <w:spacing w:beforeLines="50" w:afterLines="50" w:line="200" w:lineRule="exact"/>
      <w:ind w:left="0" w:firstLine="0"/>
      <w:jc w:val="center"/>
    </w:pPr>
    <w:rPr>
      <w:rFonts w:hint="default" w:ascii="Times New Roman" w:eastAsia="宋体"/>
      <w:kern w:val="0"/>
      <w:sz w:val="20"/>
      <w:szCs w:val="20"/>
    </w:rPr>
  </w:style>
  <w:style w:type="paragraph" w:customStyle="1" w:styleId="1154">
    <w:name w:val="样式 样式 题注 + (西文) 宋体 + 段后: 1 行"/>
    <w:basedOn w:val="1"/>
    <w:qFormat/>
    <w:uiPriority w:val="99"/>
    <w:pPr>
      <w:keepNext/>
      <w:widowControl w:val="0"/>
      <w:spacing w:line="360" w:lineRule="auto"/>
      <w:ind w:firstLine="200" w:firstLineChars="200"/>
    </w:pPr>
    <w:rPr>
      <w:color w:val="000000"/>
      <w:kern w:val="2"/>
      <w:sz w:val="28"/>
      <w:szCs w:val="20"/>
    </w:rPr>
  </w:style>
  <w:style w:type="paragraph" w:customStyle="1" w:styleId="1155">
    <w:name w:val="列表 2G"/>
    <w:basedOn w:val="37"/>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156">
    <w:name w:val="列表1"/>
    <w:basedOn w:val="37"/>
    <w:qFormat/>
    <w:uiPriority w:val="0"/>
    <w:pPr>
      <w:widowControl/>
      <w:snapToGrid/>
      <w:jc w:val="left"/>
    </w:pPr>
    <w:rPr>
      <w:rFonts w:ascii="Times New Roman"/>
      <w:kern w:val="0"/>
    </w:rPr>
  </w:style>
  <w:style w:type="paragraph" w:customStyle="1" w:styleId="1157">
    <w:name w:val="封面标准文稿编辑信息"/>
    <w:qFormat/>
    <w:uiPriority w:val="99"/>
    <w:pPr>
      <w:spacing w:before="180" w:line="180" w:lineRule="exact"/>
      <w:jc w:val="center"/>
    </w:pPr>
    <w:rPr>
      <w:rFonts w:ascii="宋体" w:hAnsi="Times New Roman" w:eastAsia="宋体" w:cs="Times New Roman"/>
      <w:sz w:val="21"/>
      <w:lang w:val="en-US" w:eastAsia="zh-CN" w:bidi="ar-SA"/>
    </w:rPr>
  </w:style>
  <w:style w:type="paragraph" w:customStyle="1" w:styleId="1158">
    <w:name w:val="CM12"/>
    <w:basedOn w:val="1"/>
    <w:next w:val="1"/>
    <w:qFormat/>
    <w:uiPriority w:val="99"/>
    <w:pPr>
      <w:widowControl w:val="0"/>
      <w:autoSpaceDE w:val="0"/>
      <w:autoSpaceDN w:val="0"/>
      <w:adjustRightInd w:val="0"/>
      <w:spacing w:line="456" w:lineRule="atLeast"/>
    </w:pPr>
    <w:rPr>
      <w:rFonts w:hAnsi="Times New Roman"/>
    </w:rPr>
  </w:style>
  <w:style w:type="paragraph" w:customStyle="1" w:styleId="1159">
    <w:name w:val="标题样式2"/>
    <w:basedOn w:val="5"/>
    <w:qFormat/>
    <w:uiPriority w:val="99"/>
    <w:pPr>
      <w:keepNext w:val="0"/>
      <w:keepLines w:val="0"/>
      <w:widowControl w:val="0"/>
      <w:tabs>
        <w:tab w:val="left" w:pos="1260"/>
        <w:tab w:val="left" w:pos="4142"/>
        <w:tab w:val="left" w:pos="6833"/>
        <w:tab w:val="left" w:pos="9030"/>
        <w:tab w:val="left" w:pos="9287"/>
      </w:tabs>
      <w:overflowPunct w:val="0"/>
      <w:topLinePunct/>
      <w:autoSpaceDE w:val="0"/>
      <w:autoSpaceDN w:val="0"/>
      <w:adjustRightInd w:val="0"/>
      <w:snapToGrid w:val="0"/>
      <w:spacing w:beforeLines="5" w:afterLines="5" w:line="360" w:lineRule="atLeast"/>
      <w:ind w:left="1260" w:hanging="420"/>
      <w:jc w:val="center"/>
      <w:textAlignment w:val="baseline"/>
      <w:outlineLvl w:val="9"/>
    </w:pPr>
    <w:rPr>
      <w:rFonts w:ascii="Times New Roman" w:hAnsi="Times New Roman" w:eastAsia="宋体"/>
      <w:sz w:val="24"/>
      <w:szCs w:val="20"/>
    </w:rPr>
  </w:style>
  <w:style w:type="paragraph" w:customStyle="1" w:styleId="1160">
    <w:name w:val="T表格"/>
    <w:semiHidden/>
    <w:qFormat/>
    <w:uiPriority w:val="99"/>
    <w:pPr>
      <w:adjustRightInd w:val="0"/>
      <w:snapToGrid w:val="0"/>
      <w:spacing w:line="360" w:lineRule="auto"/>
      <w:jc w:val="center"/>
    </w:pPr>
    <w:rPr>
      <w:rFonts w:ascii="Times New Roman" w:hAnsi="Times New Roman" w:eastAsia="宋体" w:cs="Times New Roman"/>
      <w:color w:val="000000"/>
      <w:sz w:val="21"/>
      <w:lang w:val="en-US" w:eastAsia="zh-CN" w:bidi="ar-SA"/>
    </w:rPr>
  </w:style>
  <w:style w:type="paragraph" w:customStyle="1" w:styleId="1161">
    <w:name w:val="Name"/>
    <w:basedOn w:val="1"/>
    <w:next w:val="1"/>
    <w:qFormat/>
    <w:uiPriority w:val="99"/>
    <w:pPr>
      <w:spacing w:after="440" w:line="240" w:lineRule="atLeast"/>
      <w:ind w:left="2160"/>
    </w:pPr>
    <w:rPr>
      <w:rFonts w:ascii="Times New Roman" w:hAnsi="Times New Roman" w:cs="Times New Roman"/>
      <w:spacing w:val="-20"/>
      <w:sz w:val="48"/>
      <w:szCs w:val="20"/>
    </w:rPr>
  </w:style>
  <w:style w:type="paragraph" w:customStyle="1" w:styleId="1162">
    <w:name w:val="表16.4-1"/>
    <w:basedOn w:val="1"/>
    <w:qFormat/>
    <w:uiPriority w:val="99"/>
    <w:pPr>
      <w:widowControl w:val="0"/>
      <w:tabs>
        <w:tab w:val="left" w:pos="726"/>
        <w:tab w:val="center" w:pos="4060"/>
        <w:tab w:val="right" w:pos="8261"/>
      </w:tabs>
      <w:suppressAutoHyphens/>
      <w:adjustRightInd w:val="0"/>
      <w:spacing w:beforeLines="100" w:line="0" w:lineRule="atLeast"/>
      <w:ind w:left="2" w:firstLine="4"/>
      <w:jc w:val="center"/>
    </w:pPr>
    <w:rPr>
      <w:rFonts w:ascii="黑体" w:hAnsi="Times New Roman" w:eastAsia="黑体"/>
      <w:b/>
      <w:bCs/>
      <w:spacing w:val="6"/>
      <w:szCs w:val="20"/>
    </w:rPr>
  </w:style>
  <w:style w:type="paragraph" w:customStyle="1" w:styleId="1163">
    <w:name w:val="小表左密"/>
    <w:basedOn w:val="1"/>
    <w:qFormat/>
    <w:uiPriority w:val="99"/>
    <w:pPr>
      <w:keepNext/>
      <w:widowControl w:val="0"/>
      <w:adjustRightInd w:val="0"/>
      <w:snapToGrid w:val="0"/>
      <w:spacing w:line="240" w:lineRule="atLeast"/>
      <w:jc w:val="both"/>
    </w:pPr>
    <w:rPr>
      <w:rFonts w:cs="Times New Roman"/>
      <w:kern w:val="2"/>
      <w:sz w:val="18"/>
      <w:szCs w:val="18"/>
    </w:rPr>
  </w:style>
  <w:style w:type="paragraph" w:customStyle="1" w:styleId="1164">
    <w:name w:val="样式 标题 1 + 黑体 三号"/>
    <w:basedOn w:val="4"/>
    <w:qFormat/>
    <w:uiPriority w:val="99"/>
    <w:pPr>
      <w:keepNext/>
      <w:keepLines/>
      <w:topLinePunct/>
      <w:autoSpaceDE w:val="0"/>
      <w:autoSpaceDN w:val="0"/>
      <w:adjustRightInd w:val="0"/>
      <w:snapToGrid w:val="0"/>
      <w:spacing w:before="340" w:after="330"/>
      <w:ind w:firstLine="538" w:firstLineChars="224"/>
      <w:jc w:val="both"/>
    </w:pPr>
    <w:rPr>
      <w:rFonts w:ascii="黑体" w:hAnsi="黑体"/>
      <w:b/>
      <w:snapToGrid w:val="0"/>
      <w:kern w:val="44"/>
      <w:szCs w:val="44"/>
    </w:rPr>
  </w:style>
  <w:style w:type="paragraph" w:customStyle="1" w:styleId="1165">
    <w:name w:val="xl66"/>
    <w:basedOn w:val="1"/>
    <w:qFormat/>
    <w:uiPriority w:val="99"/>
    <w:pPr>
      <w:pBdr>
        <w:bottom w:val="single" w:color="auto" w:sz="8" w:space="0"/>
      </w:pBdr>
      <w:spacing w:before="100" w:beforeAutospacing="1" w:after="100" w:afterAutospacing="1"/>
      <w:jc w:val="right"/>
    </w:pPr>
    <w:rPr>
      <w:rFonts w:eastAsia="仿宋_GB2312" w:cs="Times New Roman"/>
      <w:b/>
      <w:bCs/>
      <w:position w:val="-6"/>
      <w:szCs w:val="21"/>
    </w:rPr>
  </w:style>
  <w:style w:type="paragraph" w:customStyle="1" w:styleId="1166">
    <w:name w:val="环保篇"/>
    <w:basedOn w:val="1"/>
    <w:qFormat/>
    <w:uiPriority w:val="99"/>
    <w:pPr>
      <w:widowControl w:val="0"/>
      <w:tabs>
        <w:tab w:val="left" w:pos="360"/>
      </w:tabs>
      <w:adjustRightInd w:val="0"/>
      <w:spacing w:line="360" w:lineRule="auto"/>
      <w:jc w:val="both"/>
      <w:textAlignment w:val="baseline"/>
    </w:pPr>
    <w:rPr>
      <w:rFonts w:ascii="Times New Roman" w:hAnsi="Times New Roman" w:cs="Times New Roman"/>
      <w:kern w:val="2"/>
      <w:sz w:val="28"/>
      <w:szCs w:val="20"/>
    </w:rPr>
  </w:style>
  <w:style w:type="paragraph" w:customStyle="1" w:styleId="1167">
    <w:name w:val="表标题5.9"/>
    <w:basedOn w:val="1"/>
    <w:qFormat/>
    <w:uiPriority w:val="99"/>
    <w:pPr>
      <w:widowControl w:val="0"/>
      <w:tabs>
        <w:tab w:val="left" w:pos="1653"/>
      </w:tabs>
      <w:spacing w:beforeLines="100" w:line="0" w:lineRule="atLeast"/>
      <w:ind w:left="993" w:hanging="420"/>
      <w:jc w:val="both"/>
    </w:pPr>
    <w:rPr>
      <w:rFonts w:ascii="Times New Roman" w:hAnsi="Times New Roman" w:eastAsia="黑体" w:cs="Times New Roman"/>
      <w:b/>
      <w:kern w:val="2"/>
    </w:rPr>
  </w:style>
  <w:style w:type="paragraph" w:customStyle="1" w:styleId="1168">
    <w:name w:val="说明书正文"/>
    <w:basedOn w:val="1"/>
    <w:qFormat/>
    <w:uiPriority w:val="99"/>
    <w:pPr>
      <w:widowControl w:val="0"/>
      <w:spacing w:line="560" w:lineRule="exact"/>
      <w:ind w:firstLine="200" w:firstLineChars="200"/>
      <w:jc w:val="both"/>
    </w:pPr>
    <w:rPr>
      <w:rFonts w:ascii="Arial Unicode MS" w:hAnsi="Arial Unicode MS" w:eastAsia="幼圆"/>
      <w:kern w:val="2"/>
      <w:szCs w:val="28"/>
    </w:rPr>
  </w:style>
  <w:style w:type="paragraph" w:customStyle="1" w:styleId="1169">
    <w:name w:val="样式 表格文字居中 + 右侧:  -0.06 字符1"/>
    <w:basedOn w:val="544"/>
    <w:qFormat/>
    <w:uiPriority w:val="99"/>
    <w:pPr>
      <w:keepNext/>
      <w:adjustRightInd/>
      <w:snapToGrid/>
      <w:spacing w:line="0" w:lineRule="atLeast"/>
      <w:ind w:left="-6"/>
    </w:pPr>
    <w:rPr>
      <w:rFonts w:cs="宋体"/>
      <w:kern w:val="2"/>
      <w:sz w:val="18"/>
      <w:szCs w:val="20"/>
    </w:rPr>
  </w:style>
  <w:style w:type="paragraph" w:customStyle="1" w:styleId="1170">
    <w:name w:val="列表 5I"/>
    <w:basedOn w:val="65"/>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171">
    <w:name w:val="样式 正文首行缩进 + 四号 首行缩进:  2 字符"/>
    <w:basedOn w:val="80"/>
    <w:qFormat/>
    <w:uiPriority w:val="99"/>
    <w:pPr>
      <w:widowControl w:val="0"/>
      <w:tabs>
        <w:tab w:val="left" w:pos="628"/>
        <w:tab w:val="left" w:pos="1727"/>
        <w:tab w:val="left" w:pos="1884"/>
        <w:tab w:val="left" w:pos="4900"/>
      </w:tabs>
      <w:autoSpaceDE w:val="0"/>
      <w:autoSpaceDN w:val="0"/>
      <w:adjustRightInd w:val="0"/>
      <w:snapToGrid w:val="0"/>
      <w:spacing w:after="0" w:line="360" w:lineRule="auto"/>
      <w:ind w:firstLine="0" w:firstLineChars="0"/>
      <w:jc w:val="left"/>
    </w:pPr>
    <w:rPr>
      <w:color w:val="000000"/>
      <w:sz w:val="28"/>
      <w:szCs w:val="28"/>
      <w:lang w:val="zh-CN"/>
    </w:rPr>
  </w:style>
  <w:style w:type="paragraph" w:customStyle="1" w:styleId="1172">
    <w:name w:val="样式 标题 51)项标5标题 5 Char1) Char项 Char一级项 +"/>
    <w:basedOn w:val="9"/>
    <w:qFormat/>
    <w:uiPriority w:val="99"/>
    <w:pPr>
      <w:keepNext w:val="0"/>
      <w:keepLines w:val="0"/>
      <w:tabs>
        <w:tab w:val="left" w:pos="2138"/>
      </w:tabs>
      <w:topLinePunct w:val="0"/>
      <w:adjustRightInd w:val="0"/>
      <w:spacing w:before="0" w:after="0" w:line="360" w:lineRule="auto"/>
      <w:ind w:hanging="992" w:firstLineChars="0"/>
      <w:textAlignment w:val="baseline"/>
    </w:pPr>
    <w:rPr>
      <w:rFonts w:ascii="宋体" w:hAnsi="宋体" w:eastAsia="宋体"/>
      <w:b w:val="0"/>
      <w:bCs w:val="0"/>
      <w:color w:val="000000"/>
    </w:rPr>
  </w:style>
  <w:style w:type="paragraph" w:customStyle="1" w:styleId="1173">
    <w:name w:val="xl32"/>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szCs w:val="20"/>
    </w:rPr>
  </w:style>
  <w:style w:type="paragraph" w:customStyle="1" w:styleId="1174">
    <w:name w:val="列表 2D"/>
    <w:basedOn w:val="37"/>
    <w:qFormat/>
    <w:uiPriority w:val="99"/>
    <w:pPr>
      <w:tabs>
        <w:tab w:val="left" w:pos="885"/>
      </w:tabs>
      <w:snapToGrid/>
      <w:spacing w:before="100" w:beforeAutospacing="1" w:after="100" w:afterAutospacing="1" w:line="288" w:lineRule="auto"/>
      <w:ind w:left="885" w:hanging="315"/>
      <w:jc w:val="both"/>
    </w:pPr>
    <w:rPr>
      <w:rFonts w:ascii="Arial" w:hAnsi="Arial"/>
      <w:color w:val="FFFF99"/>
      <w:sz w:val="24"/>
    </w:rPr>
  </w:style>
  <w:style w:type="paragraph" w:customStyle="1" w:styleId="1175">
    <w:name w:val="列表 3L"/>
    <w:basedOn w:val="14"/>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176">
    <w:name w:val="我的标题3"/>
    <w:basedOn w:val="1"/>
    <w:qFormat/>
    <w:uiPriority w:val="99"/>
    <w:pPr>
      <w:widowControl w:val="0"/>
      <w:jc w:val="both"/>
    </w:pPr>
    <w:rPr>
      <w:rFonts w:ascii="Times New Roman" w:hAnsi="Times New Roman" w:cs="Times New Roman"/>
      <w:b/>
      <w:kern w:val="2"/>
      <w:sz w:val="28"/>
    </w:rPr>
  </w:style>
  <w:style w:type="paragraph" w:customStyle="1" w:styleId="1177">
    <w:name w:val="Char Char Char1 Char12"/>
    <w:basedOn w:val="1"/>
    <w:qFormat/>
    <w:uiPriority w:val="0"/>
    <w:pPr>
      <w:widowControl w:val="0"/>
      <w:jc w:val="both"/>
    </w:pPr>
    <w:rPr>
      <w:rFonts w:ascii="Times New Roman" w:hAnsi="Times New Roman" w:cs="Times New Roman"/>
      <w:kern w:val="2"/>
      <w:sz w:val="21"/>
    </w:rPr>
  </w:style>
  <w:style w:type="paragraph" w:customStyle="1" w:styleId="1178">
    <w:name w:val="xl46"/>
    <w:basedOn w:val="1"/>
    <w:qFormat/>
    <w:uiPriority w:val="99"/>
    <w:pPr>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179">
    <w:name w:val="101"/>
    <w:basedOn w:val="1"/>
    <w:qFormat/>
    <w:uiPriority w:val="99"/>
    <w:pPr>
      <w:spacing w:before="100" w:beforeAutospacing="1" w:after="100" w:afterAutospacing="1"/>
    </w:pPr>
    <w:rPr>
      <w:rFonts w:ascii="Arial Unicode MS" w:hAnsi="Arial Unicode MS" w:eastAsia="Arial Unicode MS" w:cs="Arial Unicode MS"/>
    </w:rPr>
  </w:style>
  <w:style w:type="paragraph" w:customStyle="1" w:styleId="1180">
    <w:name w:val="表内5中"/>
    <w:basedOn w:val="1"/>
    <w:qFormat/>
    <w:uiPriority w:val="99"/>
    <w:pPr>
      <w:widowControl w:val="0"/>
      <w:jc w:val="center"/>
    </w:pPr>
    <w:rPr>
      <w:rFonts w:hAnsi="Times New Roman" w:cs="Times New Roman"/>
      <w:kern w:val="2"/>
      <w:sz w:val="21"/>
      <w:szCs w:val="21"/>
    </w:rPr>
  </w:style>
  <w:style w:type="paragraph" w:customStyle="1" w:styleId="1181">
    <w:name w:val="样式 仿宋_GB2312 四号 行距: 1.5 倍行距 首行缩进:  2 字符"/>
    <w:basedOn w:val="1"/>
    <w:qFormat/>
    <w:uiPriority w:val="0"/>
    <w:pPr>
      <w:widowControl w:val="0"/>
      <w:spacing w:line="360" w:lineRule="auto"/>
      <w:ind w:firstLine="560" w:firstLineChars="200"/>
      <w:jc w:val="both"/>
    </w:pPr>
    <w:rPr>
      <w:rFonts w:ascii="仿宋_GB2312" w:hAnsi="Times New Roman" w:eastAsia="仿宋_GB2312" w:cs="Times New Roman"/>
      <w:kern w:val="2"/>
      <w:sz w:val="28"/>
      <w:szCs w:val="20"/>
    </w:rPr>
  </w:style>
  <w:style w:type="paragraph" w:customStyle="1" w:styleId="1182">
    <w:name w:val="列表 2B"/>
    <w:basedOn w:val="37"/>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183">
    <w:name w:val="样式 表标题5.12 + 居中 段前: 1 行"/>
    <w:basedOn w:val="813"/>
    <w:qFormat/>
    <w:uiPriority w:val="99"/>
    <w:pPr>
      <w:tabs>
        <w:tab w:val="left" w:pos="726"/>
        <w:tab w:val="clear" w:pos="4060"/>
        <w:tab w:val="clear" w:pos="8261"/>
      </w:tabs>
      <w:spacing w:beforeLines="0"/>
      <w:ind w:left="2" w:firstLine="4"/>
      <w:jc w:val="center"/>
    </w:pPr>
    <w:rPr>
      <w:rFonts w:cs="宋体"/>
      <w:bCs/>
      <w:szCs w:val="20"/>
    </w:rPr>
  </w:style>
  <w:style w:type="paragraph" w:customStyle="1" w:styleId="1184">
    <w:name w:val="xl63"/>
    <w:basedOn w:val="1"/>
    <w:qFormat/>
    <w:uiPriority w:val="99"/>
    <w:pPr>
      <w:pBdr>
        <w:left w:val="single" w:color="auto" w:sz="4" w:space="0"/>
        <w:bottom w:val="single" w:color="auto" w:sz="8" w:space="0"/>
      </w:pBdr>
      <w:spacing w:before="100" w:beforeAutospacing="1" w:after="100" w:afterAutospacing="1"/>
      <w:jc w:val="center"/>
    </w:pPr>
    <w:rPr>
      <w:rFonts w:eastAsia="仿宋_GB2312" w:cs="Times New Roman"/>
      <w:b/>
      <w:bCs/>
      <w:position w:val="-6"/>
    </w:rPr>
  </w:style>
  <w:style w:type="paragraph" w:customStyle="1" w:styleId="1185">
    <w:name w:val="Char Char Char Char Char Char Char Char Char Char Char Char1 Char Char Char Char Char Char Char Char Char Char Char Char1 Char1"/>
    <w:basedOn w:val="1"/>
    <w:next w:val="1"/>
    <w:qFormat/>
    <w:uiPriority w:val="99"/>
    <w:pPr>
      <w:widowControl w:val="0"/>
      <w:spacing w:line="336" w:lineRule="auto"/>
      <w:ind w:firstLine="200" w:firstLineChars="200"/>
      <w:jc w:val="both"/>
    </w:pPr>
    <w:rPr>
      <w:rFonts w:eastAsia="汉鼎简书宋"/>
      <w:kern w:val="2"/>
    </w:rPr>
  </w:style>
  <w:style w:type="paragraph" w:customStyle="1" w:styleId="1186">
    <w:name w:val="Company Name One"/>
    <w:basedOn w:val="1080"/>
    <w:next w:val="1"/>
    <w:qFormat/>
    <w:uiPriority w:val="99"/>
  </w:style>
  <w:style w:type="paragraph" w:customStyle="1" w:styleId="1187">
    <w:name w:val="材料正文"/>
    <w:basedOn w:val="1"/>
    <w:qFormat/>
    <w:uiPriority w:val="99"/>
    <w:pPr>
      <w:widowControl w:val="0"/>
      <w:adjustRightInd w:val="0"/>
      <w:snapToGrid w:val="0"/>
      <w:spacing w:line="480" w:lineRule="exact"/>
      <w:ind w:firstLine="480" w:firstLineChars="200"/>
      <w:jc w:val="both"/>
    </w:pPr>
    <w:rPr>
      <w:rFonts w:ascii="Times New Roman" w:hAnsi="Times New Roman" w:eastAsia="方正仿宋简体"/>
      <w:kern w:val="2"/>
      <w:szCs w:val="20"/>
    </w:rPr>
  </w:style>
  <w:style w:type="paragraph" w:customStyle="1" w:styleId="1188">
    <w:name w:val="列表 4N"/>
    <w:basedOn w:val="71"/>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189">
    <w:name w:val="正文样式一"/>
    <w:basedOn w:val="1"/>
    <w:qFormat/>
    <w:uiPriority w:val="99"/>
    <w:pPr>
      <w:widowControl w:val="0"/>
      <w:adjustRightInd w:val="0"/>
      <w:spacing w:line="400" w:lineRule="atLeast"/>
      <w:ind w:firstLine="510"/>
      <w:jc w:val="both"/>
      <w:textAlignment w:val="baseline"/>
    </w:pPr>
    <w:rPr>
      <w:rFonts w:ascii="Times New Roman" w:hAnsi="Times New Roman" w:cs="Times New Roman"/>
      <w:szCs w:val="20"/>
    </w:rPr>
  </w:style>
  <w:style w:type="paragraph" w:customStyle="1" w:styleId="1190">
    <w:name w:val="样式 样式 样式 标题 3条标题头标题3H3h33rd level第二层条标题 3 Char小标题小节标题标题 3 C...3 ..."/>
    <w:basedOn w:val="207"/>
    <w:qFormat/>
    <w:uiPriority w:val="0"/>
    <w:rPr>
      <w:color w:val="000000"/>
    </w:rPr>
  </w:style>
  <w:style w:type="paragraph" w:customStyle="1" w:styleId="1191">
    <w:name w:val="条文1"/>
    <w:basedOn w:val="1"/>
    <w:qFormat/>
    <w:uiPriority w:val="99"/>
    <w:pPr>
      <w:widowControl w:val="0"/>
      <w:autoSpaceDE w:val="0"/>
      <w:autoSpaceDN w:val="0"/>
      <w:adjustRightInd w:val="0"/>
      <w:spacing w:line="460" w:lineRule="exact"/>
      <w:ind w:left="907" w:hanging="425"/>
      <w:textAlignment w:val="baseline"/>
    </w:pPr>
    <w:rPr>
      <w:rFonts w:hAnsi="Times New Roman" w:cs="Times New Roman"/>
      <w:spacing w:val="3"/>
      <w:kern w:val="24"/>
      <w:sz w:val="26"/>
      <w:szCs w:val="20"/>
    </w:rPr>
  </w:style>
  <w:style w:type="paragraph" w:customStyle="1" w:styleId="1192">
    <w:name w:val="font10"/>
    <w:basedOn w:val="1"/>
    <w:qFormat/>
    <w:uiPriority w:val="99"/>
    <w:pPr>
      <w:spacing w:before="100" w:beforeAutospacing="1" w:after="100" w:afterAutospacing="1"/>
    </w:pPr>
    <w:rPr>
      <w:rFonts w:hint="eastAsia" w:cs="Arial Unicode MS"/>
      <w:b/>
      <w:bCs/>
      <w:sz w:val="36"/>
      <w:szCs w:val="36"/>
    </w:rPr>
  </w:style>
  <w:style w:type="paragraph" w:customStyle="1" w:styleId="1193">
    <w:name w:val="Char Char Char1 Char1 Char Char Char2"/>
    <w:basedOn w:val="1"/>
    <w:qFormat/>
    <w:uiPriority w:val="99"/>
    <w:pPr>
      <w:widowControl w:val="0"/>
      <w:jc w:val="both"/>
    </w:pPr>
    <w:rPr>
      <w:rFonts w:ascii="Times New Roman" w:hAnsi="Times New Roman" w:cs="Times New Roman"/>
      <w:kern w:val="2"/>
      <w:sz w:val="21"/>
    </w:rPr>
  </w:style>
  <w:style w:type="paragraph" w:customStyle="1" w:styleId="1194">
    <w:name w:val="SCIDI正文"/>
    <w:basedOn w:val="1"/>
    <w:qFormat/>
    <w:uiPriority w:val="99"/>
    <w:pPr>
      <w:widowControl w:val="0"/>
      <w:adjustRightInd w:val="0"/>
      <w:snapToGrid w:val="0"/>
      <w:spacing w:line="360" w:lineRule="auto"/>
      <w:ind w:firstLine="560" w:firstLineChars="200"/>
      <w:jc w:val="both"/>
    </w:pPr>
    <w:rPr>
      <w:rFonts w:ascii="Times New Roman" w:hAnsi="Times New Roman" w:eastAsia="仿宋_GB2312" w:cs="Times New Roman"/>
      <w:kern w:val="2"/>
      <w:sz w:val="28"/>
      <w:szCs w:val="20"/>
    </w:rPr>
  </w:style>
  <w:style w:type="paragraph" w:customStyle="1" w:styleId="1195">
    <w:name w:val="标题10"/>
    <w:basedOn w:val="1"/>
    <w:next w:val="1"/>
    <w:qFormat/>
    <w:uiPriority w:val="0"/>
    <w:pPr>
      <w:widowControl w:val="0"/>
      <w:tabs>
        <w:tab w:val="left" w:pos="360"/>
      </w:tabs>
      <w:snapToGrid w:val="0"/>
      <w:spacing w:before="120" w:after="120"/>
      <w:jc w:val="both"/>
    </w:pPr>
    <w:rPr>
      <w:rFonts w:ascii="Times New Roman" w:hAnsi="Times New Roman" w:eastAsia="楷体_GB2312" w:cs="Times New Roman"/>
      <w:b/>
      <w:bCs/>
      <w:kern w:val="2"/>
      <w:sz w:val="30"/>
      <w:szCs w:val="30"/>
    </w:rPr>
  </w:style>
  <w:style w:type="paragraph" w:customStyle="1" w:styleId="1196">
    <w:name w:val="列表 3A"/>
    <w:basedOn w:val="14"/>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197">
    <w:name w:val="表标题4.5"/>
    <w:basedOn w:val="1"/>
    <w:qFormat/>
    <w:uiPriority w:val="99"/>
    <w:pPr>
      <w:widowControl w:val="0"/>
      <w:tabs>
        <w:tab w:val="center" w:pos="4060"/>
        <w:tab w:val="right" w:pos="8261"/>
      </w:tabs>
      <w:suppressAutoHyphens/>
      <w:adjustRightInd w:val="0"/>
      <w:spacing w:before="240" w:line="0" w:lineRule="atLeast"/>
      <w:jc w:val="both"/>
    </w:pPr>
    <w:rPr>
      <w:rFonts w:ascii="黑体" w:hAnsi="Times New Roman" w:eastAsia="黑体" w:cs="Times New Roman"/>
      <w:b/>
      <w:spacing w:val="6"/>
      <w:sz w:val="26"/>
      <w:szCs w:val="26"/>
    </w:rPr>
  </w:style>
  <w:style w:type="paragraph" w:customStyle="1" w:styleId="1198">
    <w:name w:val="列表D"/>
    <w:basedOn w:val="3"/>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199">
    <w:name w:val="font16"/>
    <w:basedOn w:val="1"/>
    <w:qFormat/>
    <w:uiPriority w:val="99"/>
    <w:pPr>
      <w:spacing w:before="100" w:beforeAutospacing="1" w:after="100" w:afterAutospacing="1"/>
    </w:pPr>
    <w:rPr>
      <w:rFonts w:hint="eastAsia" w:cs="Arial Unicode MS"/>
      <w:sz w:val="20"/>
      <w:szCs w:val="20"/>
      <w:u w:val="single"/>
    </w:rPr>
  </w:style>
  <w:style w:type="paragraph" w:customStyle="1" w:styleId="1200">
    <w:name w:val="样式 表标题4.5 + 居中"/>
    <w:basedOn w:val="1197"/>
    <w:qFormat/>
    <w:uiPriority w:val="99"/>
    <w:pPr>
      <w:tabs>
        <w:tab w:val="left" w:pos="726"/>
        <w:tab w:val="clear" w:pos="4060"/>
        <w:tab w:val="clear" w:pos="8261"/>
      </w:tabs>
      <w:ind w:left="2" w:firstLine="4"/>
      <w:jc w:val="center"/>
    </w:pPr>
    <w:rPr>
      <w:rFonts w:cs="宋体"/>
      <w:bCs/>
      <w:szCs w:val="20"/>
    </w:rPr>
  </w:style>
  <w:style w:type="paragraph" w:customStyle="1" w:styleId="1201">
    <w:name w:val="Char Char Char1"/>
    <w:basedOn w:val="1"/>
    <w:qFormat/>
    <w:uiPriority w:val="0"/>
    <w:pPr>
      <w:widowControl w:val="0"/>
      <w:spacing w:beforeLines="100"/>
      <w:jc w:val="both"/>
    </w:pPr>
    <w:rPr>
      <w:rFonts w:ascii="Times New Roman" w:hAnsi="Times New Roman" w:cs="Times New Roman"/>
      <w:kern w:val="2"/>
      <w:sz w:val="21"/>
    </w:rPr>
  </w:style>
  <w:style w:type="paragraph" w:customStyle="1" w:styleId="1202">
    <w:name w:val="标标题13.1"/>
    <w:basedOn w:val="1"/>
    <w:qFormat/>
    <w:uiPriority w:val="99"/>
    <w:pPr>
      <w:widowControl w:val="0"/>
      <w:tabs>
        <w:tab w:val="left" w:pos="726"/>
        <w:tab w:val="center" w:pos="4060"/>
        <w:tab w:val="right" w:pos="8261"/>
      </w:tabs>
      <w:suppressAutoHyphens/>
      <w:adjustRightInd w:val="0"/>
      <w:spacing w:before="240" w:line="0" w:lineRule="atLeast"/>
      <w:ind w:left="2" w:firstLine="4"/>
      <w:jc w:val="center"/>
    </w:pPr>
    <w:rPr>
      <w:rFonts w:ascii="黑体" w:hAnsi="Times New Roman" w:eastAsia="黑体" w:cs="Times New Roman"/>
      <w:b/>
      <w:spacing w:val="6"/>
    </w:rPr>
  </w:style>
  <w:style w:type="paragraph" w:customStyle="1" w:styleId="1203">
    <w:name w:val="图片"/>
    <w:basedOn w:val="1"/>
    <w:next w:val="1"/>
    <w:qFormat/>
    <w:uiPriority w:val="99"/>
    <w:pPr>
      <w:keepNext/>
      <w:spacing w:line="360" w:lineRule="auto"/>
      <w:jc w:val="center"/>
    </w:pPr>
    <w:rPr>
      <w:rFonts w:ascii="Times New Roman" w:hAnsi="Times New Roman" w:eastAsia="仿宋_GB2312" w:cs="Times New Roman"/>
      <w:b/>
      <w:bCs/>
      <w:color w:val="000000"/>
      <w:kern w:val="2"/>
      <w:szCs w:val="20"/>
      <w:lang w:val="zh-CN"/>
    </w:rPr>
  </w:style>
  <w:style w:type="paragraph" w:customStyle="1" w:styleId="1204">
    <w:name w:val="列表 4X"/>
    <w:basedOn w:val="71"/>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205">
    <w:name w:val="xl34"/>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Unicode MS" w:hAnsi="Arial Unicode MS" w:eastAsia="Arial Unicode MS" w:cs="Arial Unicode MS"/>
      <w:szCs w:val="20"/>
    </w:rPr>
  </w:style>
  <w:style w:type="paragraph" w:customStyle="1" w:styleId="1206">
    <w:name w:val="列表 5O"/>
    <w:basedOn w:val="65"/>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207">
    <w:name w:val="样式 正文文字 + 左 首行缩进:  2 字符 行距: 1.5 倍行距"/>
    <w:basedOn w:val="32"/>
    <w:qFormat/>
    <w:uiPriority w:val="99"/>
    <w:pPr>
      <w:widowControl w:val="0"/>
      <w:spacing w:line="360" w:lineRule="auto"/>
      <w:ind w:firstLine="560" w:firstLineChars="200"/>
    </w:pPr>
    <w:rPr>
      <w:rFonts w:ascii="Times New Roman" w:hAnsi="Times New Roman"/>
      <w:color w:val="auto"/>
      <w:kern w:val="0"/>
      <w:szCs w:val="24"/>
    </w:rPr>
  </w:style>
  <w:style w:type="paragraph" w:customStyle="1" w:styleId="1208">
    <w:name w:val="Char1 Char Char Char Char Char Char2 Char Char Char Char Char Char Char Char Char Char Char Char Char Char Char Char Char Char"/>
    <w:basedOn w:val="1"/>
    <w:qFormat/>
    <w:uiPriority w:val="0"/>
    <w:pPr>
      <w:widowControl w:val="0"/>
      <w:jc w:val="both"/>
    </w:pPr>
    <w:rPr>
      <w:rFonts w:ascii="Times New Roman" w:hAnsi="Times New Roman" w:cs="Times New Roman"/>
      <w:kern w:val="2"/>
      <w:sz w:val="21"/>
    </w:rPr>
  </w:style>
  <w:style w:type="paragraph" w:customStyle="1" w:styleId="1209">
    <w:name w:val="样式 燕山正文 + 首行缩进:  3.5 字符"/>
    <w:basedOn w:val="757"/>
    <w:qFormat/>
    <w:uiPriority w:val="99"/>
    <w:pPr>
      <w:shd w:val="clear" w:color="auto" w:fill="auto"/>
      <w:jc w:val="both"/>
    </w:pPr>
    <w:rPr>
      <w:color w:val="000000"/>
      <w:szCs w:val="20"/>
    </w:rPr>
  </w:style>
  <w:style w:type="paragraph" w:customStyle="1" w:styleId="1210">
    <w:name w:val="正文首行缩进2"/>
    <w:basedOn w:val="32"/>
    <w:qFormat/>
    <w:uiPriority w:val="99"/>
    <w:pPr>
      <w:widowControl w:val="0"/>
      <w:adjustRightInd w:val="0"/>
      <w:spacing w:line="312" w:lineRule="auto"/>
      <w:ind w:firstLine="567"/>
      <w:jc w:val="both"/>
      <w:textAlignment w:val="baseline"/>
    </w:pPr>
    <w:rPr>
      <w:rFonts w:ascii="Times New Roman" w:hAnsi="Times New Roman"/>
      <w:color w:val="auto"/>
      <w:kern w:val="0"/>
      <w:sz w:val="28"/>
      <w:szCs w:val="24"/>
    </w:rPr>
  </w:style>
  <w:style w:type="paragraph" w:customStyle="1" w:styleId="1211">
    <w:name w:val="表标题2.1"/>
    <w:basedOn w:val="795"/>
    <w:qFormat/>
    <w:uiPriority w:val="99"/>
    <w:pPr>
      <w:tabs>
        <w:tab w:val="left" w:pos="3060"/>
        <w:tab w:val="clear" w:pos="8207"/>
      </w:tabs>
      <w:ind w:left="2400" w:hanging="420"/>
    </w:pPr>
  </w:style>
  <w:style w:type="paragraph" w:customStyle="1" w:styleId="1212">
    <w:name w:val="表标题5.3"/>
    <w:basedOn w:val="1"/>
    <w:qFormat/>
    <w:uiPriority w:val="99"/>
    <w:pPr>
      <w:widowControl w:val="0"/>
      <w:tabs>
        <w:tab w:val="left" w:pos="726"/>
      </w:tabs>
      <w:spacing w:beforeLines="100" w:line="0" w:lineRule="atLeast"/>
      <w:ind w:left="2" w:firstLine="4"/>
      <w:jc w:val="both"/>
    </w:pPr>
    <w:rPr>
      <w:rFonts w:ascii="Times New Roman" w:hAnsi="Times New Roman" w:eastAsia="黑体" w:cs="Times New Roman"/>
      <w:b/>
      <w:kern w:val="2"/>
    </w:rPr>
  </w:style>
  <w:style w:type="paragraph" w:customStyle="1" w:styleId="1213">
    <w:name w:val="样式1"/>
    <w:basedOn w:val="1"/>
    <w:qFormat/>
    <w:uiPriority w:val="99"/>
    <w:pPr>
      <w:widowControl w:val="0"/>
      <w:spacing w:line="560" w:lineRule="exact"/>
      <w:ind w:firstLine="567"/>
      <w:jc w:val="both"/>
    </w:pPr>
    <w:rPr>
      <w:rFonts w:ascii="Times New Roman" w:hAnsi="Times New Roman" w:cs="Times New Roman"/>
      <w:kern w:val="2"/>
      <w:szCs w:val="20"/>
    </w:rPr>
  </w:style>
  <w:style w:type="paragraph" w:customStyle="1" w:styleId="1214">
    <w:name w:val="标题 3，第三标题"/>
    <w:basedOn w:val="1"/>
    <w:qFormat/>
    <w:uiPriority w:val="99"/>
    <w:pPr>
      <w:widowControl w:val="0"/>
      <w:tabs>
        <w:tab w:val="left" w:pos="628"/>
        <w:tab w:val="left" w:pos="1727"/>
        <w:tab w:val="left" w:pos="1840"/>
        <w:tab w:val="left" w:pos="1884"/>
        <w:tab w:val="left" w:pos="2520"/>
        <w:tab w:val="left" w:pos="2660"/>
        <w:tab w:val="left" w:pos="5460"/>
      </w:tabs>
      <w:snapToGrid w:val="0"/>
      <w:spacing w:beforeLines="50" w:afterLines="50" w:line="440" w:lineRule="exact"/>
      <w:ind w:left="1840" w:hanging="720"/>
      <w:outlineLvl w:val="2"/>
    </w:pPr>
    <w:rPr>
      <w:rFonts w:ascii="Times New Roman" w:hAnsi="Times New Roman" w:eastAsia="黑体"/>
      <w:kern w:val="2"/>
      <w:szCs w:val="20"/>
    </w:rPr>
  </w:style>
  <w:style w:type="paragraph" w:customStyle="1" w:styleId="1215">
    <w:name w:val="报告表格"/>
    <w:basedOn w:val="1"/>
    <w:qFormat/>
    <w:uiPriority w:val="99"/>
    <w:pPr>
      <w:widowControl w:val="0"/>
      <w:autoSpaceDE w:val="0"/>
      <w:autoSpaceDN w:val="0"/>
      <w:adjustRightInd w:val="0"/>
      <w:spacing w:before="40" w:after="40"/>
      <w:jc w:val="center"/>
      <w:textAlignment w:val="bottom"/>
    </w:pPr>
    <w:rPr>
      <w:rFonts w:ascii="Times New Roman" w:hAnsi="Times New Roman" w:cs="Times New Roman"/>
      <w:sz w:val="21"/>
      <w:szCs w:val="20"/>
    </w:rPr>
  </w:style>
  <w:style w:type="paragraph" w:customStyle="1" w:styleId="1216">
    <w:name w:val="段"/>
    <w:semiHidden/>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217">
    <w:name w:val="1正文段落"/>
    <w:basedOn w:val="1"/>
    <w:qFormat/>
    <w:uiPriority w:val="99"/>
    <w:pPr>
      <w:widowControl w:val="0"/>
      <w:spacing w:line="360" w:lineRule="auto"/>
      <w:ind w:firstLine="200" w:firstLineChars="200"/>
    </w:pPr>
    <w:rPr>
      <w:rFonts w:ascii="Times New Roman" w:hAnsi="Times New Roman" w:cs="Times New Roman"/>
      <w:snapToGrid w:val="0"/>
    </w:rPr>
  </w:style>
  <w:style w:type="paragraph" w:customStyle="1" w:styleId="1218">
    <w:name w:val="表标题4.9"/>
    <w:basedOn w:val="1"/>
    <w:qFormat/>
    <w:uiPriority w:val="99"/>
    <w:pPr>
      <w:widowControl w:val="0"/>
      <w:tabs>
        <w:tab w:val="center" w:pos="4060"/>
        <w:tab w:val="right" w:pos="8261"/>
      </w:tabs>
      <w:suppressAutoHyphens/>
      <w:adjustRightInd w:val="0"/>
      <w:spacing w:before="240" w:line="0" w:lineRule="atLeast"/>
      <w:jc w:val="both"/>
    </w:pPr>
    <w:rPr>
      <w:rFonts w:ascii="黑体" w:hAnsi="Times New Roman" w:eastAsia="黑体" w:cs="Times New Roman"/>
      <w:b/>
      <w:spacing w:val="6"/>
      <w:sz w:val="26"/>
      <w:szCs w:val="26"/>
    </w:rPr>
  </w:style>
  <w:style w:type="paragraph" w:customStyle="1" w:styleId="1219">
    <w:name w:val="样式 表格文字居中 + 段前: 自动 行距: 单倍行距"/>
    <w:basedOn w:val="1"/>
    <w:qFormat/>
    <w:uiPriority w:val="99"/>
    <w:pPr>
      <w:widowControl w:val="0"/>
      <w:tabs>
        <w:tab w:val="left" w:pos="0"/>
        <w:tab w:val="left" w:pos="628"/>
        <w:tab w:val="left" w:pos="700"/>
        <w:tab w:val="left" w:pos="1400"/>
        <w:tab w:val="left" w:pos="1884"/>
      </w:tabs>
      <w:adjustRightInd w:val="0"/>
      <w:snapToGrid w:val="0"/>
    </w:pPr>
    <w:rPr>
      <w:kern w:val="2"/>
      <w:sz w:val="21"/>
      <w:szCs w:val="28"/>
    </w:rPr>
  </w:style>
  <w:style w:type="paragraph" w:customStyle="1" w:styleId="1220">
    <w:name w:val="德胜三级标题"/>
    <w:basedOn w:val="1"/>
    <w:qFormat/>
    <w:uiPriority w:val="99"/>
    <w:pPr>
      <w:keepNext/>
      <w:keepLines/>
      <w:widowControl w:val="0"/>
      <w:adjustRightInd w:val="0"/>
      <w:snapToGrid w:val="0"/>
      <w:spacing w:line="360" w:lineRule="auto"/>
      <w:outlineLvl w:val="2"/>
    </w:pPr>
    <w:rPr>
      <w:rFonts w:ascii="Times New Roman" w:hAnsi="Times New Roman" w:cs="Times New Roman"/>
      <w:b/>
      <w:bCs/>
      <w:snapToGrid w:val="0"/>
      <w:color w:val="0000FF"/>
    </w:rPr>
  </w:style>
  <w:style w:type="paragraph" w:customStyle="1" w:styleId="1221">
    <w:name w:val="font6"/>
    <w:basedOn w:val="1"/>
    <w:qFormat/>
    <w:uiPriority w:val="99"/>
    <w:pPr>
      <w:spacing w:before="100" w:beforeAutospacing="1" w:after="100" w:afterAutospacing="1"/>
    </w:pPr>
    <w:rPr>
      <w:rFonts w:hint="eastAsia" w:cs="Arial Unicode MS"/>
      <w:b/>
      <w:bCs/>
      <w:sz w:val="32"/>
      <w:szCs w:val="32"/>
    </w:rPr>
  </w:style>
  <w:style w:type="paragraph" w:customStyle="1" w:styleId="1222">
    <w:name w:val="xl24"/>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szCs w:val="20"/>
    </w:rPr>
  </w:style>
  <w:style w:type="paragraph" w:customStyle="1" w:styleId="1223">
    <w:name w:val="标题1.5"/>
    <w:basedOn w:val="933"/>
    <w:next w:val="280"/>
    <w:qFormat/>
    <w:uiPriority w:val="99"/>
    <w:rPr>
      <w:szCs w:val="28"/>
    </w:rPr>
  </w:style>
  <w:style w:type="paragraph" w:customStyle="1" w:styleId="1224">
    <w:name w:val="xl62"/>
    <w:basedOn w:val="1"/>
    <w:qFormat/>
    <w:uiPriority w:val="99"/>
    <w:pPr>
      <w:pBdr>
        <w:top w:val="single" w:color="auto" w:sz="4" w:space="0"/>
        <w:left w:val="single" w:color="auto" w:sz="4" w:space="0"/>
      </w:pBdr>
      <w:spacing w:before="100" w:beforeAutospacing="1" w:after="100" w:afterAutospacing="1"/>
      <w:jc w:val="center"/>
    </w:pPr>
    <w:rPr>
      <w:rFonts w:eastAsia="仿宋_GB2312" w:cs="Times New Roman"/>
      <w:b/>
      <w:bCs/>
      <w:position w:val="-6"/>
    </w:rPr>
  </w:style>
  <w:style w:type="paragraph" w:customStyle="1" w:styleId="1225">
    <w:name w:val="xl35"/>
    <w:basedOn w:val="1"/>
    <w:qFormat/>
    <w:uiPriority w:val="99"/>
    <w:pPr>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Cs w:val="20"/>
    </w:rPr>
  </w:style>
  <w:style w:type="paragraph" w:customStyle="1" w:styleId="1226">
    <w:name w:val="附录"/>
    <w:basedOn w:val="4"/>
    <w:next w:val="1"/>
    <w:qFormat/>
    <w:uiPriority w:val="99"/>
    <w:pPr>
      <w:keepNext/>
      <w:keepLines/>
      <w:tabs>
        <w:tab w:val="left" w:pos="720"/>
      </w:tabs>
      <w:spacing w:after="220" w:line="700" w:lineRule="exact"/>
      <w:ind w:left="680" w:hanging="680"/>
      <w:jc w:val="center"/>
    </w:pPr>
    <w:rPr>
      <w:rFonts w:ascii="Times New Roman" w:hAnsi="Times New Roman" w:eastAsia="宋体"/>
      <w:spacing w:val="-10"/>
      <w:kern w:val="28"/>
      <w:sz w:val="30"/>
      <w:szCs w:val="20"/>
    </w:rPr>
  </w:style>
  <w:style w:type="paragraph" w:customStyle="1" w:styleId="1227">
    <w:name w:val="xl42"/>
    <w:basedOn w:val="1"/>
    <w:qFormat/>
    <w:uiPriority w:val="99"/>
    <w:pPr>
      <w:spacing w:before="100" w:beforeAutospacing="1" w:after="100" w:afterAutospacing="1"/>
      <w:textAlignment w:val="center"/>
    </w:pPr>
    <w:rPr>
      <w:rFonts w:ascii="Arial Unicode MS" w:hAnsi="Arial Unicode MS" w:eastAsia="Arial Unicode MS" w:cs="Arial Unicode MS"/>
      <w:b/>
      <w:bCs/>
      <w:sz w:val="32"/>
      <w:szCs w:val="32"/>
    </w:rPr>
  </w:style>
  <w:style w:type="paragraph" w:customStyle="1" w:styleId="1228">
    <w:name w:val="样式 标题 3H3H31H32H33u3条标题1.1.1Heading 3 - oldBold Headbh..."/>
    <w:basedOn w:val="7"/>
    <w:qFormat/>
    <w:uiPriority w:val="99"/>
    <w:pPr>
      <w:widowControl w:val="0"/>
      <w:adjustRightInd w:val="0"/>
      <w:snapToGrid w:val="0"/>
      <w:spacing w:beforeLines="25" w:afterLines="25" w:line="312" w:lineRule="auto"/>
      <w:jc w:val="both"/>
    </w:pPr>
    <w:rPr>
      <w:rFonts w:ascii="宋体" w:cs="宋体"/>
      <w:b/>
      <w:spacing w:val="16"/>
      <w:sz w:val="28"/>
      <w:szCs w:val="20"/>
    </w:rPr>
  </w:style>
  <w:style w:type="paragraph" w:customStyle="1" w:styleId="1229">
    <w:name w:val="样式 标题 7 + 段前: 0.5 行1"/>
    <w:basedOn w:val="11"/>
    <w:qFormat/>
    <w:uiPriority w:val="99"/>
    <w:pPr>
      <w:keepNext w:val="0"/>
      <w:widowControl/>
      <w:tabs>
        <w:tab w:val="left" w:pos="420"/>
        <w:tab w:val="left" w:pos="1820"/>
      </w:tabs>
      <w:adjustRightInd w:val="0"/>
      <w:snapToGrid w:val="0"/>
      <w:spacing w:before="120" w:line="300" w:lineRule="auto"/>
      <w:ind w:left="0" w:firstLine="1120" w:firstLineChars="400"/>
      <w:outlineLvl w:val="3"/>
    </w:pPr>
    <w:rPr>
      <w:rFonts w:ascii="宋体" w:hAnsi="宋体"/>
      <w:b w:val="0"/>
      <w:bCs w:val="0"/>
      <w:color w:val="000000"/>
    </w:rPr>
  </w:style>
  <w:style w:type="paragraph" w:customStyle="1" w:styleId="1230">
    <w:name w:val="xl90"/>
    <w:basedOn w:val="1"/>
    <w:qFormat/>
    <w:uiPriority w:val="99"/>
    <w:pPr>
      <w:pBdr>
        <w:top w:val="single" w:color="auto" w:sz="4" w:space="0"/>
        <w:left w:val="single" w:color="auto" w:sz="8" w:space="0"/>
        <w:bottom w:val="single" w:color="auto" w:sz="8" w:space="0"/>
      </w:pBdr>
      <w:spacing w:before="100" w:beforeAutospacing="1" w:after="100" w:afterAutospacing="1"/>
    </w:pPr>
    <w:rPr>
      <w:rFonts w:ascii="Times New Roman" w:hAnsi="Times New Roman" w:eastAsia="Arial Unicode MS" w:cs="Times New Roman"/>
      <w:sz w:val="16"/>
      <w:szCs w:val="16"/>
    </w:rPr>
  </w:style>
  <w:style w:type="paragraph" w:customStyle="1" w:styleId="1231">
    <w:name w:val="列表 4O"/>
    <w:basedOn w:val="71"/>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232">
    <w:name w:val="列表 5S"/>
    <w:basedOn w:val="65"/>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233">
    <w:name w:val="样式1 + 四号 居中"/>
    <w:basedOn w:val="1"/>
    <w:qFormat/>
    <w:uiPriority w:val="0"/>
    <w:pPr>
      <w:widowControl w:val="0"/>
      <w:spacing w:line="336" w:lineRule="auto"/>
      <w:jc w:val="center"/>
    </w:pPr>
    <w:rPr>
      <w:rFonts w:ascii="Times New Roman" w:hAnsi="Times New Roman" w:cs="Times New Roman"/>
      <w:kern w:val="2"/>
      <w:sz w:val="28"/>
      <w:szCs w:val="20"/>
    </w:rPr>
  </w:style>
  <w:style w:type="paragraph" w:customStyle="1" w:styleId="1234">
    <w:name w:val="xl48"/>
    <w:basedOn w:val="1"/>
    <w:qFormat/>
    <w:uiPriority w:val="99"/>
    <w:pPr>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235">
    <w:name w:val="xl91"/>
    <w:basedOn w:val="1"/>
    <w:qFormat/>
    <w:uiPriority w:val="99"/>
    <w:pPr>
      <w:pBdr>
        <w:top w:val="single" w:color="auto" w:sz="4" w:space="0"/>
        <w:bottom w:val="single" w:color="auto" w:sz="8" w:space="0"/>
        <w:right w:val="single" w:color="auto" w:sz="4" w:space="0"/>
      </w:pBdr>
      <w:spacing w:before="100" w:beforeAutospacing="1" w:after="100" w:afterAutospacing="1"/>
    </w:pPr>
    <w:rPr>
      <w:rFonts w:ascii="Times New Roman" w:hAnsi="Times New Roman" w:eastAsia="Arial Unicode MS" w:cs="Times New Roman"/>
      <w:sz w:val="16"/>
      <w:szCs w:val="16"/>
    </w:rPr>
  </w:style>
  <w:style w:type="paragraph" w:customStyle="1" w:styleId="1236">
    <w:name w:val="font13"/>
    <w:basedOn w:val="1"/>
    <w:qFormat/>
    <w:uiPriority w:val="99"/>
    <w:pPr>
      <w:spacing w:before="100" w:beforeAutospacing="1" w:after="100" w:afterAutospacing="1"/>
    </w:pPr>
    <w:rPr>
      <w:rFonts w:ascii="Times New Roman" w:hAnsi="Times New Roman" w:eastAsia="Arial Unicode MS" w:cs="Times New Roman"/>
      <w:b/>
      <w:bCs/>
      <w:sz w:val="20"/>
      <w:szCs w:val="20"/>
    </w:rPr>
  </w:style>
  <w:style w:type="paragraph" w:customStyle="1" w:styleId="1237">
    <w:name w:val="样式 表2.1 + 居中"/>
    <w:basedOn w:val="1"/>
    <w:qFormat/>
    <w:uiPriority w:val="99"/>
    <w:pPr>
      <w:widowControl w:val="0"/>
      <w:tabs>
        <w:tab w:val="left" w:pos="726"/>
        <w:tab w:val="center" w:pos="4060"/>
        <w:tab w:val="right" w:pos="8261"/>
      </w:tabs>
      <w:suppressAutoHyphens/>
      <w:adjustRightInd w:val="0"/>
      <w:spacing w:before="240" w:line="0" w:lineRule="atLeast"/>
      <w:ind w:left="2" w:firstLine="4"/>
      <w:jc w:val="center"/>
    </w:pPr>
    <w:rPr>
      <w:rFonts w:ascii="黑体" w:hAnsi="Times New Roman" w:eastAsia="黑体"/>
      <w:b/>
      <w:bCs/>
      <w:szCs w:val="20"/>
    </w:rPr>
  </w:style>
  <w:style w:type="paragraph" w:customStyle="1" w:styleId="1238">
    <w:name w:val="列表 D"/>
    <w:basedOn w:val="3"/>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239">
    <w:name w:val="Char Char Char1 Char Char Char Char Char Char Char Char Char Char"/>
    <w:basedOn w:val="1"/>
    <w:qFormat/>
    <w:uiPriority w:val="99"/>
    <w:pPr>
      <w:widowControl w:val="0"/>
      <w:jc w:val="both"/>
    </w:pPr>
    <w:rPr>
      <w:rFonts w:hAnsi="Times New Roman" w:cs="Times New Roman"/>
      <w:kern w:val="2"/>
      <w:sz w:val="21"/>
      <w:szCs w:val="21"/>
    </w:rPr>
  </w:style>
  <w:style w:type="paragraph" w:customStyle="1" w:styleId="1240">
    <w:name w:val="xl96"/>
    <w:basedOn w:val="1"/>
    <w:qFormat/>
    <w:uiPriority w:val="99"/>
    <w:pPr>
      <w:pBdr>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241">
    <w:name w:val="附录1"/>
    <w:basedOn w:val="4"/>
    <w:next w:val="1"/>
    <w:qFormat/>
    <w:uiPriority w:val="99"/>
    <w:pPr>
      <w:keepNext/>
      <w:keepLines/>
      <w:tabs>
        <w:tab w:val="left" w:pos="720"/>
      </w:tabs>
      <w:spacing w:after="220" w:line="700" w:lineRule="exact"/>
      <w:ind w:left="680" w:hanging="680"/>
      <w:jc w:val="center"/>
    </w:pPr>
    <w:rPr>
      <w:rFonts w:ascii="Times New Roman" w:hAnsi="Times New Roman" w:eastAsia="宋体"/>
      <w:spacing w:val="-10"/>
      <w:kern w:val="28"/>
      <w:sz w:val="30"/>
      <w:szCs w:val="20"/>
    </w:rPr>
  </w:style>
  <w:style w:type="paragraph" w:customStyle="1" w:styleId="1242">
    <w:name w:val="Char Char Char1 Char1 Char Char Char1"/>
    <w:basedOn w:val="1"/>
    <w:qFormat/>
    <w:uiPriority w:val="99"/>
    <w:pPr>
      <w:widowControl w:val="0"/>
      <w:jc w:val="both"/>
    </w:pPr>
    <w:rPr>
      <w:rFonts w:ascii="Times New Roman" w:hAnsi="Times New Roman" w:cs="Times New Roman"/>
      <w:kern w:val="2"/>
      <w:sz w:val="21"/>
    </w:rPr>
  </w:style>
  <w:style w:type="paragraph" w:customStyle="1" w:styleId="1243">
    <w:name w:val="Char Char Char Char Char Char Char Char Char Char Char1"/>
    <w:basedOn w:val="1"/>
    <w:qFormat/>
    <w:uiPriority w:val="0"/>
    <w:pPr>
      <w:widowControl w:val="0"/>
      <w:jc w:val="both"/>
    </w:pPr>
    <w:rPr>
      <w:rFonts w:ascii="Times New Roman" w:hAnsi="Times New Roman" w:cs="Times New Roman"/>
      <w:kern w:val="2"/>
      <w:sz w:val="21"/>
    </w:rPr>
  </w:style>
  <w:style w:type="paragraph" w:customStyle="1" w:styleId="1244">
    <w:name w:val="xl106"/>
    <w:basedOn w:val="1"/>
    <w:qFormat/>
    <w:uiPriority w:val="99"/>
    <w:pPr>
      <w:pBdr>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245">
    <w:name w:val="xl37"/>
    <w:basedOn w:val="1"/>
    <w:qFormat/>
    <w:uiPriority w:val="99"/>
    <w:pPr>
      <w:pBdr>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szCs w:val="20"/>
    </w:rPr>
  </w:style>
  <w:style w:type="paragraph" w:customStyle="1" w:styleId="1246">
    <w:name w:val="Char1 Char Char Char1"/>
    <w:basedOn w:val="1"/>
    <w:qFormat/>
    <w:uiPriority w:val="99"/>
    <w:pPr>
      <w:widowControl w:val="0"/>
      <w:snapToGrid w:val="0"/>
      <w:spacing w:line="360" w:lineRule="auto"/>
      <w:ind w:firstLine="529" w:firstLineChars="200"/>
      <w:jc w:val="both"/>
    </w:pPr>
    <w:rPr>
      <w:rFonts w:cs="Times New Roman"/>
      <w:b/>
      <w:kern w:val="2"/>
      <w:sz w:val="21"/>
    </w:rPr>
  </w:style>
  <w:style w:type="paragraph" w:customStyle="1" w:styleId="1247">
    <w:name w:val="9点"/>
    <w:basedOn w:val="1"/>
    <w:qFormat/>
    <w:uiPriority w:val="99"/>
    <w:pPr>
      <w:widowControl w:val="0"/>
      <w:spacing w:line="360" w:lineRule="exact"/>
      <w:jc w:val="both"/>
    </w:pPr>
    <w:rPr>
      <w:rFonts w:ascii="Times New Roman" w:hAnsi="Times New Roman" w:cs="Times New Roman"/>
      <w:kern w:val="2"/>
      <w:sz w:val="21"/>
    </w:rPr>
  </w:style>
  <w:style w:type="paragraph" w:customStyle="1" w:styleId="1248">
    <w:name w:val="样式 样式 标题 2h22Header 2nd PageA.B.C.h2 main h标题2 + 仿宋_GB2312 行距......1"/>
    <w:basedOn w:val="965"/>
    <w:qFormat/>
    <w:uiPriority w:val="0"/>
    <w:pPr>
      <w:ind w:firstLine="454"/>
    </w:pPr>
    <w:rPr>
      <w:b/>
      <w:bCs w:val="0"/>
    </w:rPr>
  </w:style>
  <w:style w:type="paragraph" w:customStyle="1" w:styleId="1249">
    <w:name w:val="表格文字（居中）"/>
    <w:basedOn w:val="1"/>
    <w:qFormat/>
    <w:uiPriority w:val="99"/>
    <w:pPr>
      <w:widowControl w:val="0"/>
      <w:jc w:val="center"/>
    </w:pPr>
    <w:rPr>
      <w:rFonts w:ascii="Times New Roman" w:hAnsi="Times New Roman" w:cs="Times New Roman"/>
      <w:kern w:val="2"/>
      <w:sz w:val="21"/>
      <w:szCs w:val="21"/>
    </w:rPr>
  </w:style>
  <w:style w:type="paragraph" w:customStyle="1" w:styleId="1250">
    <w:name w:val="xl72"/>
    <w:basedOn w:val="1"/>
    <w:qFormat/>
    <w:uiPriority w:val="99"/>
    <w:pPr>
      <w:pBdr>
        <w:top w:val="single" w:color="auto" w:sz="8" w:space="0"/>
        <w:right w:val="single" w:color="auto" w:sz="4" w:space="0"/>
      </w:pBdr>
      <w:spacing w:before="100" w:beforeAutospacing="1" w:after="100" w:afterAutospacing="1"/>
      <w:jc w:val="center"/>
    </w:pPr>
    <w:rPr>
      <w:rFonts w:eastAsia="仿宋_GB2312" w:cs="Times New Roman"/>
      <w:position w:val="-6"/>
      <w:szCs w:val="21"/>
    </w:rPr>
  </w:style>
  <w:style w:type="paragraph" w:customStyle="1" w:styleId="1251">
    <w:name w:val="列表 5G"/>
    <w:basedOn w:val="65"/>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252">
    <w:name w:val="样式 样式 样式 首行缩进:  2 字符 + 首行缩进:  2 字符 + 首行缩进:  2 字符"/>
    <w:basedOn w:val="1132"/>
    <w:qFormat/>
    <w:uiPriority w:val="99"/>
    <w:pPr>
      <w:ind w:firstLine="567"/>
    </w:pPr>
    <w:rPr>
      <w:szCs w:val="20"/>
    </w:rPr>
  </w:style>
  <w:style w:type="paragraph" w:customStyle="1" w:styleId="1253">
    <w:name w:val="IDC A-Head (2nd Line)"/>
    <w:basedOn w:val="1"/>
    <w:next w:val="1"/>
    <w:qFormat/>
    <w:uiPriority w:val="99"/>
    <w:pPr>
      <w:jc w:val="center"/>
    </w:pPr>
    <w:rPr>
      <w:rFonts w:ascii="Times New Roman" w:hAnsi="Times New Roman" w:cs="Times New Roman"/>
      <w:caps/>
      <w:szCs w:val="20"/>
    </w:rPr>
  </w:style>
  <w:style w:type="paragraph" w:customStyle="1" w:styleId="1254">
    <w:name w:val="样式 正文首行缩进 2 +"/>
    <w:basedOn w:val="81"/>
    <w:qFormat/>
    <w:uiPriority w:val="99"/>
    <w:pPr>
      <w:topLinePunct w:val="0"/>
      <w:spacing w:after="0"/>
      <w:ind w:left="0" w:leftChars="0" w:firstLine="420"/>
    </w:pPr>
    <w:rPr>
      <w:rFonts w:ascii="宋体" w:eastAsia="宋体" w:cs="宋体"/>
      <w:sz w:val="21"/>
      <w:szCs w:val="21"/>
    </w:rPr>
  </w:style>
  <w:style w:type="paragraph" w:customStyle="1" w:styleId="1255">
    <w:name w:val="xl213"/>
    <w:basedOn w:val="1"/>
    <w:qFormat/>
    <w:uiPriority w:val="99"/>
    <w:pPr>
      <w:pBdr>
        <w:left w:val="single" w:color="auto" w:sz="4" w:space="0"/>
        <w:right w:val="single" w:color="auto" w:sz="4" w:space="0"/>
      </w:pBdr>
      <w:spacing w:before="100" w:after="100"/>
    </w:pPr>
    <w:rPr>
      <w:rFonts w:ascii="Arial" w:hAnsi="Arial" w:eastAsia="Arial Unicode MS" w:cs="Times New Roman"/>
      <w:szCs w:val="20"/>
    </w:rPr>
  </w:style>
  <w:style w:type="paragraph" w:customStyle="1" w:styleId="1256">
    <w:name w:val="列表 4Z"/>
    <w:basedOn w:val="71"/>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257">
    <w:name w:val="样式 标题 1章节H11.标题 1一、标题 1（修改）1 南陵标题 1标题标题 1章标题 1b1章文章标题..."/>
    <w:basedOn w:val="4"/>
    <w:qFormat/>
    <w:uiPriority w:val="99"/>
    <w:pPr>
      <w:keepNext/>
      <w:keepLines/>
      <w:tabs>
        <w:tab w:val="left" w:pos="726"/>
      </w:tabs>
      <w:snapToGrid w:val="0"/>
      <w:spacing w:line="700" w:lineRule="exact"/>
      <w:ind w:left="2" w:firstLine="4"/>
      <w:jc w:val="both"/>
    </w:pPr>
    <w:rPr>
      <w:rFonts w:ascii="Times New Roman" w:hAnsi="Times New Roman"/>
      <w:bCs/>
      <w:color w:val="000000"/>
      <w:kern w:val="44"/>
      <w:sz w:val="30"/>
      <w:szCs w:val="20"/>
      <w:lang w:val="zh-CN"/>
    </w:rPr>
  </w:style>
  <w:style w:type="paragraph" w:customStyle="1" w:styleId="1258">
    <w:name w:val="初设正文"/>
    <w:basedOn w:val="1"/>
    <w:qFormat/>
    <w:uiPriority w:val="99"/>
    <w:pPr>
      <w:widowControl w:val="0"/>
      <w:spacing w:after="120" w:line="440" w:lineRule="exact"/>
      <w:ind w:left="425" w:firstLine="425"/>
      <w:jc w:val="both"/>
    </w:pPr>
    <w:rPr>
      <w:rFonts w:ascii="Arial" w:hAnsi="Arial" w:cs="Times New Roman"/>
      <w:szCs w:val="20"/>
    </w:rPr>
  </w:style>
  <w:style w:type="paragraph" w:customStyle="1" w:styleId="1259">
    <w:name w:val="xl82"/>
    <w:basedOn w:val="1"/>
    <w:qFormat/>
    <w:uiPriority w:val="99"/>
    <w:pPr>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260">
    <w:name w:val="页脚2"/>
    <w:basedOn w:val="213"/>
    <w:qFormat/>
    <w:uiPriority w:val="99"/>
    <w:pPr>
      <w:tabs>
        <w:tab w:val="center" w:pos="4153"/>
        <w:tab w:val="right" w:pos="8306"/>
      </w:tabs>
      <w:spacing w:line="240" w:lineRule="atLeast"/>
    </w:pPr>
    <w:rPr>
      <w:sz w:val="18"/>
    </w:rPr>
  </w:style>
  <w:style w:type="paragraph" w:customStyle="1" w:styleId="1261">
    <w:name w:val="样式 标题 2节标题标题2H2h2第一层条节二级 标题 21.1标题 21.1_Heading 2标2标...1"/>
    <w:basedOn w:val="5"/>
    <w:qFormat/>
    <w:uiPriority w:val="0"/>
    <w:pPr>
      <w:widowControl w:val="0"/>
      <w:spacing w:line="720" w:lineRule="auto"/>
    </w:pPr>
    <w:rPr>
      <w:rFonts w:ascii="黑体" w:hAnsi="Times New Roman"/>
      <w:szCs w:val="28"/>
    </w:rPr>
  </w:style>
  <w:style w:type="paragraph" w:customStyle="1" w:styleId="1262">
    <w:name w:val="2"/>
    <w:basedOn w:val="1"/>
    <w:next w:val="44"/>
    <w:qFormat/>
    <w:uiPriority w:val="0"/>
    <w:pPr>
      <w:widowControl w:val="0"/>
      <w:jc w:val="both"/>
    </w:pPr>
    <w:rPr>
      <w:rFonts w:hAnsi="Courier New" w:cs="Courier New"/>
      <w:kern w:val="2"/>
      <w:sz w:val="21"/>
      <w:szCs w:val="21"/>
    </w:rPr>
  </w:style>
  <w:style w:type="paragraph" w:customStyle="1" w:styleId="1263">
    <w:name w:val="列表 2H"/>
    <w:basedOn w:val="37"/>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264">
    <w:name w:val="xl65"/>
    <w:basedOn w:val="1"/>
    <w:qFormat/>
    <w:uiPriority w:val="99"/>
    <w:pPr>
      <w:pBdr>
        <w:bottom w:val="single" w:color="auto" w:sz="8" w:space="0"/>
      </w:pBdr>
      <w:spacing w:before="100" w:beforeAutospacing="1" w:after="100" w:afterAutospacing="1"/>
      <w:jc w:val="center"/>
    </w:pPr>
    <w:rPr>
      <w:rFonts w:eastAsia="仿宋_GB2312" w:cs="Times New Roman"/>
      <w:b/>
      <w:bCs/>
      <w:position w:val="-6"/>
    </w:rPr>
  </w:style>
  <w:style w:type="paragraph" w:customStyle="1" w:styleId="1265">
    <w:name w:val="三级条标题"/>
    <w:basedOn w:val="1139"/>
    <w:next w:val="1"/>
    <w:qFormat/>
    <w:uiPriority w:val="99"/>
    <w:pPr>
      <w:tabs>
        <w:tab w:val="left" w:pos="992"/>
        <w:tab w:val="left" w:pos="2100"/>
        <w:tab w:val="clear" w:pos="851"/>
        <w:tab w:val="clear" w:pos="1680"/>
      </w:tabs>
      <w:ind w:left="2100"/>
      <w:outlineLvl w:val="4"/>
    </w:pPr>
  </w:style>
  <w:style w:type="paragraph" w:customStyle="1" w:styleId="1266">
    <w:name w:val="四级条标题"/>
    <w:basedOn w:val="1265"/>
    <w:next w:val="1"/>
    <w:qFormat/>
    <w:uiPriority w:val="99"/>
    <w:pPr>
      <w:tabs>
        <w:tab w:val="left" w:pos="1134"/>
        <w:tab w:val="left" w:pos="2520"/>
        <w:tab w:val="clear" w:pos="992"/>
        <w:tab w:val="clear" w:pos="2100"/>
      </w:tabs>
      <w:ind w:left="2520"/>
      <w:outlineLvl w:val="5"/>
    </w:pPr>
  </w:style>
  <w:style w:type="paragraph" w:customStyle="1" w:styleId="1267">
    <w:name w:val="前言、引言标题"/>
    <w:next w:val="1"/>
    <w:qFormat/>
    <w:uiPriority w:val="99"/>
    <w:pPr>
      <w:shd w:val="clear" w:color="FFFFFF" w:fill="FFFFFF"/>
      <w:tabs>
        <w:tab w:val="left" w:pos="720"/>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1268">
    <w:name w:val="Char Char Char Char Char Char1 Char Char Char Char Char Char Char Char Char1 Char Char Char Char Char Char Char Char Char Char Char Char Char"/>
    <w:basedOn w:val="1"/>
    <w:qFormat/>
    <w:uiPriority w:val="0"/>
    <w:rPr>
      <w:rFonts w:cs="Times New Roman"/>
    </w:rPr>
  </w:style>
  <w:style w:type="paragraph" w:customStyle="1" w:styleId="1269">
    <w:name w:val="表第一列"/>
    <w:basedOn w:val="80"/>
    <w:qFormat/>
    <w:uiPriority w:val="0"/>
    <w:pPr>
      <w:keepNext/>
      <w:keepLines/>
      <w:widowControl w:val="0"/>
      <w:tabs>
        <w:tab w:val="left" w:pos="1727"/>
        <w:tab w:val="left" w:pos="1884"/>
        <w:tab w:val="left" w:pos="2940"/>
      </w:tabs>
      <w:adjustRightInd w:val="0"/>
      <w:snapToGrid w:val="0"/>
      <w:spacing w:after="0" w:line="0" w:lineRule="atLeast"/>
      <w:ind w:firstLine="0" w:firstLineChars="0"/>
      <w:jc w:val="center"/>
    </w:pPr>
    <w:rPr>
      <w:color w:val="000000"/>
      <w:spacing w:val="-4"/>
    </w:rPr>
  </w:style>
  <w:style w:type="paragraph" w:customStyle="1" w:styleId="1270">
    <w:name w:val="列表 4K"/>
    <w:basedOn w:val="71"/>
    <w:qFormat/>
    <w:uiPriority w:val="99"/>
    <w:pPr>
      <w:tabs>
        <w:tab w:val="left" w:pos="1000"/>
      </w:tabs>
      <w:topLinePunct w:val="0"/>
      <w:spacing w:beforeLines="50" w:afterLines="30" w:line="288" w:lineRule="auto"/>
      <w:ind w:left="1000" w:leftChars="0" w:hanging="720" w:firstLineChars="0"/>
      <w:jc w:val="both"/>
    </w:pPr>
    <w:rPr>
      <w:rFonts w:ascii="Arial" w:hAnsi="Arial" w:eastAsia="宋体"/>
      <w:color w:val="CCFFFF"/>
      <w:sz w:val="24"/>
    </w:rPr>
  </w:style>
  <w:style w:type="paragraph" w:customStyle="1" w:styleId="1271">
    <w:name w:val="Char2 Char Char Char Char Char Char Char Char Char"/>
    <w:basedOn w:val="1"/>
    <w:qFormat/>
    <w:uiPriority w:val="0"/>
    <w:pPr>
      <w:widowControl w:val="0"/>
      <w:spacing w:line="360" w:lineRule="auto"/>
      <w:ind w:firstLine="200" w:firstLineChars="200"/>
      <w:jc w:val="both"/>
    </w:pPr>
    <w:rPr>
      <w:kern w:val="2"/>
    </w:rPr>
  </w:style>
  <w:style w:type="paragraph" w:customStyle="1" w:styleId="1272">
    <w:name w:val="样式 内容部分 + 段前: 1 行 段后: 1 行"/>
    <w:basedOn w:val="1"/>
    <w:qFormat/>
    <w:uiPriority w:val="0"/>
    <w:pPr>
      <w:widowControl w:val="0"/>
      <w:tabs>
        <w:tab w:val="right" w:pos="7980"/>
      </w:tabs>
      <w:snapToGrid w:val="0"/>
      <w:spacing w:beforeLines="50" w:afterLines="100" w:line="560" w:lineRule="exact"/>
      <w:jc w:val="both"/>
    </w:pPr>
    <w:rPr>
      <w:rFonts w:ascii="黑体" w:hAnsi="Times New Roman" w:eastAsia="黑体"/>
      <w:kern w:val="36"/>
      <w:sz w:val="28"/>
      <w:szCs w:val="20"/>
    </w:rPr>
  </w:style>
  <w:style w:type="paragraph" w:customStyle="1" w:styleId="1273">
    <w:name w:val="Char Char Char1 Char11"/>
    <w:basedOn w:val="1"/>
    <w:qFormat/>
    <w:uiPriority w:val="99"/>
    <w:pPr>
      <w:widowControl w:val="0"/>
      <w:jc w:val="both"/>
    </w:pPr>
    <w:rPr>
      <w:rFonts w:ascii="Times New Roman" w:hAnsi="Times New Roman" w:cs="Times New Roman"/>
      <w:kern w:val="2"/>
      <w:sz w:val="21"/>
    </w:rPr>
  </w:style>
  <w:style w:type="character" w:customStyle="1" w:styleId="1274">
    <w:name w:val="z-窗体底端 Char2"/>
    <w:basedOn w:val="85"/>
    <w:semiHidden/>
    <w:qFormat/>
    <w:uiPriority w:val="99"/>
    <w:rPr>
      <w:rFonts w:ascii="Arial" w:hAnsi="Arial" w:cs="Arial"/>
      <w:vanish/>
      <w:sz w:val="16"/>
      <w:szCs w:val="16"/>
    </w:rPr>
  </w:style>
  <w:style w:type="paragraph" w:customStyle="1" w:styleId="1275">
    <w:name w:val="xl95"/>
    <w:basedOn w:val="1"/>
    <w:qFormat/>
    <w:uiPriority w:val="99"/>
    <w:pPr>
      <w:pBdr>
        <w:top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sz w:val="16"/>
      <w:szCs w:val="16"/>
    </w:rPr>
  </w:style>
  <w:style w:type="paragraph" w:customStyle="1" w:styleId="1276">
    <w:name w:val="内蒙1"/>
    <w:basedOn w:val="4"/>
    <w:qFormat/>
    <w:uiPriority w:val="99"/>
    <w:pPr>
      <w:keepNext/>
      <w:widowControl w:val="0"/>
      <w:autoSpaceDE w:val="0"/>
      <w:autoSpaceDN w:val="0"/>
      <w:adjustRightInd w:val="0"/>
      <w:spacing w:line="480" w:lineRule="exact"/>
    </w:pPr>
    <w:rPr>
      <w:rFonts w:ascii="Times New Roman" w:hAnsi="Times New Roman"/>
      <w:color w:val="FF0000"/>
      <w:spacing w:val="20"/>
      <w:kern w:val="0"/>
      <w:szCs w:val="32"/>
    </w:rPr>
  </w:style>
  <w:style w:type="paragraph" w:customStyle="1" w:styleId="1277">
    <w:name w:val="xl43"/>
    <w:basedOn w:val="1"/>
    <w:qFormat/>
    <w:uiPriority w:val="99"/>
    <w:pPr>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278">
    <w:name w:val="表标题5.16"/>
    <w:basedOn w:val="1"/>
    <w:qFormat/>
    <w:uiPriority w:val="99"/>
    <w:pPr>
      <w:widowControl w:val="0"/>
      <w:tabs>
        <w:tab w:val="left" w:pos="726"/>
      </w:tabs>
      <w:spacing w:beforeLines="100" w:line="0" w:lineRule="atLeast"/>
      <w:ind w:left="2" w:firstLine="4"/>
      <w:jc w:val="both"/>
    </w:pPr>
    <w:rPr>
      <w:rFonts w:ascii="Times New Roman" w:hAnsi="Times New Roman" w:eastAsia="黑体" w:cs="Times New Roman"/>
      <w:b/>
      <w:kern w:val="2"/>
    </w:rPr>
  </w:style>
  <w:style w:type="paragraph" w:customStyle="1" w:styleId="1279">
    <w:name w:val="表7.4"/>
    <w:basedOn w:val="1"/>
    <w:qFormat/>
    <w:uiPriority w:val="99"/>
    <w:pPr>
      <w:widowControl w:val="0"/>
      <w:tabs>
        <w:tab w:val="left" w:pos="3660"/>
        <w:tab w:val="center" w:pos="4060"/>
        <w:tab w:val="right" w:pos="8261"/>
      </w:tabs>
      <w:suppressAutoHyphens/>
      <w:adjustRightInd w:val="0"/>
      <w:spacing w:beforeLines="100" w:line="0" w:lineRule="atLeast"/>
      <w:ind w:left="6480"/>
      <w:jc w:val="center"/>
    </w:pPr>
    <w:rPr>
      <w:rFonts w:ascii="黑体" w:hAnsi="Times New Roman" w:eastAsia="黑体"/>
      <w:b/>
      <w:bCs/>
      <w:spacing w:val="6"/>
      <w:szCs w:val="20"/>
    </w:rPr>
  </w:style>
  <w:style w:type="paragraph" w:customStyle="1" w:styleId="1280">
    <w:name w:val="样式 样式 燕山正文 + 首行缩进:  2 字符 + 首行缩进:  2 字符"/>
    <w:basedOn w:val="990"/>
    <w:qFormat/>
    <w:uiPriority w:val="99"/>
    <w:pPr>
      <w:jc w:val="both"/>
    </w:pPr>
  </w:style>
  <w:style w:type="paragraph" w:customStyle="1" w:styleId="1281">
    <w:name w:val="biaoq"/>
    <w:basedOn w:val="1"/>
    <w:qFormat/>
    <w:uiPriority w:val="99"/>
    <w:pPr>
      <w:spacing w:before="100" w:beforeAutospacing="1" w:after="100" w:afterAutospacing="1"/>
    </w:pPr>
    <w:rPr>
      <w:rFonts w:cs="Times New Roman"/>
      <w:b/>
      <w:color w:val="333366"/>
      <w:sz w:val="18"/>
      <w:szCs w:val="20"/>
    </w:rPr>
  </w:style>
  <w:style w:type="paragraph" w:customStyle="1" w:styleId="1282">
    <w:name w:val="Char Char Char Char Char Char1 Char Char Char Char"/>
    <w:basedOn w:val="1"/>
    <w:qFormat/>
    <w:uiPriority w:val="99"/>
    <w:pPr>
      <w:widowControl w:val="0"/>
      <w:jc w:val="both"/>
    </w:pPr>
    <w:rPr>
      <w:rFonts w:ascii="Times New Roman" w:hAnsi="Times New Roman" w:cs="Times New Roman"/>
      <w:kern w:val="2"/>
      <w:sz w:val="21"/>
    </w:rPr>
  </w:style>
  <w:style w:type="paragraph" w:customStyle="1" w:styleId="1283">
    <w:name w:val="列表 4P"/>
    <w:basedOn w:val="71"/>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284">
    <w:name w:val="样式 标题 1 + 黑体 小三 非加粗"/>
    <w:basedOn w:val="4"/>
    <w:qFormat/>
    <w:uiPriority w:val="99"/>
    <w:pPr>
      <w:keepNext/>
      <w:keepLines/>
      <w:widowControl w:val="0"/>
      <w:tabs>
        <w:tab w:val="left" w:pos="432"/>
      </w:tabs>
      <w:spacing w:before="340" w:after="330" w:line="578" w:lineRule="auto"/>
      <w:ind w:left="432" w:hanging="432"/>
      <w:jc w:val="both"/>
    </w:pPr>
    <w:rPr>
      <w:rFonts w:ascii="黑体" w:hAnsi="黑体"/>
      <w:b/>
      <w:kern w:val="44"/>
      <w:sz w:val="30"/>
      <w:szCs w:val="44"/>
    </w:rPr>
  </w:style>
  <w:style w:type="paragraph" w:customStyle="1" w:styleId="1285">
    <w:name w:val="xl81"/>
    <w:basedOn w:val="1"/>
    <w:qFormat/>
    <w:uiPriority w:val="99"/>
    <w:pPr>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286">
    <w:name w:val="Section Subtitle"/>
    <w:basedOn w:val="1017"/>
    <w:next w:val="1"/>
    <w:qFormat/>
    <w:uiPriority w:val="99"/>
    <w:pPr>
      <w:pBdr>
        <w:top w:val="none" w:color="auto" w:sz="0" w:space="0"/>
      </w:pBdr>
    </w:pPr>
    <w:rPr>
      <w:b w:val="0"/>
      <w:spacing w:val="0"/>
      <w:position w:val="6"/>
    </w:rPr>
  </w:style>
  <w:style w:type="paragraph" w:customStyle="1" w:styleId="1287">
    <w:name w:val="表3.8-1"/>
    <w:basedOn w:val="811"/>
    <w:qFormat/>
    <w:uiPriority w:val="99"/>
    <w:pPr>
      <w:tabs>
        <w:tab w:val="left" w:pos="420"/>
        <w:tab w:val="clear" w:pos="4060"/>
        <w:tab w:val="clear" w:pos="8261"/>
      </w:tabs>
    </w:pPr>
  </w:style>
  <w:style w:type="paragraph" w:customStyle="1" w:styleId="1288">
    <w:name w:val="样式2"/>
    <w:basedOn w:val="8"/>
    <w:qFormat/>
    <w:uiPriority w:val="99"/>
    <w:pPr>
      <w:widowControl w:val="0"/>
      <w:tabs>
        <w:tab w:val="left" w:pos="360"/>
      </w:tabs>
      <w:spacing w:line="360" w:lineRule="auto"/>
      <w:jc w:val="both"/>
    </w:pPr>
    <w:rPr>
      <w:rFonts w:ascii="黑体" w:hAnsi="Arial" w:eastAsia="黑体" w:cs="Times New Roman"/>
      <w:bCs/>
      <w:kern w:val="2"/>
      <w:sz w:val="28"/>
      <w:szCs w:val="28"/>
      <w:lang w:val="en-US"/>
    </w:rPr>
  </w:style>
  <w:style w:type="paragraph" w:customStyle="1" w:styleId="1289">
    <w:name w:val="Char Char Char Char Char Char"/>
    <w:basedOn w:val="1"/>
    <w:qFormat/>
    <w:uiPriority w:val="0"/>
    <w:pPr>
      <w:widowControl w:val="0"/>
      <w:jc w:val="both"/>
    </w:pPr>
    <w:rPr>
      <w:rFonts w:ascii="Times New Roman" w:hAnsi="Times New Roman" w:cs="Times New Roman"/>
      <w:kern w:val="2"/>
      <w:sz w:val="21"/>
      <w:szCs w:val="20"/>
    </w:rPr>
  </w:style>
  <w:style w:type="paragraph" w:customStyle="1" w:styleId="1290">
    <w:name w:val="样式 正文首行缩进 + 首行缩进:  2 字符1"/>
    <w:basedOn w:val="80"/>
    <w:qFormat/>
    <w:uiPriority w:val="99"/>
    <w:pPr>
      <w:widowControl w:val="0"/>
      <w:spacing w:after="0" w:line="360" w:lineRule="auto"/>
      <w:ind w:firstLine="480" w:firstLineChars="200"/>
    </w:pPr>
    <w:rPr>
      <w:rFonts w:ascii="Times New Roman" w:hAnsi="Times New Roman"/>
      <w:sz w:val="24"/>
      <w:szCs w:val="24"/>
    </w:rPr>
  </w:style>
  <w:style w:type="paragraph" w:customStyle="1" w:styleId="1291">
    <w:name w:val="表格文字中"/>
    <w:basedOn w:val="1"/>
    <w:qFormat/>
    <w:uiPriority w:val="99"/>
    <w:pPr>
      <w:widowControl w:val="0"/>
      <w:tabs>
        <w:tab w:val="left" w:pos="1727"/>
        <w:tab w:val="left" w:pos="1884"/>
      </w:tabs>
      <w:adjustRightInd w:val="0"/>
      <w:snapToGrid w:val="0"/>
      <w:jc w:val="center"/>
    </w:pPr>
    <w:rPr>
      <w:rFonts w:cs="Times New Roman"/>
      <w:color w:val="000000"/>
    </w:rPr>
  </w:style>
  <w:style w:type="paragraph" w:customStyle="1" w:styleId="1292">
    <w:name w:val="Char4 Char Char Char Char Char Char1"/>
    <w:basedOn w:val="1"/>
    <w:qFormat/>
    <w:uiPriority w:val="0"/>
    <w:pPr>
      <w:widowControl w:val="0"/>
      <w:spacing w:line="360" w:lineRule="auto"/>
      <w:ind w:firstLine="200" w:firstLineChars="200"/>
      <w:jc w:val="both"/>
    </w:pPr>
    <w:rPr>
      <w:kern w:val="2"/>
    </w:rPr>
  </w:style>
  <w:style w:type="paragraph" w:customStyle="1" w:styleId="1293">
    <w:name w:val="Body Text 22"/>
    <w:basedOn w:val="1"/>
    <w:qFormat/>
    <w:uiPriority w:val="99"/>
    <w:pPr>
      <w:widowControl w:val="0"/>
      <w:adjustRightInd w:val="0"/>
      <w:spacing w:line="440" w:lineRule="atLeast"/>
      <w:ind w:firstLine="480"/>
      <w:jc w:val="both"/>
      <w:textAlignment w:val="baseline"/>
    </w:pPr>
    <w:rPr>
      <w:rFonts w:ascii="Times New Roman" w:hAnsi="Times New Roman" w:eastAsia="仿宋_GB2312" w:cs="Times New Roman"/>
      <w:kern w:val="2"/>
      <w:szCs w:val="20"/>
    </w:rPr>
  </w:style>
  <w:style w:type="paragraph" w:customStyle="1" w:styleId="1294">
    <w:name w:val="表标题7.2"/>
    <w:basedOn w:val="1295"/>
    <w:qFormat/>
    <w:uiPriority w:val="99"/>
    <w:pPr>
      <w:tabs>
        <w:tab w:val="left" w:pos="726"/>
        <w:tab w:val="center" w:pos="4060"/>
        <w:tab w:val="right" w:pos="8261"/>
      </w:tabs>
      <w:ind w:left="2" w:firstLine="4"/>
    </w:pPr>
    <w:rPr>
      <w:szCs w:val="24"/>
    </w:rPr>
  </w:style>
  <w:style w:type="paragraph" w:customStyle="1" w:styleId="1295">
    <w:name w:val="表标题8.3"/>
    <w:basedOn w:val="507"/>
    <w:qFormat/>
    <w:uiPriority w:val="99"/>
    <w:pPr>
      <w:tabs>
        <w:tab w:val="center" w:pos="4060"/>
        <w:tab w:val="right" w:pos="8261"/>
        <w:tab w:val="clear" w:pos="360"/>
        <w:tab w:val="clear" w:pos="726"/>
      </w:tabs>
      <w:suppressAutoHyphens/>
      <w:adjustRightInd w:val="0"/>
      <w:spacing w:beforeLines="100" w:line="0" w:lineRule="atLeast"/>
    </w:pPr>
    <w:rPr>
      <w:rFonts w:ascii="黑体" w:eastAsia="黑体" w:cs="宋体"/>
      <w:b/>
      <w:bCs/>
      <w:spacing w:val="6"/>
      <w:sz w:val="24"/>
      <w:szCs w:val="20"/>
    </w:rPr>
  </w:style>
  <w:style w:type="paragraph" w:customStyle="1" w:styleId="1296">
    <w:name w:val="样式 燕山正文 + 首行缩进:  3.5 字符2"/>
    <w:basedOn w:val="757"/>
    <w:qFormat/>
    <w:uiPriority w:val="99"/>
    <w:pPr>
      <w:shd w:val="clear" w:color="auto" w:fill="auto"/>
      <w:jc w:val="both"/>
    </w:pPr>
    <w:rPr>
      <w:color w:val="000000"/>
      <w:szCs w:val="24"/>
    </w:rPr>
  </w:style>
  <w:style w:type="paragraph" w:customStyle="1" w:styleId="1297">
    <w:name w:val="表格样式1"/>
    <w:basedOn w:val="1"/>
    <w:qFormat/>
    <w:uiPriority w:val="99"/>
    <w:pPr>
      <w:widowControl w:val="0"/>
      <w:spacing w:line="360" w:lineRule="exact"/>
      <w:jc w:val="center"/>
    </w:pPr>
    <w:rPr>
      <w:rFonts w:ascii="Times New Roman" w:hAnsi="Times New Roman" w:eastAsia="仿宋_GB2312" w:cs="Times New Roman"/>
      <w:color w:val="000080"/>
      <w:kern w:val="2"/>
      <w:sz w:val="21"/>
    </w:rPr>
  </w:style>
  <w:style w:type="paragraph" w:customStyle="1" w:styleId="1298">
    <w:name w:val="font17"/>
    <w:basedOn w:val="1"/>
    <w:qFormat/>
    <w:uiPriority w:val="99"/>
    <w:pPr>
      <w:spacing w:before="100" w:beforeAutospacing="1" w:after="100" w:afterAutospacing="1"/>
    </w:pPr>
    <w:rPr>
      <w:rFonts w:ascii="Times New Roman" w:hAnsi="Times New Roman" w:eastAsia="Arial Unicode MS" w:cs="Times New Roman"/>
      <w:sz w:val="20"/>
      <w:szCs w:val="20"/>
      <w:u w:val="single"/>
    </w:rPr>
  </w:style>
  <w:style w:type="paragraph" w:customStyle="1" w:styleId="1299">
    <w:name w:val="我的正文"/>
    <w:basedOn w:val="1"/>
    <w:qFormat/>
    <w:uiPriority w:val="99"/>
    <w:pPr>
      <w:widowControl w:val="0"/>
      <w:jc w:val="both"/>
    </w:pPr>
    <w:rPr>
      <w:rFonts w:ascii="Times New Roman" w:hAnsi="Times New Roman" w:cs="Times New Roman"/>
      <w:kern w:val="2"/>
      <w:szCs w:val="20"/>
    </w:rPr>
  </w:style>
  <w:style w:type="paragraph" w:customStyle="1" w:styleId="1300">
    <w:name w:val="6表格"/>
    <w:basedOn w:val="1"/>
    <w:qFormat/>
    <w:uiPriority w:val="99"/>
    <w:pPr>
      <w:widowControl w:val="0"/>
      <w:adjustRightInd w:val="0"/>
      <w:snapToGrid w:val="0"/>
      <w:spacing w:before="60" w:line="312" w:lineRule="auto"/>
      <w:jc w:val="center"/>
    </w:pPr>
    <w:rPr>
      <w:rFonts w:ascii="Times New Roman" w:hAnsi="Times New Roman" w:cs="Times New Roman"/>
      <w:snapToGrid w:val="0"/>
      <w:sz w:val="21"/>
      <w:szCs w:val="20"/>
    </w:rPr>
  </w:style>
  <w:style w:type="paragraph" w:customStyle="1" w:styleId="1301">
    <w:name w:val="五级条标题"/>
    <w:basedOn w:val="1266"/>
    <w:next w:val="1"/>
    <w:qFormat/>
    <w:uiPriority w:val="99"/>
    <w:pPr>
      <w:tabs>
        <w:tab w:val="left" w:pos="1276"/>
        <w:tab w:val="left" w:pos="2940"/>
        <w:tab w:val="clear" w:pos="1134"/>
        <w:tab w:val="clear" w:pos="1260"/>
        <w:tab w:val="clear" w:pos="2520"/>
      </w:tabs>
      <w:ind w:left="2940"/>
      <w:outlineLvl w:val="6"/>
    </w:pPr>
  </w:style>
  <w:style w:type="paragraph" w:customStyle="1" w:styleId="1302">
    <w:name w:val="CM59"/>
    <w:basedOn w:val="103"/>
    <w:next w:val="103"/>
    <w:qFormat/>
    <w:uiPriority w:val="99"/>
    <w:pPr>
      <w:autoSpaceDE w:val="0"/>
      <w:autoSpaceDN w:val="0"/>
      <w:spacing w:after="498"/>
    </w:pPr>
    <w:rPr>
      <w:color w:val="auto"/>
    </w:rPr>
  </w:style>
  <w:style w:type="paragraph" w:customStyle="1" w:styleId="1303">
    <w:name w:val="列表 5L"/>
    <w:basedOn w:val="65"/>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304">
    <w:name w:val="表内序号"/>
    <w:basedOn w:val="1"/>
    <w:qFormat/>
    <w:uiPriority w:val="99"/>
    <w:pPr>
      <w:tabs>
        <w:tab w:val="left" w:pos="425"/>
      </w:tabs>
      <w:adjustRightInd w:val="0"/>
      <w:snapToGrid w:val="0"/>
      <w:spacing w:line="360" w:lineRule="auto"/>
      <w:ind w:left="425" w:hanging="425"/>
    </w:pPr>
    <w:rPr>
      <w:rFonts w:ascii="Times New Roman" w:hAnsi="Times New Roman" w:cs="Times New Roman"/>
      <w:szCs w:val="20"/>
    </w:rPr>
  </w:style>
  <w:style w:type="paragraph" w:customStyle="1" w:styleId="1305">
    <w:name w:val="样式 标题 41.1.1.1标题 4.1.1.1.1标题 4 Char款1.1.1.1 Char标4段1.1.1..."/>
    <w:basedOn w:val="8"/>
    <w:qFormat/>
    <w:uiPriority w:val="99"/>
    <w:pPr>
      <w:widowControl w:val="0"/>
      <w:tabs>
        <w:tab w:val="left" w:pos="0"/>
        <w:tab w:val="left" w:pos="360"/>
      </w:tabs>
      <w:spacing w:before="120" w:after="120" w:line="312" w:lineRule="auto"/>
      <w:ind w:left="284" w:hanging="284"/>
      <w:jc w:val="both"/>
    </w:pPr>
    <w:rPr>
      <w:rFonts w:ascii="Arial" w:hAnsi="Arial" w:eastAsia="黑体"/>
      <w:b/>
      <w:bCs/>
      <w:kern w:val="2"/>
      <w:lang w:val="en-US"/>
    </w:rPr>
  </w:style>
  <w:style w:type="paragraph" w:customStyle="1" w:styleId="1306">
    <w:name w:val="样式6"/>
    <w:basedOn w:val="1"/>
    <w:qFormat/>
    <w:uiPriority w:val="99"/>
    <w:pPr>
      <w:widowControl w:val="0"/>
      <w:adjustRightInd w:val="0"/>
      <w:snapToGrid w:val="0"/>
      <w:spacing w:line="360" w:lineRule="auto"/>
      <w:ind w:firstLine="200" w:firstLineChars="200"/>
      <w:textAlignment w:val="baseline"/>
    </w:pPr>
    <w:rPr>
      <w:rFonts w:hAnsi="Times New Roman" w:cs="Times New Roman"/>
    </w:rPr>
  </w:style>
  <w:style w:type="paragraph" w:customStyle="1" w:styleId="1307">
    <w:name w:val="Char4 Char Char Char Char Char Char12"/>
    <w:basedOn w:val="1"/>
    <w:qFormat/>
    <w:uiPriority w:val="99"/>
    <w:pPr>
      <w:widowControl w:val="0"/>
      <w:spacing w:line="360" w:lineRule="auto"/>
      <w:ind w:firstLine="200" w:firstLineChars="200"/>
      <w:jc w:val="both"/>
    </w:pPr>
    <w:rPr>
      <w:kern w:val="2"/>
    </w:rPr>
  </w:style>
  <w:style w:type="paragraph" w:customStyle="1" w:styleId="1308">
    <w:name w:val="源代码"/>
    <w:basedOn w:val="1"/>
    <w:qFormat/>
    <w:uiPriority w:val="0"/>
    <w:pPr>
      <w:kinsoku w:val="0"/>
      <w:overflowPunct w:val="0"/>
      <w:autoSpaceDE w:val="0"/>
      <w:autoSpaceDN w:val="0"/>
      <w:adjustRightInd w:val="0"/>
      <w:snapToGrid w:val="0"/>
    </w:pPr>
    <w:rPr>
      <w:rFonts w:ascii="Courier New" w:hAnsi="Courier New" w:cs="Times New Roman"/>
      <w:b/>
      <w:snapToGrid w:val="0"/>
    </w:rPr>
  </w:style>
  <w:style w:type="paragraph" w:customStyle="1" w:styleId="1309">
    <w:name w:val="德胜二级标题"/>
    <w:basedOn w:val="1"/>
    <w:qFormat/>
    <w:uiPriority w:val="99"/>
    <w:pPr>
      <w:keepNext/>
      <w:keepLines/>
      <w:widowControl w:val="0"/>
      <w:adjustRightInd w:val="0"/>
      <w:snapToGrid w:val="0"/>
      <w:spacing w:line="360" w:lineRule="auto"/>
      <w:outlineLvl w:val="1"/>
    </w:pPr>
    <w:rPr>
      <w:rFonts w:ascii="Times New Roman" w:hAnsi="Times New Roman" w:cs="Times New Roman"/>
      <w:b/>
      <w:bCs/>
      <w:snapToGrid w:val="0"/>
      <w:color w:val="0000FF"/>
      <w:sz w:val="28"/>
      <w:szCs w:val="28"/>
    </w:rPr>
  </w:style>
  <w:style w:type="paragraph" w:customStyle="1" w:styleId="1310">
    <w:name w:val="City/State"/>
    <w:basedOn w:val="32"/>
    <w:next w:val="32"/>
    <w:qFormat/>
    <w:uiPriority w:val="99"/>
    <w:pPr>
      <w:keepNext/>
      <w:spacing w:after="220" w:line="220" w:lineRule="atLeast"/>
      <w:ind w:right="-360"/>
    </w:pPr>
    <w:rPr>
      <w:rFonts w:ascii="Times New Roman" w:hAnsi="Times New Roman"/>
      <w:color w:val="auto"/>
      <w:kern w:val="0"/>
      <w:sz w:val="20"/>
      <w:szCs w:val="20"/>
    </w:rPr>
  </w:style>
  <w:style w:type="paragraph" w:customStyle="1" w:styleId="1311">
    <w:name w:val="BG1"/>
    <w:basedOn w:val="1"/>
    <w:qFormat/>
    <w:uiPriority w:val="99"/>
    <w:pPr>
      <w:widowControl w:val="0"/>
      <w:adjustRightInd w:val="0"/>
      <w:jc w:val="center"/>
    </w:pPr>
    <w:rPr>
      <w:rFonts w:ascii="Times New Roman" w:hAnsi="Times New Roman" w:cs="Times New Roman"/>
      <w:spacing w:val="20"/>
      <w:kern w:val="2"/>
      <w:sz w:val="21"/>
      <w:szCs w:val="20"/>
    </w:rPr>
  </w:style>
  <w:style w:type="paragraph" w:customStyle="1" w:styleId="1312">
    <w:name w:val="Char Char Char Char Char Char Char Char Char Char Char Char Char Char Char Char Char1"/>
    <w:basedOn w:val="1"/>
    <w:qFormat/>
    <w:uiPriority w:val="99"/>
    <w:pPr>
      <w:widowControl w:val="0"/>
      <w:jc w:val="both"/>
    </w:pPr>
    <w:rPr>
      <w:rFonts w:ascii="Times New Roman" w:hAnsi="Times New Roman" w:eastAsia="仿宋_GB2312" w:cs="Times New Roman"/>
      <w:kern w:val="2"/>
      <w:sz w:val="21"/>
      <w:szCs w:val="21"/>
    </w:rPr>
  </w:style>
  <w:style w:type="paragraph" w:customStyle="1" w:styleId="1313">
    <w:name w:val="列表 3E"/>
    <w:basedOn w:val="14"/>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314">
    <w:name w:val="规划正文样式"/>
    <w:basedOn w:val="1"/>
    <w:qFormat/>
    <w:uiPriority w:val="99"/>
    <w:pPr>
      <w:widowControl w:val="0"/>
      <w:spacing w:line="400" w:lineRule="exact"/>
      <w:ind w:firstLine="480" w:firstLineChars="200"/>
      <w:jc w:val="both"/>
    </w:pPr>
    <w:rPr>
      <w:rFonts w:ascii="Times New Roman" w:hAnsi="Times New Roman" w:cs="Times New Roman"/>
      <w:kern w:val="2"/>
    </w:rPr>
  </w:style>
  <w:style w:type="paragraph" w:customStyle="1" w:styleId="1315">
    <w:name w:val="xl28"/>
    <w:basedOn w:val="1"/>
    <w:qFormat/>
    <w:uiPriority w:val="99"/>
    <w:pPr>
      <w:pBdr>
        <w:left w:val="single" w:color="auto" w:sz="4" w:space="0"/>
        <w:bottom w:val="single" w:color="auto" w:sz="4" w:space="0"/>
        <w:right w:val="single" w:color="auto" w:sz="4" w:space="0"/>
      </w:pBdr>
      <w:spacing w:before="100" w:beforeAutospacing="1" w:after="100" w:afterAutospacing="1"/>
      <w:jc w:val="center"/>
      <w:textAlignment w:val="top"/>
    </w:pPr>
    <w:rPr>
      <w:rFonts w:cs="Times New Roman"/>
      <w:szCs w:val="20"/>
    </w:rPr>
  </w:style>
  <w:style w:type="paragraph" w:customStyle="1" w:styleId="1316">
    <w:name w:val="图题7"/>
    <w:basedOn w:val="1"/>
    <w:qFormat/>
    <w:uiPriority w:val="99"/>
    <w:pPr>
      <w:widowControl w:val="0"/>
      <w:adjustRightInd w:val="0"/>
      <w:snapToGrid w:val="0"/>
      <w:spacing w:line="360" w:lineRule="auto"/>
      <w:jc w:val="center"/>
    </w:pPr>
    <w:rPr>
      <w:rFonts w:ascii="Times New Roman" w:hAnsi="Times New Roman" w:eastAsia="仿宋_GB2312" w:cs="Times New Roman"/>
      <w:b/>
      <w:snapToGrid w:val="0"/>
    </w:rPr>
  </w:style>
  <w:style w:type="paragraph" w:customStyle="1" w:styleId="1317">
    <w:name w:val="Address 2"/>
    <w:basedOn w:val="1"/>
    <w:qFormat/>
    <w:uiPriority w:val="99"/>
    <w:pPr>
      <w:spacing w:line="200" w:lineRule="atLeast"/>
    </w:pPr>
    <w:rPr>
      <w:rFonts w:ascii="Times New Roman" w:hAnsi="Times New Roman" w:cs="Times New Roman"/>
      <w:sz w:val="16"/>
      <w:szCs w:val="20"/>
    </w:rPr>
  </w:style>
  <w:style w:type="paragraph" w:customStyle="1" w:styleId="1318">
    <w:name w:val="xl107"/>
    <w:basedOn w:val="1"/>
    <w:qFormat/>
    <w:uiPriority w:val="99"/>
    <w:pPr>
      <w:pBdr>
        <w:top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319">
    <w:name w:val="列表 3B"/>
    <w:basedOn w:val="14"/>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320">
    <w:name w:val="样式 (符号) 宋体 首行缩进:  2 字符1"/>
    <w:basedOn w:val="1"/>
    <w:qFormat/>
    <w:uiPriority w:val="99"/>
    <w:pPr>
      <w:widowControl w:val="0"/>
      <w:ind w:firstLine="567" w:firstLineChars="200"/>
      <w:jc w:val="both"/>
    </w:pPr>
    <w:rPr>
      <w:kern w:val="2"/>
      <w:sz w:val="27"/>
      <w:szCs w:val="20"/>
    </w:rPr>
  </w:style>
  <w:style w:type="paragraph" w:customStyle="1" w:styleId="1321">
    <w:name w:val="表中文字 + 居中"/>
    <w:basedOn w:val="1016"/>
    <w:qFormat/>
    <w:uiPriority w:val="99"/>
  </w:style>
  <w:style w:type="paragraph" w:customStyle="1" w:styleId="1322">
    <w:name w:val="列表 2K"/>
    <w:basedOn w:val="37"/>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323">
    <w:name w:val="Objective"/>
    <w:basedOn w:val="1"/>
    <w:next w:val="32"/>
    <w:qFormat/>
    <w:uiPriority w:val="99"/>
    <w:pPr>
      <w:spacing w:before="220" w:after="220" w:line="220" w:lineRule="atLeast"/>
    </w:pPr>
    <w:rPr>
      <w:rFonts w:ascii="Times New Roman" w:hAnsi="Times New Roman" w:cs="Times New Roman"/>
      <w:sz w:val="20"/>
      <w:szCs w:val="20"/>
    </w:rPr>
  </w:style>
  <w:style w:type="paragraph" w:customStyle="1" w:styleId="1324">
    <w:name w:val="居中"/>
    <w:basedOn w:val="1"/>
    <w:qFormat/>
    <w:uiPriority w:val="99"/>
    <w:pPr>
      <w:widowControl w:val="0"/>
      <w:spacing w:before="40" w:after="40" w:line="480" w:lineRule="exact"/>
      <w:jc w:val="center"/>
    </w:pPr>
    <w:rPr>
      <w:rFonts w:ascii="Arial" w:hAnsi="Arial" w:cs="Times New Roman"/>
      <w:kern w:val="2"/>
      <w:szCs w:val="20"/>
    </w:rPr>
  </w:style>
  <w:style w:type="paragraph" w:customStyle="1" w:styleId="1325">
    <w:name w:val="CM15"/>
    <w:basedOn w:val="1"/>
    <w:next w:val="1"/>
    <w:qFormat/>
    <w:uiPriority w:val="99"/>
    <w:pPr>
      <w:widowControl w:val="0"/>
      <w:autoSpaceDE w:val="0"/>
      <w:autoSpaceDN w:val="0"/>
      <w:adjustRightInd w:val="0"/>
      <w:spacing w:line="456" w:lineRule="atLeast"/>
    </w:pPr>
    <w:rPr>
      <w:rFonts w:hAnsi="Times New Roman"/>
    </w:rPr>
  </w:style>
  <w:style w:type="paragraph" w:customStyle="1" w:styleId="1326">
    <w:name w:val="样式 标题 2 + Times New Roman"/>
    <w:basedOn w:val="5"/>
    <w:qFormat/>
    <w:uiPriority w:val="99"/>
    <w:pPr>
      <w:spacing w:before="260" w:after="260" w:line="415" w:lineRule="auto"/>
      <w:ind w:firstLine="538" w:firstLineChars="192"/>
    </w:pPr>
    <w:rPr>
      <w:rFonts w:ascii="Times New Roman" w:hAnsi="Times New Roman"/>
      <w:b/>
      <w:bCs w:val="0"/>
      <w:sz w:val="32"/>
    </w:rPr>
  </w:style>
  <w:style w:type="paragraph" w:customStyle="1" w:styleId="1327">
    <w:name w:val="表标"/>
    <w:next w:val="1"/>
    <w:qFormat/>
    <w:uiPriority w:val="99"/>
    <w:pPr>
      <w:widowControl w:val="0"/>
      <w:tabs>
        <w:tab w:val="left" w:pos="280"/>
      </w:tabs>
      <w:adjustRightInd w:val="0"/>
      <w:snapToGrid w:val="0"/>
      <w:jc w:val="center"/>
    </w:pPr>
    <w:rPr>
      <w:rFonts w:ascii="Times New Roman" w:hAnsi="Times New Roman" w:eastAsia="宋体" w:cs="Times New Roman"/>
      <w:b/>
      <w:kern w:val="2"/>
      <w:sz w:val="24"/>
      <w:szCs w:val="24"/>
      <w:lang w:val="en-US" w:eastAsia="zh-CN" w:bidi="ar-SA"/>
    </w:rPr>
  </w:style>
  <w:style w:type="paragraph" w:customStyle="1" w:styleId="1328">
    <w:name w:val="pl正文"/>
    <w:basedOn w:val="1"/>
    <w:qFormat/>
    <w:uiPriority w:val="99"/>
    <w:pPr>
      <w:widowControl w:val="0"/>
      <w:snapToGrid w:val="0"/>
      <w:spacing w:line="360" w:lineRule="auto"/>
      <w:ind w:firstLine="492"/>
      <w:jc w:val="both"/>
    </w:pPr>
    <w:rPr>
      <w:rFonts w:cs="Times New Roman"/>
      <w:color w:val="000000"/>
      <w:spacing w:val="6"/>
      <w:kern w:val="2"/>
      <w:sz w:val="28"/>
    </w:rPr>
  </w:style>
  <w:style w:type="paragraph" w:customStyle="1" w:styleId="1329">
    <w:name w:val="样式 (西文) Times New Roman 五号 居中"/>
    <w:basedOn w:val="1"/>
    <w:qFormat/>
    <w:uiPriority w:val="0"/>
    <w:pPr>
      <w:widowControl w:val="0"/>
      <w:jc w:val="center"/>
    </w:pPr>
    <w:rPr>
      <w:rFonts w:ascii="Times New Roman" w:hAnsi="Times New Roman"/>
      <w:sz w:val="21"/>
      <w:szCs w:val="20"/>
    </w:rPr>
  </w:style>
  <w:style w:type="paragraph" w:customStyle="1" w:styleId="1330">
    <w:name w:val="样式 正文首行缩进 + 黑体 四号 黑色"/>
    <w:basedOn w:val="1"/>
    <w:next w:val="1"/>
    <w:qFormat/>
    <w:uiPriority w:val="99"/>
    <w:pPr>
      <w:widowControl w:val="0"/>
      <w:tabs>
        <w:tab w:val="left" w:pos="2514"/>
      </w:tabs>
      <w:spacing w:line="360" w:lineRule="auto"/>
      <w:ind w:left="864" w:right="-132" w:rightChars="-47" w:hanging="864"/>
      <w:jc w:val="both"/>
      <w:outlineLvl w:val="3"/>
    </w:pPr>
    <w:rPr>
      <w:rFonts w:ascii="黑体" w:hAnsi="Arial" w:eastAsia="黑体"/>
      <w:color w:val="000000"/>
      <w:kern w:val="2"/>
      <w:sz w:val="28"/>
      <w:szCs w:val="20"/>
    </w:rPr>
  </w:style>
  <w:style w:type="paragraph" w:customStyle="1" w:styleId="1331">
    <w:name w:val="xl40"/>
    <w:basedOn w:val="1"/>
    <w:qFormat/>
    <w:uiPriority w:val="99"/>
    <w:pPr>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332">
    <w:name w:val="日期1"/>
    <w:basedOn w:val="1"/>
    <w:next w:val="1"/>
    <w:qFormat/>
    <w:uiPriority w:val="99"/>
    <w:pPr>
      <w:widowControl w:val="0"/>
      <w:adjustRightInd w:val="0"/>
      <w:spacing w:line="360" w:lineRule="atLeast"/>
      <w:jc w:val="both"/>
      <w:textAlignment w:val="baseline"/>
    </w:pPr>
    <w:rPr>
      <w:rFonts w:hAnsi="Times New Roman" w:cs="Times New Roman"/>
      <w:spacing w:val="20"/>
      <w:sz w:val="28"/>
      <w:szCs w:val="20"/>
    </w:rPr>
  </w:style>
  <w:style w:type="paragraph" w:customStyle="1" w:styleId="1333">
    <w:name w:val="xl88"/>
    <w:basedOn w:val="1"/>
    <w:qFormat/>
    <w:uiPriority w:val="99"/>
    <w:pPr>
      <w:pBdr>
        <w:top w:val="single" w:color="auto" w:sz="4" w:space="0"/>
        <w:left w:val="single" w:color="auto" w:sz="8" w:space="0"/>
        <w:bottom w:val="single" w:color="auto" w:sz="4" w:space="0"/>
      </w:pBdr>
      <w:spacing w:before="100" w:beforeAutospacing="1" w:after="100" w:afterAutospacing="1"/>
    </w:pPr>
    <w:rPr>
      <w:rFonts w:ascii="Times New Roman" w:hAnsi="Times New Roman" w:eastAsia="Arial Unicode MS" w:cs="Times New Roman"/>
      <w:sz w:val="16"/>
      <w:szCs w:val="16"/>
    </w:rPr>
  </w:style>
  <w:style w:type="paragraph" w:customStyle="1" w:styleId="1334">
    <w:name w:val="Char Char Char"/>
    <w:basedOn w:val="1"/>
    <w:qFormat/>
    <w:uiPriority w:val="0"/>
    <w:pPr>
      <w:widowControl w:val="0"/>
      <w:jc w:val="both"/>
    </w:pPr>
    <w:rPr>
      <w:rFonts w:ascii="Times New Roman" w:hAnsi="Times New Roman" w:cs="Times New Roman"/>
      <w:kern w:val="2"/>
    </w:rPr>
  </w:style>
  <w:style w:type="paragraph" w:customStyle="1" w:styleId="1335">
    <w:name w:val="!Texte courant"/>
    <w:qFormat/>
    <w:uiPriority w:val="99"/>
    <w:pPr>
      <w:spacing w:before="120" w:line="280" w:lineRule="atLeast"/>
      <w:jc w:val="both"/>
    </w:pPr>
    <w:rPr>
      <w:rFonts w:ascii="Times New Roman" w:hAnsi="Times New Roman" w:eastAsia="宋体" w:cs="Times New Roman"/>
      <w:sz w:val="24"/>
      <w:lang w:val="fr-FR" w:eastAsia="en-US" w:bidi="ar-SA"/>
    </w:rPr>
  </w:style>
  <w:style w:type="paragraph" w:customStyle="1" w:styleId="1336">
    <w:name w:val="xl31"/>
    <w:basedOn w:val="1"/>
    <w:qFormat/>
    <w:uiPriority w:val="99"/>
    <w:pPr>
      <w:spacing w:before="100" w:beforeAutospacing="1" w:after="100" w:afterAutospacing="1"/>
      <w:jc w:val="center"/>
    </w:pPr>
    <w:rPr>
      <w:rFonts w:ascii="Times New Roman" w:hAnsi="Times New Roman" w:cs="Times New Roman"/>
    </w:rPr>
  </w:style>
  <w:style w:type="paragraph" w:customStyle="1" w:styleId="1337">
    <w:name w:val="章(一级)"/>
    <w:basedOn w:val="4"/>
    <w:next w:val="919"/>
    <w:qFormat/>
    <w:uiPriority w:val="99"/>
    <w:pPr>
      <w:widowControl w:val="0"/>
      <w:tabs>
        <w:tab w:val="left" w:pos="360"/>
        <w:tab w:val="left" w:pos="915"/>
      </w:tabs>
      <w:adjustRightInd w:val="0"/>
      <w:spacing w:beforeLines="100" w:afterLines="100" w:line="700" w:lineRule="exact"/>
      <w:ind w:left="915" w:hanging="435"/>
      <w:textAlignment w:val="baseline"/>
      <w:outlineLvl w:val="9"/>
    </w:pPr>
    <w:rPr>
      <w:rFonts w:ascii="宋体" w:hAnsi="宋体" w:eastAsia="宋体"/>
      <w:kern w:val="24"/>
      <w:sz w:val="24"/>
      <w:szCs w:val="20"/>
    </w:rPr>
  </w:style>
  <w:style w:type="paragraph" w:customStyle="1" w:styleId="1338">
    <w:name w:val="表题74"/>
    <w:basedOn w:val="35"/>
    <w:qFormat/>
    <w:uiPriority w:val="99"/>
    <w:pPr>
      <w:widowControl w:val="0"/>
      <w:tabs>
        <w:tab w:val="left" w:pos="4305"/>
      </w:tabs>
      <w:adjustRightInd w:val="0"/>
      <w:snapToGrid w:val="0"/>
      <w:spacing w:after="0"/>
      <w:ind w:left="0" w:leftChars="0"/>
      <w:jc w:val="center"/>
    </w:pPr>
    <w:rPr>
      <w:rFonts w:ascii="黑体" w:hAnsi="宋体" w:eastAsia="黑体"/>
      <w:spacing w:val="0"/>
      <w:sz w:val="24"/>
      <w:szCs w:val="24"/>
    </w:rPr>
  </w:style>
  <w:style w:type="paragraph" w:customStyle="1" w:styleId="1339">
    <w:name w:val="xl85"/>
    <w:basedOn w:val="1"/>
    <w:qFormat/>
    <w:uiPriority w:val="99"/>
    <w:pPr>
      <w:spacing w:before="100" w:beforeAutospacing="1" w:after="100" w:afterAutospacing="1"/>
      <w:textAlignment w:val="center"/>
    </w:pPr>
    <w:rPr>
      <w:rFonts w:ascii="Arial Unicode MS" w:hAnsi="Arial Unicode MS" w:eastAsia="Arial Unicode MS" w:cs="Arial Unicode MS"/>
      <w:sz w:val="20"/>
      <w:szCs w:val="20"/>
    </w:rPr>
  </w:style>
  <w:style w:type="paragraph" w:customStyle="1" w:styleId="1340">
    <w:name w:val="brdrw15brsp20 tqctx4153t"/>
    <w:qFormat/>
    <w:uiPriority w:val="99"/>
    <w:pPr>
      <w:widowControl w:val="0"/>
      <w:pBdr>
        <w:bottom w:val="single" w:color="auto" w:sz="6" w:space="0"/>
      </w:pBdr>
      <w:adjustRightInd w:val="0"/>
      <w:spacing w:line="312" w:lineRule="atLeast"/>
      <w:jc w:val="center"/>
    </w:pPr>
    <w:rPr>
      <w:rFonts w:ascii="Times New Roman" w:hAnsi="Times New Roman" w:eastAsia="宋体" w:cs="Times New Roman"/>
      <w:sz w:val="21"/>
      <w:lang w:val="en-US" w:eastAsia="zh-CN" w:bidi="ar-SA"/>
    </w:rPr>
  </w:style>
  <w:style w:type="paragraph" w:customStyle="1" w:styleId="1341">
    <w:name w:val="Char Char10"/>
    <w:basedOn w:val="1"/>
    <w:qFormat/>
    <w:uiPriority w:val="0"/>
    <w:pPr>
      <w:widowControl w:val="0"/>
      <w:jc w:val="both"/>
    </w:pPr>
    <w:rPr>
      <w:rFonts w:ascii="Times New Roman" w:hAnsi="Times New Roman" w:cs="Times New Roman"/>
      <w:kern w:val="2"/>
      <w:sz w:val="21"/>
    </w:rPr>
  </w:style>
  <w:style w:type="paragraph" w:customStyle="1" w:styleId="1342">
    <w:name w:val="2 Char Char Char"/>
    <w:basedOn w:val="1"/>
    <w:qFormat/>
    <w:uiPriority w:val="0"/>
    <w:pPr>
      <w:widowControl w:val="0"/>
      <w:jc w:val="both"/>
    </w:pPr>
    <w:rPr>
      <w:rFonts w:ascii="Times New Roman" w:hAnsi="Times New Roman" w:cs="Times New Roman"/>
      <w:kern w:val="2"/>
      <w:sz w:val="21"/>
    </w:rPr>
  </w:style>
  <w:style w:type="paragraph" w:customStyle="1" w:styleId="1343">
    <w:name w:val="表格内容"/>
    <w:basedOn w:val="1"/>
    <w:qFormat/>
    <w:uiPriority w:val="0"/>
    <w:pPr>
      <w:widowControl w:val="0"/>
      <w:tabs>
        <w:tab w:val="left" w:pos="1800"/>
        <w:tab w:val="left" w:pos="2805"/>
      </w:tabs>
      <w:overflowPunct w:val="0"/>
      <w:adjustRightInd w:val="0"/>
      <w:snapToGrid w:val="0"/>
      <w:spacing w:before="40" w:after="60" w:line="200" w:lineRule="atLeast"/>
      <w:ind w:firstLine="200" w:firstLineChars="200"/>
      <w:jc w:val="both"/>
      <w:textAlignment w:val="baseline"/>
    </w:pPr>
    <w:rPr>
      <w:rFonts w:ascii="Arial" w:hAnsi="Arial" w:eastAsia="仿宋_GB2312" w:cs="Arial"/>
    </w:rPr>
  </w:style>
  <w:style w:type="paragraph" w:customStyle="1" w:styleId="1344">
    <w:name w:val="MTDisplayEquation"/>
    <w:basedOn w:val="1"/>
    <w:next w:val="1"/>
    <w:qFormat/>
    <w:uiPriority w:val="0"/>
    <w:pPr>
      <w:widowControl w:val="0"/>
      <w:tabs>
        <w:tab w:val="center" w:pos="4080"/>
        <w:tab w:val="right" w:pos="8160"/>
      </w:tabs>
      <w:spacing w:line="360" w:lineRule="auto"/>
      <w:ind w:firstLine="480" w:firstLineChars="200"/>
      <w:jc w:val="both"/>
    </w:pPr>
    <w:rPr>
      <w:rFonts w:ascii="Times New Roman" w:hAnsi="Times New Roman" w:cs="Times New Roman"/>
      <w:kern w:val="2"/>
    </w:rPr>
  </w:style>
  <w:style w:type="paragraph" w:customStyle="1" w:styleId="1345">
    <w:name w:val="表标题3.7"/>
    <w:basedOn w:val="1"/>
    <w:qFormat/>
    <w:uiPriority w:val="99"/>
    <w:pPr>
      <w:widowControl w:val="0"/>
      <w:tabs>
        <w:tab w:val="left" w:pos="2444"/>
        <w:tab w:val="center" w:pos="4060"/>
        <w:tab w:val="right" w:pos="8261"/>
      </w:tabs>
      <w:suppressAutoHyphens/>
      <w:adjustRightInd w:val="0"/>
      <w:spacing w:before="240" w:line="0" w:lineRule="atLeast"/>
      <w:ind w:left="1720" w:firstLine="4"/>
      <w:jc w:val="both"/>
    </w:pPr>
    <w:rPr>
      <w:rFonts w:ascii="黑体" w:hAnsi="Times New Roman" w:eastAsia="黑体" w:cs="Times New Roman"/>
      <w:b/>
      <w:spacing w:val="6"/>
      <w:sz w:val="26"/>
      <w:szCs w:val="26"/>
    </w:rPr>
  </w:style>
  <w:style w:type="paragraph" w:customStyle="1" w:styleId="1346">
    <w:name w:val="页号"/>
    <w:basedOn w:val="53"/>
    <w:qFormat/>
    <w:uiPriority w:val="99"/>
    <w:pPr>
      <w:widowControl w:val="0"/>
      <w:tabs>
        <w:tab w:val="center" w:pos="4320"/>
        <w:tab w:val="right" w:pos="8640"/>
        <w:tab w:val="clear" w:pos="4153"/>
        <w:tab w:val="clear" w:pos="8306"/>
      </w:tabs>
      <w:adjustRightInd w:val="0"/>
      <w:jc w:val="center"/>
      <w:textAlignment w:val="baseline"/>
    </w:pPr>
    <w:rPr>
      <w:rFonts w:ascii="宋体" w:hAnsi="Arial"/>
      <w:spacing w:val="3"/>
      <w:kern w:val="24"/>
      <w:sz w:val="24"/>
      <w:szCs w:val="20"/>
    </w:rPr>
  </w:style>
  <w:style w:type="paragraph" w:customStyle="1" w:styleId="1347">
    <w:name w:val="reader-word-layer"/>
    <w:basedOn w:val="1"/>
    <w:qFormat/>
    <w:uiPriority w:val="0"/>
    <w:pPr>
      <w:spacing w:before="100" w:beforeAutospacing="1" w:after="100" w:afterAutospacing="1"/>
    </w:pPr>
  </w:style>
  <w:style w:type="paragraph" w:customStyle="1" w:styleId="1348">
    <w:name w:val="Char1 Char Char Char Char Char1 Char2"/>
    <w:basedOn w:val="1"/>
    <w:qFormat/>
    <w:uiPriority w:val="99"/>
    <w:pPr>
      <w:widowControl w:val="0"/>
      <w:jc w:val="both"/>
    </w:pPr>
    <w:rPr>
      <w:rFonts w:ascii="Tahoma" w:hAnsi="Tahoma" w:cs="Times New Roman"/>
      <w:kern w:val="2"/>
      <w:szCs w:val="20"/>
    </w:rPr>
  </w:style>
  <w:style w:type="paragraph" w:customStyle="1" w:styleId="1349">
    <w:name w:val="页脚1"/>
    <w:basedOn w:val="117"/>
    <w:qFormat/>
    <w:uiPriority w:val="99"/>
    <w:pPr>
      <w:tabs>
        <w:tab w:val="center" w:pos="4153"/>
        <w:tab w:val="right" w:pos="8306"/>
      </w:tabs>
      <w:spacing w:line="240" w:lineRule="atLeast"/>
    </w:pPr>
    <w:rPr>
      <w:rFonts w:eastAsia="Times New Roman"/>
      <w:sz w:val="18"/>
      <w:szCs w:val="22"/>
    </w:rPr>
  </w:style>
  <w:style w:type="paragraph" w:customStyle="1" w:styleId="1350">
    <w:name w:val="正文21"/>
    <w:basedOn w:val="1"/>
    <w:next w:val="1"/>
    <w:qFormat/>
    <w:uiPriority w:val="99"/>
    <w:pPr>
      <w:widowControl w:val="0"/>
      <w:spacing w:line="360" w:lineRule="auto"/>
      <w:jc w:val="both"/>
    </w:pPr>
    <w:rPr>
      <w:rFonts w:ascii="仿宋_GB2312" w:hAnsi="Times New Roman" w:eastAsia="仿宋_GB2312" w:cs="Times New Roman"/>
      <w:kern w:val="2"/>
      <w:sz w:val="28"/>
      <w:szCs w:val="28"/>
    </w:rPr>
  </w:style>
  <w:style w:type="paragraph" w:customStyle="1" w:styleId="1351">
    <w:name w:val="基准标题"/>
    <w:basedOn w:val="32"/>
    <w:next w:val="32"/>
    <w:qFormat/>
    <w:uiPriority w:val="99"/>
    <w:pPr>
      <w:keepNext/>
      <w:keepLines/>
      <w:spacing w:line="280" w:lineRule="exact"/>
    </w:pPr>
    <w:rPr>
      <w:rFonts w:ascii="Arial Black" w:hAnsi="Arial Black"/>
      <w:color w:val="auto"/>
      <w:spacing w:val="-10"/>
      <w:kern w:val="28"/>
      <w:sz w:val="30"/>
      <w:szCs w:val="20"/>
    </w:rPr>
  </w:style>
  <w:style w:type="paragraph" w:customStyle="1" w:styleId="1352">
    <w:name w:val="样式 表内5 + 首行缩进:  2 字符"/>
    <w:basedOn w:val="992"/>
    <w:qFormat/>
    <w:uiPriority w:val="99"/>
    <w:pPr>
      <w:ind w:firstLine="420"/>
    </w:pPr>
    <w:rPr>
      <w:szCs w:val="20"/>
    </w:rPr>
  </w:style>
  <w:style w:type="paragraph" w:customStyle="1" w:styleId="1353">
    <w:name w:val="标题16.1.1.1"/>
    <w:basedOn w:val="8"/>
    <w:qFormat/>
    <w:uiPriority w:val="99"/>
    <w:pPr>
      <w:widowControl w:val="0"/>
      <w:tabs>
        <w:tab w:val="left" w:pos="360"/>
        <w:tab w:val="left" w:pos="1680"/>
      </w:tabs>
      <w:spacing w:before="120" w:after="120" w:line="312" w:lineRule="auto"/>
      <w:ind w:left="1680" w:hanging="420"/>
      <w:jc w:val="both"/>
    </w:pPr>
    <w:rPr>
      <w:rFonts w:ascii="Arial" w:hAnsi="Arial" w:eastAsia="黑体" w:cs="Times New Roman"/>
      <w:b/>
      <w:bCs/>
      <w:kern w:val="2"/>
      <w:szCs w:val="24"/>
      <w:lang w:val="en-US"/>
    </w:rPr>
  </w:style>
  <w:style w:type="paragraph" w:customStyle="1" w:styleId="1354">
    <w:name w:val="xl79"/>
    <w:basedOn w:val="1"/>
    <w:qFormat/>
    <w:uiPriority w:val="99"/>
    <w:pPr>
      <w:pBdr>
        <w:top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355">
    <w:name w:val="CM138"/>
    <w:basedOn w:val="1"/>
    <w:next w:val="1"/>
    <w:qFormat/>
    <w:uiPriority w:val="99"/>
    <w:pPr>
      <w:widowControl w:val="0"/>
      <w:autoSpaceDE w:val="0"/>
      <w:autoSpaceDN w:val="0"/>
      <w:adjustRightInd w:val="0"/>
      <w:spacing w:after="130"/>
    </w:pPr>
    <w:rPr>
      <w:rFonts w:hAnsi="Times New Roman"/>
    </w:rPr>
  </w:style>
  <w:style w:type="paragraph" w:customStyle="1" w:styleId="1356">
    <w:name w:val="xl45"/>
    <w:basedOn w:val="1"/>
    <w:qFormat/>
    <w:uiPriority w:val="99"/>
    <w:pPr>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357">
    <w:name w:val="样式 宋体 四号 黑色 行距: 1.5 倍行距"/>
    <w:basedOn w:val="1"/>
    <w:qFormat/>
    <w:uiPriority w:val="99"/>
    <w:pPr>
      <w:widowControl w:val="0"/>
      <w:autoSpaceDE w:val="0"/>
      <w:autoSpaceDN w:val="0"/>
      <w:spacing w:line="360" w:lineRule="auto"/>
      <w:ind w:firstLine="200" w:firstLineChars="200"/>
      <w:jc w:val="both"/>
    </w:pPr>
    <w:rPr>
      <w:color w:val="000000"/>
      <w:kern w:val="2"/>
      <w:sz w:val="28"/>
      <w:szCs w:val="20"/>
    </w:rPr>
  </w:style>
  <w:style w:type="paragraph" w:customStyle="1" w:styleId="1358">
    <w:name w:val="表标题2"/>
    <w:basedOn w:val="1"/>
    <w:qFormat/>
    <w:uiPriority w:val="0"/>
    <w:pPr>
      <w:keepNext/>
      <w:widowControl w:val="0"/>
      <w:adjustRightInd w:val="0"/>
      <w:spacing w:before="60" w:after="60" w:line="397" w:lineRule="atLeast"/>
      <w:jc w:val="center"/>
      <w:textAlignment w:val="baseline"/>
    </w:pPr>
    <w:rPr>
      <w:rFonts w:ascii="Times New Roman" w:hAnsi="Times New Roman" w:cs="Times New Roman"/>
      <w:b/>
      <w:szCs w:val="20"/>
    </w:rPr>
  </w:style>
  <w:style w:type="paragraph" w:customStyle="1" w:styleId="1359">
    <w:name w:val="CM63"/>
    <w:basedOn w:val="103"/>
    <w:next w:val="103"/>
    <w:qFormat/>
    <w:uiPriority w:val="99"/>
    <w:pPr>
      <w:autoSpaceDE w:val="0"/>
      <w:autoSpaceDN w:val="0"/>
      <w:spacing w:after="270"/>
    </w:pPr>
    <w:rPr>
      <w:color w:val="auto"/>
    </w:rPr>
  </w:style>
  <w:style w:type="paragraph" w:customStyle="1" w:styleId="1360">
    <w:name w:val="CM16"/>
    <w:basedOn w:val="103"/>
    <w:next w:val="103"/>
    <w:qFormat/>
    <w:uiPriority w:val="99"/>
    <w:pPr>
      <w:autoSpaceDE w:val="0"/>
      <w:autoSpaceDN w:val="0"/>
      <w:spacing w:line="468" w:lineRule="atLeast"/>
    </w:pPr>
    <w:rPr>
      <w:color w:val="auto"/>
    </w:rPr>
  </w:style>
  <w:style w:type="paragraph" w:customStyle="1" w:styleId="1361">
    <w:name w:val="Char Char1 Char"/>
    <w:basedOn w:val="1"/>
    <w:qFormat/>
    <w:uiPriority w:val="0"/>
    <w:pPr>
      <w:widowControl w:val="0"/>
      <w:jc w:val="both"/>
    </w:pPr>
    <w:rPr>
      <w:rFonts w:ascii="Times New Roman" w:hAnsi="Times New Roman" w:cs="Times New Roman"/>
      <w:kern w:val="2"/>
      <w:sz w:val="21"/>
    </w:rPr>
  </w:style>
  <w:style w:type="paragraph" w:customStyle="1" w:styleId="1362">
    <w:name w:val="样式 样式 样式 标题 4款标题1.1.1.1 南陵标题 4标题 4 CharH4PIM 4h4First Subheadin...."/>
    <w:basedOn w:val="1"/>
    <w:qFormat/>
    <w:uiPriority w:val="0"/>
    <w:pPr>
      <w:widowControl w:val="0"/>
      <w:spacing w:line="360" w:lineRule="auto"/>
      <w:jc w:val="both"/>
      <w:outlineLvl w:val="3"/>
    </w:pPr>
    <w:rPr>
      <w:rFonts w:ascii="黑体" w:hAnsi="Times New Roman" w:eastAsia="黑体" w:cs="Times New Roman"/>
    </w:rPr>
  </w:style>
  <w:style w:type="paragraph" w:customStyle="1" w:styleId="1363">
    <w:name w:val="char"/>
    <w:basedOn w:val="1"/>
    <w:qFormat/>
    <w:uiPriority w:val="99"/>
    <w:pPr>
      <w:spacing w:after="160" w:line="240" w:lineRule="exact"/>
    </w:pPr>
    <w:rPr>
      <w:rFonts w:ascii="Verdana" w:hAnsi="Verdana" w:eastAsia="仿宋_GB2312" w:cs="”“Times New Roman”“"/>
      <w:szCs w:val="20"/>
      <w:lang w:eastAsia="en-US"/>
    </w:rPr>
  </w:style>
  <w:style w:type="paragraph" w:customStyle="1" w:styleId="1364">
    <w:name w:val="kk"/>
    <w:basedOn w:val="32"/>
    <w:qFormat/>
    <w:uiPriority w:val="99"/>
    <w:pPr>
      <w:widowControl w:val="0"/>
      <w:autoSpaceDE w:val="0"/>
      <w:autoSpaceDN w:val="0"/>
      <w:adjustRightInd w:val="0"/>
      <w:spacing w:line="360" w:lineRule="auto"/>
      <w:jc w:val="both"/>
      <w:textAlignment w:val="baseline"/>
    </w:pPr>
    <w:rPr>
      <w:rFonts w:ascii="Times New Roman" w:hAnsi="Times New Roman"/>
      <w:color w:val="auto"/>
      <w:spacing w:val="10"/>
      <w:kern w:val="0"/>
      <w:szCs w:val="20"/>
    </w:rPr>
  </w:style>
  <w:style w:type="paragraph" w:customStyle="1" w:styleId="1365">
    <w:name w:val="样式 标题 2标题 21标题 121节H2SeHead wsa2标题 1.1 + 黑体 四号 非加粗"/>
    <w:basedOn w:val="5"/>
    <w:qFormat/>
    <w:uiPriority w:val="99"/>
    <w:pPr>
      <w:widowControl w:val="0"/>
      <w:tabs>
        <w:tab w:val="left" w:pos="576"/>
      </w:tabs>
      <w:spacing w:before="260" w:after="260" w:line="416" w:lineRule="auto"/>
      <w:ind w:left="576" w:hanging="576"/>
      <w:jc w:val="both"/>
    </w:pPr>
    <w:rPr>
      <w:rFonts w:ascii="黑体" w:hAnsi="黑体"/>
      <w:bCs w:val="0"/>
    </w:rPr>
  </w:style>
  <w:style w:type="paragraph" w:customStyle="1" w:styleId="1366">
    <w:name w:val="样式3wf"/>
    <w:basedOn w:val="1288"/>
    <w:qFormat/>
    <w:uiPriority w:val="99"/>
    <w:pPr>
      <w:keepNext w:val="0"/>
      <w:keepLines w:val="0"/>
      <w:autoSpaceDE w:val="0"/>
      <w:autoSpaceDN w:val="0"/>
      <w:adjustRightInd w:val="0"/>
      <w:snapToGrid w:val="0"/>
      <w:spacing w:before="120" w:line="240" w:lineRule="auto"/>
      <w:jc w:val="center"/>
      <w:textAlignment w:val="baseline"/>
      <w:outlineLvl w:val="9"/>
    </w:pPr>
    <w:rPr>
      <w:rFonts w:ascii="Times New Roman" w:hAnsi="Times New Roman" w:eastAsia="宋体"/>
      <w:bCs w:val="0"/>
      <w:sz w:val="21"/>
      <w:szCs w:val="21"/>
    </w:rPr>
  </w:style>
  <w:style w:type="paragraph" w:customStyle="1" w:styleId="1367">
    <w:name w:val="样式 表格文字居中 + 五号"/>
    <w:basedOn w:val="544"/>
    <w:qFormat/>
    <w:uiPriority w:val="99"/>
    <w:pPr>
      <w:spacing w:line="240" w:lineRule="exact"/>
    </w:pPr>
    <w:rPr>
      <w:rFonts w:hAnsi="Times New Roman"/>
      <w:snapToGrid w:val="0"/>
      <w:color w:val="000000"/>
      <w:spacing w:val="-6"/>
    </w:rPr>
  </w:style>
  <w:style w:type="paragraph" w:customStyle="1" w:styleId="1368">
    <w:name w:val="Address 1"/>
    <w:basedOn w:val="1"/>
    <w:qFormat/>
    <w:uiPriority w:val="99"/>
    <w:pPr>
      <w:spacing w:line="200" w:lineRule="atLeast"/>
    </w:pPr>
    <w:rPr>
      <w:rFonts w:ascii="Times New Roman" w:hAnsi="Times New Roman" w:cs="Times New Roman"/>
      <w:sz w:val="16"/>
      <w:szCs w:val="20"/>
    </w:rPr>
  </w:style>
  <w:style w:type="paragraph" w:customStyle="1" w:styleId="1369">
    <w:name w:val="font15"/>
    <w:basedOn w:val="1"/>
    <w:qFormat/>
    <w:uiPriority w:val="99"/>
    <w:pPr>
      <w:spacing w:before="100" w:beforeAutospacing="1" w:after="100" w:afterAutospacing="1"/>
    </w:pPr>
    <w:rPr>
      <w:rFonts w:ascii="Times New Roman" w:hAnsi="Times New Roman" w:eastAsia="Arial Unicode MS" w:cs="Times New Roman"/>
      <w:b/>
      <w:bCs/>
      <w:sz w:val="16"/>
      <w:szCs w:val="16"/>
    </w:rPr>
  </w:style>
  <w:style w:type="paragraph" w:customStyle="1" w:styleId="1370">
    <w:name w:val="xl93"/>
    <w:basedOn w:val="1"/>
    <w:qFormat/>
    <w:uiPriority w:val="99"/>
    <w:pPr>
      <w:pBdr>
        <w:top w:val="single" w:color="auto" w:sz="4" w:space="0"/>
        <w:bottom w:val="single" w:color="auto" w:sz="8" w:space="0"/>
        <w:right w:val="single" w:color="auto" w:sz="8" w:space="0"/>
      </w:pBdr>
      <w:spacing w:before="100" w:beforeAutospacing="1" w:after="100" w:afterAutospacing="1"/>
    </w:pPr>
    <w:rPr>
      <w:rFonts w:ascii="Arial Unicode MS" w:hAnsi="Arial Unicode MS" w:eastAsia="Arial Unicode MS" w:cs="Arial Unicode MS"/>
    </w:rPr>
  </w:style>
  <w:style w:type="paragraph" w:customStyle="1" w:styleId="1371">
    <w:name w:val="列表 4C"/>
    <w:basedOn w:val="71"/>
    <w:next w:val="71"/>
    <w:qFormat/>
    <w:uiPriority w:val="99"/>
    <w:pPr>
      <w:tabs>
        <w:tab w:val="left" w:pos="562"/>
      </w:tabs>
      <w:topLinePunct w:val="0"/>
      <w:spacing w:beforeLines="20" w:afterLines="20" w:line="288" w:lineRule="auto"/>
      <w:ind w:left="562" w:leftChars="0" w:hanging="420" w:firstLineChars="0"/>
      <w:jc w:val="both"/>
    </w:pPr>
    <w:rPr>
      <w:rFonts w:ascii="Arial" w:hAnsi="Arial" w:eastAsia="宋体"/>
      <w:color w:val="CCFFFF"/>
      <w:sz w:val="24"/>
    </w:rPr>
  </w:style>
  <w:style w:type="paragraph" w:customStyle="1" w:styleId="1372">
    <w:name w:val="xl47"/>
    <w:basedOn w:val="1"/>
    <w:qFormat/>
    <w:uiPriority w:val="99"/>
    <w:pPr>
      <w:pBdr>
        <w:left w:val="single" w:color="auto" w:sz="4" w:space="0"/>
        <w:bottom w:val="single" w:color="auto" w:sz="4" w:space="0"/>
        <w:right w:val="single" w:color="auto" w:sz="4" w:space="0"/>
      </w:pBdr>
      <w:spacing w:before="100" w:beforeAutospacing="1" w:after="100" w:afterAutospacing="1"/>
      <w:jc w:val="both"/>
    </w:pPr>
    <w:rPr>
      <w:rFonts w:ascii="Arial Unicode MS" w:hAnsi="Arial Unicode MS" w:eastAsia="Arial Unicode MS" w:cs="Times New Roman"/>
      <w:sz w:val="21"/>
      <w:szCs w:val="21"/>
    </w:rPr>
  </w:style>
  <w:style w:type="paragraph" w:customStyle="1" w:styleId="1373">
    <w:name w:val="CM21"/>
    <w:basedOn w:val="103"/>
    <w:next w:val="103"/>
    <w:qFormat/>
    <w:uiPriority w:val="99"/>
    <w:pPr>
      <w:autoSpaceDE w:val="0"/>
      <w:autoSpaceDN w:val="0"/>
      <w:spacing w:line="468" w:lineRule="atLeast"/>
    </w:pPr>
    <w:rPr>
      <w:color w:val="auto"/>
    </w:rPr>
  </w:style>
  <w:style w:type="paragraph" w:customStyle="1" w:styleId="1374">
    <w:name w:val="列表 4V"/>
    <w:basedOn w:val="71"/>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375">
    <w:name w:val="样式9"/>
    <w:basedOn w:val="7"/>
    <w:qFormat/>
    <w:uiPriority w:val="99"/>
    <w:pPr>
      <w:keepNext w:val="0"/>
      <w:keepLines w:val="0"/>
      <w:adjustRightInd w:val="0"/>
      <w:snapToGrid w:val="0"/>
      <w:spacing w:beforeLines="50" w:afterLines="50" w:line="360" w:lineRule="auto"/>
      <w:textAlignment w:val="baseline"/>
    </w:pPr>
    <w:rPr>
      <w:rFonts w:ascii="宋体" w:eastAsia="宋体"/>
      <w:b/>
      <w:bCs w:val="0"/>
      <w:sz w:val="24"/>
      <w:szCs w:val="20"/>
    </w:rPr>
  </w:style>
  <w:style w:type="paragraph" w:customStyle="1" w:styleId="1376">
    <w:name w:val="xl54"/>
    <w:basedOn w:val="1"/>
    <w:qFormat/>
    <w:uiPriority w:val="99"/>
    <w:pPr>
      <w:pBdr>
        <w:top w:val="single" w:color="auto" w:sz="8" w:space="0"/>
        <w:bottom w:val="single" w:color="auto" w:sz="8" w:space="0"/>
        <w:right w:val="single" w:color="auto" w:sz="4" w:space="0"/>
      </w:pBdr>
      <w:spacing w:before="100" w:beforeAutospacing="1" w:after="100" w:afterAutospacing="1"/>
      <w:jc w:val="center"/>
      <w:textAlignment w:val="top"/>
    </w:pPr>
    <w:rPr>
      <w:rFonts w:eastAsia="仿宋_GB2312" w:cs="Times New Roman"/>
      <w:position w:val="-6"/>
      <w:szCs w:val="21"/>
    </w:rPr>
  </w:style>
  <w:style w:type="paragraph" w:customStyle="1" w:styleId="1377">
    <w:name w:val="表中居中文字"/>
    <w:basedOn w:val="1"/>
    <w:qFormat/>
    <w:uiPriority w:val="99"/>
    <w:pPr>
      <w:widowControl w:val="0"/>
      <w:jc w:val="both"/>
    </w:pPr>
    <w:rPr>
      <w:rFonts w:cs="Arial"/>
      <w:bCs/>
      <w:color w:val="FF0000"/>
      <w:kern w:val="2"/>
      <w:szCs w:val="18"/>
    </w:rPr>
  </w:style>
  <w:style w:type="paragraph" w:customStyle="1" w:styleId="1378">
    <w:name w:val="备注"/>
    <w:basedOn w:val="80"/>
    <w:qFormat/>
    <w:uiPriority w:val="99"/>
    <w:pPr>
      <w:keepNext/>
      <w:tabs>
        <w:tab w:val="left" w:pos="628"/>
        <w:tab w:val="left" w:pos="1727"/>
        <w:tab w:val="left" w:pos="1884"/>
        <w:tab w:val="left" w:pos="4900"/>
      </w:tabs>
      <w:adjustRightInd w:val="0"/>
      <w:snapToGrid w:val="0"/>
      <w:spacing w:after="0" w:line="0" w:lineRule="atLeast"/>
      <w:ind w:firstLine="0" w:firstLineChars="0"/>
    </w:pPr>
    <w:rPr>
      <w:rFonts w:cs="Arial"/>
      <w:sz w:val="18"/>
      <w:szCs w:val="18"/>
    </w:rPr>
  </w:style>
  <w:style w:type="paragraph" w:customStyle="1" w:styleId="1379">
    <w:name w:val="列表 5M"/>
    <w:basedOn w:val="65"/>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380">
    <w:name w:val="Char Char Char2 Char Char Char Char Char Char Char Char Char Char1"/>
    <w:basedOn w:val="1"/>
    <w:qFormat/>
    <w:uiPriority w:val="0"/>
    <w:pPr>
      <w:widowControl w:val="0"/>
      <w:jc w:val="both"/>
    </w:pPr>
    <w:rPr>
      <w:rFonts w:ascii="Times New Roman" w:hAnsi="Times New Roman" w:cs="Times New Roman"/>
      <w:kern w:val="2"/>
      <w:sz w:val="21"/>
    </w:rPr>
  </w:style>
  <w:style w:type="paragraph" w:customStyle="1" w:styleId="1381">
    <w:name w:val="表标16.6"/>
    <w:next w:val="125"/>
    <w:qFormat/>
    <w:uiPriority w:val="99"/>
    <w:pPr>
      <w:tabs>
        <w:tab w:val="left" w:pos="1560"/>
        <w:tab w:val="left" w:pos="2160"/>
      </w:tabs>
      <w:adjustRightInd w:val="0"/>
      <w:snapToGrid w:val="0"/>
      <w:spacing w:line="360" w:lineRule="auto"/>
      <w:jc w:val="center"/>
      <w:textAlignment w:val="baseline"/>
    </w:pPr>
    <w:rPr>
      <w:rFonts w:ascii="Times New Roman" w:hAnsi="Times New Roman" w:eastAsia="仿宋_GB2312" w:cs="Times New Roman"/>
      <w:b/>
      <w:color w:val="000000"/>
      <w:kern w:val="2"/>
      <w:sz w:val="24"/>
      <w:szCs w:val="24"/>
      <w:lang w:val="en-US" w:eastAsia="zh-CN" w:bidi="ar-SA"/>
    </w:rPr>
  </w:style>
  <w:style w:type="paragraph" w:customStyle="1" w:styleId="1382">
    <w:name w:val="表3.3"/>
    <w:basedOn w:val="1"/>
    <w:qFormat/>
    <w:uiPriority w:val="99"/>
    <w:pPr>
      <w:widowControl w:val="0"/>
      <w:tabs>
        <w:tab w:val="left" w:pos="726"/>
        <w:tab w:val="center" w:pos="4060"/>
        <w:tab w:val="right" w:pos="8261"/>
      </w:tabs>
      <w:suppressAutoHyphens/>
      <w:adjustRightInd w:val="0"/>
      <w:spacing w:before="240" w:line="0" w:lineRule="atLeast"/>
      <w:ind w:left="2" w:firstLine="4"/>
      <w:jc w:val="both"/>
    </w:pPr>
    <w:rPr>
      <w:rFonts w:ascii="黑体" w:hAnsi="Times New Roman" w:eastAsia="黑体" w:cs="Times New Roman"/>
      <w:b/>
      <w:spacing w:val="6"/>
      <w:sz w:val="26"/>
      <w:szCs w:val="26"/>
    </w:rPr>
  </w:style>
  <w:style w:type="paragraph" w:customStyle="1" w:styleId="1383">
    <w:name w:val="表格内容（OPCC宋体）"/>
    <w:basedOn w:val="1"/>
    <w:qFormat/>
    <w:uiPriority w:val="99"/>
    <w:pPr>
      <w:widowControl w:val="0"/>
      <w:adjustRightInd w:val="0"/>
      <w:snapToGrid w:val="0"/>
      <w:jc w:val="center"/>
    </w:pPr>
    <w:rPr>
      <w:rFonts w:ascii="Times New Roman" w:hAnsi="Times New Roman" w:eastAsia="仿宋_GB2312"/>
      <w:snapToGrid w:val="0"/>
      <w:sz w:val="21"/>
      <w:szCs w:val="21"/>
    </w:rPr>
  </w:style>
  <w:style w:type="paragraph" w:customStyle="1" w:styleId="1384">
    <w:name w:val="样式 表标题4.9 + 居中"/>
    <w:basedOn w:val="1218"/>
    <w:qFormat/>
    <w:uiPriority w:val="99"/>
    <w:pPr>
      <w:tabs>
        <w:tab w:val="left" w:pos="726"/>
        <w:tab w:val="clear" w:pos="4060"/>
        <w:tab w:val="clear" w:pos="8261"/>
      </w:tabs>
      <w:ind w:left="2" w:firstLine="4"/>
      <w:jc w:val="center"/>
    </w:pPr>
    <w:rPr>
      <w:rFonts w:cs="宋体"/>
      <w:bCs/>
      <w:szCs w:val="20"/>
    </w:rPr>
  </w:style>
  <w:style w:type="paragraph" w:customStyle="1" w:styleId="1385">
    <w:name w:val="威顿报告正文"/>
    <w:basedOn w:val="1"/>
    <w:qFormat/>
    <w:uiPriority w:val="99"/>
    <w:pPr>
      <w:widowControl w:val="0"/>
      <w:adjustRightInd w:val="0"/>
      <w:snapToGrid w:val="0"/>
      <w:spacing w:beforeLines="25" w:line="440" w:lineRule="exact"/>
      <w:ind w:firstLine="200" w:firstLineChars="200"/>
      <w:jc w:val="both"/>
    </w:pPr>
    <w:rPr>
      <w:rFonts w:ascii="Times New Roman" w:hAnsi="Times New Roman" w:cs="Times New Roman"/>
      <w:color w:val="000000"/>
      <w:kern w:val="2"/>
    </w:rPr>
  </w:style>
  <w:style w:type="paragraph" w:customStyle="1" w:styleId="1386">
    <w:name w:val="字元 字元 Char Char 字元 字元1 Char Char Char"/>
    <w:basedOn w:val="1"/>
    <w:qFormat/>
    <w:uiPriority w:val="0"/>
    <w:pPr>
      <w:widowControl w:val="0"/>
      <w:jc w:val="both"/>
    </w:pPr>
    <w:rPr>
      <w:rFonts w:ascii="Times New Roman" w:hAnsi="Times New Roman" w:cs="Times New Roman"/>
      <w:kern w:val="2"/>
    </w:rPr>
  </w:style>
  <w:style w:type="paragraph" w:customStyle="1" w:styleId="1387">
    <w:name w:val="样式 样式 样式 方正宋三简体 14 磅 行距: 1.5 倍行距1 + 首行缩进:  2 字符 + 首行缩进:  2 字符"/>
    <w:basedOn w:val="1"/>
    <w:qFormat/>
    <w:uiPriority w:val="99"/>
    <w:pPr>
      <w:widowControl w:val="0"/>
      <w:ind w:firstLine="574" w:firstLineChars="200"/>
      <w:jc w:val="both"/>
    </w:pPr>
    <w:rPr>
      <w:rFonts w:hAnsi="方正宋三简体" w:cs="Times New Roman"/>
      <w:kern w:val="2"/>
      <w:sz w:val="27"/>
      <w:szCs w:val="20"/>
    </w:rPr>
  </w:style>
  <w:style w:type="paragraph" w:customStyle="1" w:styleId="1388">
    <w:name w:val="001"/>
    <w:basedOn w:val="1"/>
    <w:qFormat/>
    <w:uiPriority w:val="0"/>
    <w:pPr>
      <w:widowControl w:val="0"/>
      <w:ind w:firstLine="200" w:firstLineChars="200"/>
      <w:jc w:val="both"/>
    </w:pPr>
    <w:rPr>
      <w:rFonts w:ascii="Times New Roman" w:hAnsi="Times New Roman" w:eastAsia="黑体" w:cs="Times New Roman"/>
      <w:kern w:val="2"/>
      <w:sz w:val="28"/>
      <w:szCs w:val="20"/>
    </w:rPr>
  </w:style>
  <w:style w:type="paragraph" w:customStyle="1" w:styleId="1389">
    <w:name w:val="样式 标题 3 + 五号 非加粗 段前: 0 磅 段后: 0 磅 行距: 最小值 0 磅"/>
    <w:basedOn w:val="7"/>
    <w:qFormat/>
    <w:uiPriority w:val="99"/>
    <w:pPr>
      <w:keepNext w:val="0"/>
      <w:tabs>
        <w:tab w:val="left" w:pos="1260"/>
      </w:tabs>
      <w:spacing w:beforeLines="50" w:afterLines="50" w:line="0" w:lineRule="atLeast"/>
      <w:jc w:val="center"/>
    </w:pPr>
    <w:rPr>
      <w:b/>
      <w:bCs w:val="0"/>
      <w:snapToGrid w:val="0"/>
      <w:sz w:val="21"/>
      <w:szCs w:val="20"/>
    </w:rPr>
  </w:style>
  <w:style w:type="paragraph" w:customStyle="1" w:styleId="1390">
    <w:name w:val="表格王"/>
    <w:basedOn w:val="1"/>
    <w:qFormat/>
    <w:uiPriority w:val="99"/>
    <w:pPr>
      <w:widowControl w:val="0"/>
      <w:spacing w:line="360" w:lineRule="exact"/>
      <w:jc w:val="center"/>
    </w:pPr>
    <w:rPr>
      <w:rFonts w:ascii="Times New Roman" w:hAnsi="Times New Roman" w:cs="Times New Roman"/>
      <w:kern w:val="2"/>
      <w:sz w:val="21"/>
    </w:rPr>
  </w:style>
  <w:style w:type="paragraph" w:customStyle="1" w:styleId="1391">
    <w:name w:val="Qzy样式1"/>
    <w:basedOn w:val="4"/>
    <w:qFormat/>
    <w:uiPriority w:val="99"/>
    <w:pPr>
      <w:keepLines/>
      <w:spacing w:line="240" w:lineRule="atLeast"/>
      <w:jc w:val="both"/>
    </w:pPr>
    <w:rPr>
      <w:rFonts w:ascii="Times New Roman" w:hAnsi="Times New Roman" w:eastAsia="宋体"/>
      <w:kern w:val="44"/>
      <w:sz w:val="36"/>
      <w:szCs w:val="20"/>
    </w:rPr>
  </w:style>
  <w:style w:type="paragraph" w:customStyle="1" w:styleId="1392">
    <w:name w:val="样式"/>
    <w:qFormat/>
    <w:uiPriority w:val="99"/>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393">
    <w:name w:val="标题 1 + 段前: 0.5 行 段后: 0.5 行1"/>
    <w:basedOn w:val="1"/>
    <w:qFormat/>
    <w:uiPriority w:val="99"/>
    <w:pPr>
      <w:widowControl w:val="0"/>
      <w:tabs>
        <w:tab w:val="left" w:pos="3480"/>
      </w:tabs>
      <w:spacing w:before="120" w:after="120"/>
      <w:ind w:left="2820" w:hanging="420"/>
      <w:outlineLvl w:val="0"/>
    </w:pPr>
    <w:rPr>
      <w:rFonts w:ascii="Times New Roman" w:hAnsi="Times New Roman" w:eastAsia="黑体"/>
      <w:kern w:val="2"/>
      <w:sz w:val="28"/>
      <w:szCs w:val="20"/>
    </w:rPr>
  </w:style>
  <w:style w:type="paragraph" w:customStyle="1" w:styleId="1394">
    <w:name w:val="CM20"/>
    <w:basedOn w:val="103"/>
    <w:next w:val="103"/>
    <w:qFormat/>
    <w:uiPriority w:val="99"/>
    <w:pPr>
      <w:autoSpaceDE w:val="0"/>
      <w:autoSpaceDN w:val="0"/>
    </w:pPr>
    <w:rPr>
      <w:color w:val="auto"/>
    </w:rPr>
  </w:style>
  <w:style w:type="paragraph" w:customStyle="1" w:styleId="1395">
    <w:name w:val="Char Char Char Char12"/>
    <w:basedOn w:val="1"/>
    <w:qFormat/>
    <w:uiPriority w:val="99"/>
    <w:pPr>
      <w:widowControl w:val="0"/>
      <w:snapToGrid w:val="0"/>
      <w:spacing w:line="440" w:lineRule="atLeast"/>
      <w:jc w:val="both"/>
    </w:pPr>
    <w:rPr>
      <w:rFonts w:hAnsi="Times New Roman" w:cs="Times New Roman"/>
      <w:kern w:val="2"/>
    </w:rPr>
  </w:style>
  <w:style w:type="paragraph" w:customStyle="1" w:styleId="1396">
    <w:name w:val="CM64"/>
    <w:basedOn w:val="103"/>
    <w:next w:val="103"/>
    <w:qFormat/>
    <w:uiPriority w:val="99"/>
    <w:pPr>
      <w:autoSpaceDE w:val="0"/>
      <w:autoSpaceDN w:val="0"/>
      <w:spacing w:after="583"/>
    </w:pPr>
    <w:rPr>
      <w:color w:val="auto"/>
    </w:rPr>
  </w:style>
  <w:style w:type="paragraph" w:customStyle="1" w:styleId="1397">
    <w:name w:val="Char Char Char1 Char Char Char Char Char Char Char Char Char Char1"/>
    <w:basedOn w:val="1"/>
    <w:qFormat/>
    <w:uiPriority w:val="0"/>
    <w:pPr>
      <w:widowControl w:val="0"/>
      <w:jc w:val="both"/>
    </w:pPr>
    <w:rPr>
      <w:rFonts w:ascii="Times New Roman" w:hAnsi="Times New Roman" w:cs="Times New Roman"/>
      <w:kern w:val="2"/>
      <w:sz w:val="21"/>
    </w:rPr>
  </w:style>
  <w:style w:type="paragraph" w:customStyle="1" w:styleId="1398">
    <w:name w:val="样式 样式 标题 2 + 左侧:  2 字符1 + 左侧:  2 字符"/>
    <w:basedOn w:val="1"/>
    <w:qFormat/>
    <w:uiPriority w:val="99"/>
    <w:pPr>
      <w:keepNext/>
      <w:keepLines/>
      <w:widowControl w:val="0"/>
      <w:tabs>
        <w:tab w:val="left" w:pos="840"/>
      </w:tabs>
      <w:spacing w:beforeLines="50" w:afterLines="50"/>
      <w:ind w:left="210" w:right="210" w:rightChars="100"/>
      <w:jc w:val="both"/>
      <w:outlineLvl w:val="1"/>
    </w:pPr>
    <w:rPr>
      <w:rFonts w:ascii="黑体" w:hAnsi="Arial" w:eastAsia="黑体" w:cs="Times New Roman"/>
      <w:kern w:val="2"/>
      <w:sz w:val="52"/>
      <w:szCs w:val="20"/>
    </w:rPr>
  </w:style>
  <w:style w:type="paragraph" w:customStyle="1" w:styleId="1399">
    <w:name w:val="自定义正文 Char Char Char"/>
    <w:qFormat/>
    <w:uiPriority w:val="99"/>
    <w:pPr>
      <w:widowControl w:val="0"/>
      <w:adjustRightInd w:val="0"/>
      <w:snapToGrid w:val="0"/>
      <w:spacing w:line="360" w:lineRule="auto"/>
      <w:ind w:firstLine="510"/>
      <w:jc w:val="both"/>
    </w:pPr>
    <w:rPr>
      <w:rFonts w:ascii="Times New Roman" w:hAnsi="Times New Roman" w:eastAsia="宋体" w:cs="Times New Roman"/>
      <w:spacing w:val="-2"/>
      <w:kern w:val="2"/>
      <w:sz w:val="28"/>
      <w:szCs w:val="24"/>
      <w:lang w:val="en-US" w:eastAsia="zh-CN" w:bidi="ar-SA"/>
    </w:rPr>
  </w:style>
  <w:style w:type="paragraph" w:customStyle="1" w:styleId="1400">
    <w:name w:val="表格文字小四"/>
    <w:basedOn w:val="1"/>
    <w:next w:val="32"/>
    <w:qFormat/>
    <w:uiPriority w:val="99"/>
    <w:pPr>
      <w:widowControl w:val="0"/>
      <w:adjustRightInd w:val="0"/>
      <w:snapToGrid w:val="0"/>
      <w:ind w:left="-593"/>
      <w:jc w:val="center"/>
    </w:pPr>
    <w:rPr>
      <w:rFonts w:cs="Times New Roman"/>
      <w:kern w:val="2"/>
    </w:rPr>
  </w:style>
  <w:style w:type="paragraph" w:customStyle="1" w:styleId="1401">
    <w:name w:val="WW-Body Text Indent 3"/>
    <w:basedOn w:val="1"/>
    <w:qFormat/>
    <w:uiPriority w:val="99"/>
    <w:pPr>
      <w:widowControl w:val="0"/>
      <w:suppressAutoHyphens/>
      <w:spacing w:after="120" w:line="360" w:lineRule="auto"/>
      <w:ind w:firstLine="420"/>
      <w:jc w:val="both"/>
    </w:pPr>
    <w:rPr>
      <w:rFonts w:ascii="Arial" w:hAnsi="Arial" w:cs="Times New Roman"/>
      <w:kern w:val="20481"/>
      <w:szCs w:val="20"/>
    </w:rPr>
  </w:style>
  <w:style w:type="paragraph" w:customStyle="1" w:styleId="1402">
    <w:name w:val="Char Char Char Char Char Char1 Char Char Char Char2"/>
    <w:basedOn w:val="1"/>
    <w:qFormat/>
    <w:uiPriority w:val="0"/>
    <w:pPr>
      <w:widowControl w:val="0"/>
      <w:jc w:val="both"/>
    </w:pPr>
    <w:rPr>
      <w:rFonts w:ascii="Times New Roman" w:hAnsi="Times New Roman" w:cs="Times New Roman"/>
      <w:kern w:val="2"/>
      <w:sz w:val="21"/>
    </w:rPr>
  </w:style>
  <w:style w:type="paragraph" w:customStyle="1" w:styleId="1403">
    <w:name w:val="xl84"/>
    <w:basedOn w:val="1"/>
    <w:qFormat/>
    <w:uiPriority w:val="99"/>
    <w:pPr>
      <w:pBdr>
        <w:bottom w:val="single" w:color="auto" w:sz="4"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404">
    <w:name w:val="表标题5.7"/>
    <w:basedOn w:val="1"/>
    <w:qFormat/>
    <w:uiPriority w:val="99"/>
    <w:pPr>
      <w:widowControl w:val="0"/>
      <w:tabs>
        <w:tab w:val="left" w:pos="726"/>
      </w:tabs>
      <w:spacing w:beforeLines="100" w:line="0" w:lineRule="atLeast"/>
      <w:ind w:left="2" w:firstLine="4"/>
      <w:jc w:val="center"/>
    </w:pPr>
    <w:rPr>
      <w:rFonts w:ascii="Times New Roman" w:hAnsi="Times New Roman" w:eastAsia="黑体" w:cs="Times New Roman"/>
      <w:b/>
      <w:kern w:val="2"/>
    </w:rPr>
  </w:style>
  <w:style w:type="paragraph" w:customStyle="1" w:styleId="1405">
    <w:name w:val="列表 3J"/>
    <w:basedOn w:val="14"/>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406">
    <w:name w:val="列表 5C"/>
    <w:basedOn w:val="65"/>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07">
    <w:name w:val="样式 标题 3 + Arial"/>
    <w:basedOn w:val="1"/>
    <w:qFormat/>
    <w:uiPriority w:val="99"/>
    <w:pPr>
      <w:widowControl w:val="0"/>
      <w:jc w:val="both"/>
    </w:pPr>
    <w:rPr>
      <w:rFonts w:ascii="Times New Roman" w:hAnsi="Times New Roman" w:cs="Times New Roman"/>
      <w:kern w:val="2"/>
      <w:sz w:val="21"/>
      <w:szCs w:val="20"/>
    </w:rPr>
  </w:style>
  <w:style w:type="paragraph" w:customStyle="1" w:styleId="1408">
    <w:name w:val="样式 标题 3样式　标题 3　自动设置标题 3 Char章 + Times New 表题3"/>
    <w:basedOn w:val="7"/>
    <w:qFormat/>
    <w:uiPriority w:val="99"/>
    <w:pPr>
      <w:widowControl w:val="0"/>
      <w:tabs>
        <w:tab w:val="left" w:pos="3800"/>
        <w:tab w:val="left" w:pos="5200"/>
      </w:tabs>
      <w:autoSpaceDE w:val="0"/>
      <w:autoSpaceDN w:val="0"/>
      <w:adjustRightInd w:val="0"/>
      <w:snapToGrid w:val="0"/>
      <w:spacing w:beforeLines="50" w:afterLines="50" w:line="240" w:lineRule="auto"/>
      <w:ind w:left="-1523" w:firstLine="1523"/>
      <w:jc w:val="both"/>
    </w:pPr>
    <w:rPr>
      <w:rFonts w:eastAsia="宋体" w:cs="宋体"/>
      <w:b/>
      <w:sz w:val="28"/>
      <w:szCs w:val="28"/>
    </w:rPr>
  </w:style>
  <w:style w:type="paragraph" w:customStyle="1" w:styleId="1409">
    <w:name w:val="环标3"/>
    <w:basedOn w:val="1142"/>
    <w:next w:val="1142"/>
    <w:qFormat/>
    <w:uiPriority w:val="0"/>
    <w:pPr>
      <w:keepNext/>
      <w:keepLines/>
      <w:spacing w:line="360" w:lineRule="auto"/>
      <w:ind w:right="-11" w:firstLine="0" w:firstLineChars="0"/>
      <w:jc w:val="left"/>
      <w:outlineLvl w:val="2"/>
    </w:pPr>
    <w:rPr>
      <w:rFonts w:ascii="黑体" w:eastAsia="黑体"/>
      <w:color w:val="auto"/>
      <w:spacing w:val="0"/>
      <w:kern w:val="2"/>
    </w:rPr>
  </w:style>
  <w:style w:type="paragraph" w:customStyle="1" w:styleId="1410">
    <w:name w:val="默认段落字体 Para Char"/>
    <w:basedOn w:val="1"/>
    <w:qFormat/>
    <w:uiPriority w:val="99"/>
    <w:pPr>
      <w:widowControl w:val="0"/>
      <w:spacing w:line="360" w:lineRule="auto"/>
      <w:ind w:firstLine="200" w:firstLineChars="200"/>
      <w:jc w:val="both"/>
    </w:pPr>
    <w:rPr>
      <w:kern w:val="2"/>
    </w:rPr>
  </w:style>
  <w:style w:type="paragraph" w:customStyle="1" w:styleId="1411">
    <w:name w:val="样式 正文缩进 + 小四 首行缩进:  2 字符1"/>
    <w:basedOn w:val="6"/>
    <w:qFormat/>
    <w:uiPriority w:val="99"/>
    <w:pPr>
      <w:keepNext/>
      <w:widowControl w:val="0"/>
      <w:tabs>
        <w:tab w:val="left" w:pos="1727"/>
        <w:tab w:val="left" w:pos="1884"/>
      </w:tabs>
      <w:spacing w:line="360" w:lineRule="auto"/>
      <w:ind w:firstLine="480" w:firstLineChars="200"/>
      <w:outlineLvl w:val="0"/>
    </w:pPr>
    <w:rPr>
      <w:rFonts w:ascii="宋体" w:hAnsi="宋体" w:cs="宋体"/>
      <w:snapToGrid w:val="0"/>
      <w:color w:val="000000"/>
    </w:rPr>
  </w:style>
  <w:style w:type="paragraph" w:customStyle="1" w:styleId="1412">
    <w:name w:val="表内小5"/>
    <w:basedOn w:val="1"/>
    <w:qFormat/>
    <w:uiPriority w:val="99"/>
    <w:pPr>
      <w:widowControl w:val="0"/>
      <w:adjustRightInd w:val="0"/>
      <w:snapToGrid w:val="0"/>
      <w:spacing w:line="300" w:lineRule="auto"/>
      <w:ind w:left="176"/>
      <w:jc w:val="both"/>
    </w:pPr>
    <w:rPr>
      <w:rFonts w:cs="Times New Roman"/>
      <w:kern w:val="2"/>
      <w:sz w:val="18"/>
    </w:rPr>
  </w:style>
  <w:style w:type="paragraph" w:customStyle="1" w:styleId="1413">
    <w:name w:val="正文文本缩进 311"/>
    <w:basedOn w:val="1"/>
    <w:qFormat/>
    <w:uiPriority w:val="99"/>
    <w:pPr>
      <w:widowControl w:val="0"/>
      <w:adjustRightInd w:val="0"/>
      <w:spacing w:line="360" w:lineRule="atLeast"/>
      <w:ind w:firstLine="480"/>
      <w:jc w:val="both"/>
      <w:textAlignment w:val="baseline"/>
    </w:pPr>
    <w:rPr>
      <w:rFonts w:hAnsi="Times New Roman" w:cs="Times New Roman"/>
      <w:szCs w:val="20"/>
    </w:rPr>
  </w:style>
  <w:style w:type="paragraph" w:customStyle="1" w:styleId="1414">
    <w:name w:val="列表 3F"/>
    <w:basedOn w:val="14"/>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415">
    <w:name w:val="列表 5Q"/>
    <w:basedOn w:val="65"/>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16">
    <w:name w:val="样式 正文首行缩进 + 四号 段后: 0 磅 行距: 1.5 倍行距"/>
    <w:basedOn w:val="80"/>
    <w:qFormat/>
    <w:uiPriority w:val="99"/>
    <w:pPr>
      <w:widowControl w:val="0"/>
      <w:spacing w:after="0" w:line="360" w:lineRule="auto"/>
      <w:ind w:firstLine="560" w:firstLineChars="200"/>
    </w:pPr>
    <w:rPr>
      <w:rFonts w:hAnsi="Times New Roman"/>
      <w:sz w:val="28"/>
    </w:rPr>
  </w:style>
  <w:style w:type="paragraph" w:customStyle="1" w:styleId="1417">
    <w:name w:val="TOC 标题1"/>
    <w:basedOn w:val="4"/>
    <w:next w:val="1"/>
    <w:qFormat/>
    <w:uiPriority w:val="39"/>
    <w:pPr>
      <w:keepNext/>
      <w:keepLines/>
      <w:spacing w:before="480" w:line="276" w:lineRule="auto"/>
      <w:outlineLvl w:val="9"/>
    </w:pPr>
    <w:rPr>
      <w:rFonts w:ascii="Cambria" w:hAnsi="Cambria" w:eastAsia="宋体"/>
      <w:bCs/>
      <w:color w:val="365F91"/>
      <w:kern w:val="0"/>
      <w:szCs w:val="32"/>
    </w:rPr>
  </w:style>
  <w:style w:type="paragraph" w:customStyle="1" w:styleId="1418">
    <w:name w:val="TY"/>
    <w:basedOn w:val="1"/>
    <w:qFormat/>
    <w:uiPriority w:val="99"/>
    <w:pPr>
      <w:widowControl w:val="0"/>
      <w:adjustRightInd w:val="0"/>
      <w:snapToGrid w:val="0"/>
      <w:spacing w:before="40" w:after="40"/>
      <w:jc w:val="both"/>
    </w:pPr>
    <w:rPr>
      <w:rFonts w:cs="Times New Roman"/>
      <w:kern w:val="2"/>
      <w:szCs w:val="20"/>
    </w:rPr>
  </w:style>
  <w:style w:type="paragraph" w:customStyle="1" w:styleId="1419">
    <w:name w:val="样式 正文首行缩进 + 首行缩进:  0 字符"/>
    <w:basedOn w:val="80"/>
    <w:qFormat/>
    <w:uiPriority w:val="99"/>
    <w:pPr>
      <w:widowControl w:val="0"/>
      <w:adjustRightInd w:val="0"/>
      <w:snapToGrid w:val="0"/>
      <w:spacing w:after="0" w:line="360" w:lineRule="auto"/>
      <w:ind w:firstLine="567" w:firstLineChars="0"/>
    </w:pPr>
    <w:rPr>
      <w:rFonts w:hAnsi="Times New Roman"/>
      <w:sz w:val="24"/>
      <w:szCs w:val="28"/>
    </w:rPr>
  </w:style>
  <w:style w:type="paragraph" w:customStyle="1" w:styleId="1420">
    <w:name w:val="列表 4B"/>
    <w:basedOn w:val="71"/>
    <w:qFormat/>
    <w:uiPriority w:val="99"/>
    <w:pPr>
      <w:tabs>
        <w:tab w:val="left" w:pos="360"/>
      </w:tabs>
      <w:topLinePunct w:val="0"/>
      <w:spacing w:beforeLines="50" w:afterLines="30" w:line="288" w:lineRule="auto"/>
      <w:ind w:left="360" w:leftChars="0" w:hanging="360" w:firstLineChars="0"/>
      <w:jc w:val="both"/>
    </w:pPr>
    <w:rPr>
      <w:rFonts w:ascii="Arial" w:hAnsi="Arial" w:eastAsia="宋体"/>
      <w:color w:val="CCFFFF"/>
      <w:sz w:val="24"/>
    </w:rPr>
  </w:style>
  <w:style w:type="paragraph" w:customStyle="1" w:styleId="1421">
    <w:name w:val="附图编号"/>
    <w:basedOn w:val="1"/>
    <w:qFormat/>
    <w:uiPriority w:val="99"/>
    <w:pPr>
      <w:widowControl w:val="0"/>
      <w:tabs>
        <w:tab w:val="left" w:pos="1760"/>
      </w:tabs>
      <w:spacing w:line="288" w:lineRule="auto"/>
      <w:ind w:left="1021" w:hanging="341"/>
      <w:jc w:val="both"/>
    </w:pPr>
    <w:rPr>
      <w:rFonts w:ascii="Arial" w:hAnsi="Arial" w:cs="Times New Roman"/>
      <w:color w:val="CC99FF"/>
      <w:kern w:val="2"/>
      <w:szCs w:val="20"/>
    </w:rPr>
  </w:style>
  <w:style w:type="paragraph" w:customStyle="1" w:styleId="1422">
    <w:name w:val="列表 4I"/>
    <w:basedOn w:val="71"/>
    <w:qFormat/>
    <w:uiPriority w:val="99"/>
    <w:pPr>
      <w:tabs>
        <w:tab w:val="left" w:pos="785"/>
      </w:tabs>
      <w:topLinePunct w:val="0"/>
      <w:spacing w:beforeLines="50" w:afterLines="30" w:line="288" w:lineRule="auto"/>
      <w:ind w:left="0" w:leftChars="0" w:firstLine="425" w:firstLineChars="0"/>
      <w:jc w:val="both"/>
    </w:pPr>
    <w:rPr>
      <w:rFonts w:ascii="Arial" w:hAnsi="Arial" w:eastAsia="宋体"/>
      <w:color w:val="CCFFFF"/>
      <w:sz w:val="24"/>
    </w:rPr>
  </w:style>
  <w:style w:type="paragraph" w:customStyle="1" w:styleId="1423">
    <w:name w:val="font8"/>
    <w:basedOn w:val="1"/>
    <w:qFormat/>
    <w:uiPriority w:val="99"/>
    <w:pPr>
      <w:spacing w:before="100" w:beforeAutospacing="1" w:after="100" w:afterAutospacing="1"/>
    </w:pPr>
    <w:rPr>
      <w:rFonts w:ascii="Times New Roman" w:hAnsi="Times New Roman" w:eastAsia="Arial Unicode MS" w:cs="Times New Roman"/>
      <w:b/>
      <w:bCs/>
      <w:sz w:val="44"/>
      <w:szCs w:val="44"/>
    </w:rPr>
  </w:style>
  <w:style w:type="paragraph" w:customStyle="1" w:styleId="1424">
    <w:name w:val="222"/>
    <w:basedOn w:val="1"/>
    <w:qFormat/>
    <w:uiPriority w:val="99"/>
    <w:pPr>
      <w:spacing w:line="360" w:lineRule="auto"/>
    </w:pPr>
    <w:rPr>
      <w:rFonts w:ascii="Times New Roman" w:hAnsi="Times New Roman" w:cs="Times New Roman"/>
      <w:b/>
      <w:sz w:val="28"/>
      <w:szCs w:val="20"/>
      <w:lang w:eastAsia="zh-TW"/>
    </w:rPr>
  </w:style>
  <w:style w:type="paragraph" w:customStyle="1" w:styleId="1425">
    <w:name w:val="二级无标题条"/>
    <w:basedOn w:val="1"/>
    <w:qFormat/>
    <w:uiPriority w:val="99"/>
    <w:pPr>
      <w:widowControl w:val="0"/>
      <w:jc w:val="both"/>
    </w:pPr>
    <w:rPr>
      <w:rFonts w:ascii="Times New Roman" w:hAnsi="Times New Roman" w:cs="Times New Roman"/>
      <w:kern w:val="2"/>
      <w:sz w:val="21"/>
    </w:rPr>
  </w:style>
  <w:style w:type="paragraph" w:customStyle="1" w:styleId="1426">
    <w:name w:val="Char Char1 Char1"/>
    <w:basedOn w:val="1"/>
    <w:qFormat/>
    <w:uiPriority w:val="0"/>
    <w:pPr>
      <w:widowControl w:val="0"/>
      <w:jc w:val="both"/>
    </w:pPr>
    <w:rPr>
      <w:rFonts w:ascii="Times New Roman" w:hAnsi="Times New Roman" w:cs="Times New Roman"/>
      <w:kern w:val="2"/>
      <w:sz w:val="21"/>
    </w:rPr>
  </w:style>
  <w:style w:type="paragraph" w:customStyle="1" w:styleId="1427">
    <w:name w:val="xl36"/>
    <w:basedOn w:val="1"/>
    <w:qFormat/>
    <w:uiPriority w:val="0"/>
    <w:pPr>
      <w:pBdr>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szCs w:val="20"/>
    </w:rPr>
  </w:style>
  <w:style w:type="paragraph" w:customStyle="1" w:styleId="1428">
    <w:name w:val="列表 4L"/>
    <w:basedOn w:val="71"/>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429">
    <w:name w:val="xl50"/>
    <w:basedOn w:val="1"/>
    <w:qFormat/>
    <w:uiPriority w:val="99"/>
    <w:pPr>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430">
    <w:name w:val="Char Char Char Char Char Char Char Char Char1"/>
    <w:basedOn w:val="1"/>
    <w:qFormat/>
    <w:uiPriority w:val="0"/>
    <w:pPr>
      <w:widowControl w:val="0"/>
      <w:jc w:val="both"/>
    </w:pPr>
    <w:rPr>
      <w:rFonts w:ascii="Times New Roman" w:hAnsi="Times New Roman" w:cs="Times New Roman"/>
      <w:kern w:val="2"/>
      <w:sz w:val="21"/>
    </w:rPr>
  </w:style>
  <w:style w:type="paragraph" w:customStyle="1" w:styleId="1431">
    <w:name w:val="正文文字缩进2"/>
    <w:basedOn w:val="35"/>
    <w:qFormat/>
    <w:uiPriority w:val="0"/>
    <w:pPr>
      <w:widowControl w:val="0"/>
      <w:spacing w:after="0" w:line="360" w:lineRule="auto"/>
      <w:ind w:left="0" w:leftChars="0" w:firstLine="600"/>
      <w:jc w:val="both"/>
    </w:pPr>
    <w:rPr>
      <w:rFonts w:ascii="黑体" w:hAnsi="宋体" w:eastAsia="黑体"/>
      <w:b/>
      <w:bCs/>
      <w:spacing w:val="0"/>
      <w:sz w:val="28"/>
    </w:rPr>
  </w:style>
  <w:style w:type="paragraph" w:customStyle="1" w:styleId="1432">
    <w:name w:val="Heading Base"/>
    <w:basedOn w:val="32"/>
    <w:next w:val="32"/>
    <w:qFormat/>
    <w:uiPriority w:val="99"/>
    <w:pPr>
      <w:keepNext/>
      <w:keepLines/>
      <w:spacing w:line="220" w:lineRule="atLeast"/>
      <w:ind w:right="-360"/>
    </w:pPr>
    <w:rPr>
      <w:rFonts w:ascii="Arial" w:hAnsi="Arial"/>
      <w:color w:val="auto"/>
      <w:spacing w:val="-4"/>
      <w:kern w:val="0"/>
      <w:sz w:val="18"/>
      <w:szCs w:val="20"/>
    </w:rPr>
  </w:style>
  <w:style w:type="paragraph" w:customStyle="1" w:styleId="1433">
    <w:name w:val="Char Char Char Char3"/>
    <w:basedOn w:val="1"/>
    <w:qFormat/>
    <w:uiPriority w:val="0"/>
    <w:pPr>
      <w:widowControl w:val="0"/>
      <w:jc w:val="both"/>
    </w:pPr>
    <w:rPr>
      <w:rFonts w:ascii="Times New Roman" w:hAnsi="Times New Roman" w:cs="Times New Roman"/>
      <w:kern w:val="2"/>
      <w:sz w:val="21"/>
    </w:rPr>
  </w:style>
  <w:style w:type="paragraph" w:customStyle="1" w:styleId="1434">
    <w:name w:val="正文（1）"/>
    <w:basedOn w:val="6"/>
    <w:next w:val="80"/>
    <w:qFormat/>
    <w:uiPriority w:val="99"/>
    <w:pPr>
      <w:adjustRightInd w:val="0"/>
      <w:snapToGrid w:val="0"/>
      <w:spacing w:line="480" w:lineRule="exact"/>
      <w:ind w:firstLine="480" w:firstLineChars="200"/>
      <w:jc w:val="both"/>
    </w:pPr>
    <w:rPr>
      <w:rFonts w:ascii="Times New Roman" w:hAnsi="Times New Roman"/>
      <w:sz w:val="24"/>
      <w:szCs w:val="24"/>
    </w:rPr>
  </w:style>
  <w:style w:type="paragraph" w:customStyle="1" w:styleId="1435">
    <w:name w:val="Char Char Char Char Char Char Char Char Char Char Char Char Char Char Char Char Char Char Char Char Char Char Char Char"/>
    <w:basedOn w:val="1"/>
    <w:qFormat/>
    <w:uiPriority w:val="0"/>
    <w:pPr>
      <w:widowControl w:val="0"/>
      <w:jc w:val="both"/>
    </w:pPr>
    <w:rPr>
      <w:rFonts w:ascii="Times New Roman" w:hAnsi="Times New Roman" w:cs="Times New Roman"/>
      <w:kern w:val="2"/>
      <w:sz w:val="21"/>
    </w:rPr>
  </w:style>
  <w:style w:type="paragraph" w:customStyle="1" w:styleId="1436">
    <w:name w:val="图"/>
    <w:basedOn w:val="32"/>
    <w:qFormat/>
    <w:uiPriority w:val="99"/>
    <w:pPr>
      <w:widowControl w:val="0"/>
      <w:adjustRightInd w:val="0"/>
      <w:spacing w:line="288" w:lineRule="auto"/>
      <w:jc w:val="center"/>
      <w:textAlignment w:val="baseline"/>
    </w:pPr>
    <w:rPr>
      <w:rFonts w:ascii="黑体" w:hAnsi="Times New Roman" w:eastAsia="黑体"/>
      <w:b/>
      <w:color w:val="auto"/>
      <w:kern w:val="0"/>
      <w:sz w:val="20"/>
      <w:szCs w:val="20"/>
    </w:rPr>
  </w:style>
  <w:style w:type="paragraph" w:customStyle="1" w:styleId="1437">
    <w:name w:val="副标题3"/>
    <w:basedOn w:val="1"/>
    <w:qFormat/>
    <w:uiPriority w:val="0"/>
    <w:pPr>
      <w:keepLines/>
      <w:widowControl w:val="0"/>
      <w:tabs>
        <w:tab w:val="left" w:pos="672"/>
        <w:tab w:val="left" w:pos="720"/>
      </w:tabs>
      <w:adjustRightInd w:val="0"/>
      <w:snapToGrid w:val="0"/>
      <w:spacing w:line="400" w:lineRule="atLeast"/>
      <w:ind w:left="672" w:hanging="348"/>
      <w:jc w:val="both"/>
      <w:outlineLvl w:val="3"/>
    </w:pPr>
    <w:rPr>
      <w:rFonts w:hAnsi="Times New Roman" w:cs="Times New Roman"/>
      <w:snapToGrid w:val="0"/>
    </w:rPr>
  </w:style>
  <w:style w:type="paragraph" w:customStyle="1" w:styleId="1438">
    <w:name w:val="列表 5J"/>
    <w:basedOn w:val="65"/>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39">
    <w:name w:val="2-标准-表头"/>
    <w:basedOn w:val="1"/>
    <w:qFormat/>
    <w:uiPriority w:val="0"/>
    <w:pPr>
      <w:topLinePunct/>
      <w:adjustRightInd w:val="0"/>
      <w:snapToGrid w:val="0"/>
      <w:spacing w:beforeLines="50"/>
      <w:jc w:val="center"/>
    </w:pPr>
    <w:rPr>
      <w:rFonts w:ascii="Times New Roman" w:hAnsi="Times New Roman" w:eastAsia="黑体" w:cs="Times New Roman"/>
      <w:b/>
      <w:szCs w:val="20"/>
      <w:lang w:val="zh-CN"/>
    </w:rPr>
  </w:style>
  <w:style w:type="paragraph" w:customStyle="1" w:styleId="1440">
    <w:name w:val="列表 5D"/>
    <w:basedOn w:val="65"/>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41">
    <w:name w:val="Char Char Char Char Char Char Char Char Char Char Char Char1 Char1"/>
    <w:basedOn w:val="1"/>
    <w:next w:val="1"/>
    <w:qFormat/>
    <w:uiPriority w:val="99"/>
    <w:pPr>
      <w:widowControl w:val="0"/>
      <w:spacing w:line="336" w:lineRule="auto"/>
      <w:ind w:firstLine="200" w:firstLineChars="200"/>
      <w:jc w:val="both"/>
    </w:pPr>
    <w:rPr>
      <w:rFonts w:eastAsia="汉鼎简书宋"/>
      <w:kern w:val="2"/>
    </w:rPr>
  </w:style>
  <w:style w:type="paragraph" w:customStyle="1" w:styleId="1442">
    <w:name w:val="表内文"/>
    <w:qFormat/>
    <w:uiPriority w:val="0"/>
    <w:pPr>
      <w:spacing w:line="360" w:lineRule="exact"/>
      <w:jc w:val="center"/>
    </w:pPr>
    <w:rPr>
      <w:rFonts w:ascii="Times New Roman" w:hAnsi="Times New Roman" w:eastAsia="仿宋_GB2312" w:cs="Times New Roman"/>
      <w:bCs/>
      <w:kern w:val="20"/>
      <w:sz w:val="21"/>
      <w:lang w:val="en-US" w:eastAsia="zh-CN" w:bidi="ar-SA"/>
    </w:rPr>
  </w:style>
  <w:style w:type="paragraph" w:customStyle="1" w:styleId="1443">
    <w:name w:val="样式 正文文本缩进 + 首行缩进:  2.25 字符"/>
    <w:basedOn w:val="35"/>
    <w:qFormat/>
    <w:uiPriority w:val="99"/>
    <w:pPr>
      <w:widowControl w:val="0"/>
      <w:jc w:val="both"/>
    </w:pPr>
    <w:rPr>
      <w:rFonts w:ascii="Times New Roman" w:hAnsi="Times New Roman" w:eastAsia="宋体"/>
      <w:spacing w:val="0"/>
      <w:szCs w:val="24"/>
    </w:rPr>
  </w:style>
  <w:style w:type="paragraph" w:customStyle="1" w:styleId="1444">
    <w:name w:val="xl41"/>
    <w:basedOn w:val="1"/>
    <w:qFormat/>
    <w:uiPriority w:val="0"/>
    <w:pPr>
      <w:spacing w:before="100" w:beforeAutospacing="1" w:after="100" w:afterAutospacing="1"/>
      <w:textAlignment w:val="center"/>
    </w:pPr>
    <w:rPr>
      <w:rFonts w:ascii="Arial Unicode MS" w:hAnsi="Arial Unicode MS" w:eastAsia="Arial Unicode MS" w:cs="Arial Unicode MS"/>
      <w:b/>
      <w:bCs/>
      <w:sz w:val="36"/>
      <w:szCs w:val="36"/>
    </w:rPr>
  </w:style>
  <w:style w:type="paragraph" w:customStyle="1" w:styleId="1445">
    <w:name w:val="xl39"/>
    <w:basedOn w:val="1"/>
    <w:qFormat/>
    <w:uiPriority w:val="99"/>
    <w:pPr>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446">
    <w:name w:val="段落2"/>
    <w:basedOn w:val="1"/>
    <w:qFormat/>
    <w:uiPriority w:val="99"/>
    <w:pPr>
      <w:widowControl w:val="0"/>
      <w:adjustRightInd w:val="0"/>
      <w:spacing w:line="440" w:lineRule="atLeast"/>
      <w:jc w:val="both"/>
    </w:pPr>
    <w:rPr>
      <w:rFonts w:ascii="Times New Roman" w:hAnsi="Times New Roman" w:cs="Times New Roman"/>
      <w:spacing w:val="6"/>
      <w:kern w:val="2"/>
      <w:sz w:val="28"/>
      <w:szCs w:val="20"/>
    </w:rPr>
  </w:style>
  <w:style w:type="paragraph" w:customStyle="1" w:styleId="1447">
    <w:name w:val="预测表格"/>
    <w:basedOn w:val="402"/>
    <w:next w:val="1"/>
    <w:qFormat/>
    <w:uiPriority w:val="99"/>
    <w:pPr>
      <w:topLinePunct w:val="0"/>
      <w:ind w:left="-15" w:leftChars="-15" w:right="-15" w:rightChars="-15"/>
    </w:pPr>
    <w:rPr>
      <w:rFonts w:eastAsia="宋体"/>
      <w:bCs/>
      <w:spacing w:val="-10"/>
      <w:sz w:val="18"/>
      <w:szCs w:val="15"/>
    </w:rPr>
  </w:style>
  <w:style w:type="paragraph" w:customStyle="1" w:styleId="1448">
    <w:name w:val="列表 5B"/>
    <w:basedOn w:val="65"/>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49">
    <w:name w:val="Document Label"/>
    <w:basedOn w:val="1"/>
    <w:next w:val="1"/>
    <w:qFormat/>
    <w:uiPriority w:val="99"/>
    <w:pPr>
      <w:spacing w:after="220"/>
      <w:ind w:right="-360"/>
    </w:pPr>
    <w:rPr>
      <w:rFonts w:ascii="Times New Roman" w:hAnsi="Times New Roman" w:cs="Times New Roman"/>
      <w:spacing w:val="-20"/>
      <w:sz w:val="48"/>
      <w:szCs w:val="20"/>
    </w:rPr>
  </w:style>
  <w:style w:type="paragraph" w:customStyle="1" w:styleId="1450">
    <w:name w:val="18"/>
    <w:basedOn w:val="1"/>
    <w:qFormat/>
    <w:uiPriority w:val="99"/>
    <w:pPr>
      <w:snapToGrid w:val="0"/>
      <w:spacing w:before="120" w:after="100" w:afterAutospacing="1" w:line="240" w:lineRule="atLeast"/>
      <w:jc w:val="center"/>
    </w:pPr>
    <w:rPr>
      <w:rFonts w:ascii="Times New Roman" w:hAnsi="Times New Roman" w:cs="Times New Roman"/>
      <w:b/>
      <w:bCs/>
    </w:rPr>
  </w:style>
  <w:style w:type="paragraph" w:customStyle="1" w:styleId="1451">
    <w:name w:val="正文（首行缩进）"/>
    <w:basedOn w:val="1"/>
    <w:qFormat/>
    <w:uiPriority w:val="0"/>
    <w:pPr>
      <w:spacing w:line="360" w:lineRule="auto"/>
      <w:ind w:firstLine="480" w:firstLineChars="200"/>
    </w:pPr>
    <w:rPr>
      <w:rFonts w:cs="Times New Roman"/>
      <w:color w:val="000000"/>
      <w:kern w:val="2"/>
      <w:szCs w:val="20"/>
    </w:rPr>
  </w:style>
  <w:style w:type="paragraph" w:customStyle="1" w:styleId="1452">
    <w:name w:val="列表 3H"/>
    <w:basedOn w:val="14"/>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453">
    <w:name w:val="表格正文"/>
    <w:qFormat/>
    <w:uiPriority w:val="0"/>
    <w:pPr>
      <w:spacing w:before="60" w:after="60"/>
      <w:ind w:left="32"/>
      <w:jc w:val="center"/>
    </w:pPr>
    <w:rPr>
      <w:rFonts w:ascii="Times New Roman" w:hAnsi="Times New Roman" w:eastAsia="宋体" w:cs="Times New Roman"/>
      <w:color w:val="FF0000"/>
      <w:sz w:val="21"/>
      <w:lang w:val="en-US" w:eastAsia="zh-CN" w:bidi="ar-SA"/>
    </w:rPr>
  </w:style>
  <w:style w:type="paragraph" w:customStyle="1" w:styleId="1454">
    <w:name w:val="列表 5E"/>
    <w:basedOn w:val="65"/>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55">
    <w:name w:val="列表 4D"/>
    <w:basedOn w:val="71"/>
    <w:qFormat/>
    <w:uiPriority w:val="99"/>
    <w:pPr>
      <w:tabs>
        <w:tab w:val="left" w:pos="360"/>
      </w:tabs>
      <w:topLinePunct w:val="0"/>
      <w:spacing w:beforeLines="50" w:afterLines="30" w:line="288" w:lineRule="auto"/>
      <w:ind w:left="360" w:leftChars="0" w:hanging="360" w:firstLineChars="0"/>
      <w:jc w:val="both"/>
    </w:pPr>
    <w:rPr>
      <w:rFonts w:ascii="Arial" w:hAnsi="Arial" w:eastAsia="宋体"/>
      <w:color w:val="CCFFFF"/>
      <w:sz w:val="24"/>
    </w:rPr>
  </w:style>
  <w:style w:type="paragraph" w:customStyle="1" w:styleId="1456">
    <w:name w:val="档案号"/>
    <w:basedOn w:val="55"/>
    <w:qFormat/>
    <w:uiPriority w:val="99"/>
    <w:pPr>
      <w:widowControl w:val="0"/>
      <w:pBdr>
        <w:bottom w:val="none" w:color="auto" w:sz="0" w:space="0"/>
      </w:pBdr>
      <w:tabs>
        <w:tab w:val="center" w:pos="4320"/>
        <w:tab w:val="right" w:pos="8640"/>
        <w:tab w:val="clear" w:pos="4153"/>
        <w:tab w:val="clear" w:pos="8306"/>
      </w:tabs>
      <w:adjustRightInd w:val="0"/>
      <w:spacing w:line="460" w:lineRule="exact"/>
      <w:jc w:val="right"/>
      <w:textAlignment w:val="baseline"/>
    </w:pPr>
    <w:rPr>
      <w:rFonts w:ascii="宋体" w:hAnsi="Arial"/>
      <w:spacing w:val="3"/>
      <w:kern w:val="24"/>
      <w:sz w:val="24"/>
      <w:szCs w:val="20"/>
    </w:rPr>
  </w:style>
  <w:style w:type="paragraph" w:customStyle="1" w:styleId="1457">
    <w:name w:val="样式 (中文) 仿宋_GB2312 四号 行距: 1.5 倍行距 Char"/>
    <w:basedOn w:val="1"/>
    <w:qFormat/>
    <w:uiPriority w:val="0"/>
    <w:pPr>
      <w:widowControl w:val="0"/>
      <w:jc w:val="center"/>
    </w:pPr>
    <w:rPr>
      <w:rFonts w:ascii="Times New Roman" w:hAnsi="Times New Roman" w:cs="Times New Roman"/>
      <w:kern w:val="2"/>
      <w:szCs w:val="28"/>
    </w:rPr>
  </w:style>
  <w:style w:type="paragraph" w:customStyle="1" w:styleId="1458">
    <w:name w:val="Header Base"/>
    <w:basedOn w:val="1"/>
    <w:qFormat/>
    <w:uiPriority w:val="99"/>
    <w:pPr>
      <w:ind w:right="-360"/>
    </w:pPr>
    <w:rPr>
      <w:rFonts w:ascii="Times New Roman" w:hAnsi="Times New Roman" w:cs="Times New Roman"/>
      <w:sz w:val="20"/>
      <w:szCs w:val="20"/>
    </w:rPr>
  </w:style>
  <w:style w:type="paragraph" w:customStyle="1" w:styleId="1459">
    <w:name w:val="列表 C"/>
    <w:basedOn w:val="3"/>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460">
    <w:name w:val="xl92"/>
    <w:basedOn w:val="1"/>
    <w:qFormat/>
    <w:uiPriority w:val="99"/>
    <w:pPr>
      <w:pBdr>
        <w:top w:val="single" w:color="auto" w:sz="4" w:space="0"/>
        <w:left w:val="single" w:color="auto" w:sz="4" w:space="0"/>
        <w:bottom w:val="single" w:color="auto" w:sz="8" w:space="0"/>
      </w:pBdr>
      <w:spacing w:before="100" w:beforeAutospacing="1" w:after="100" w:afterAutospacing="1"/>
      <w:jc w:val="center"/>
    </w:pPr>
    <w:rPr>
      <w:rFonts w:ascii="Arial Unicode MS" w:hAnsi="Arial Unicode MS" w:eastAsia="Arial Unicode MS" w:cs="Arial Unicode MS"/>
      <w:sz w:val="16"/>
      <w:szCs w:val="16"/>
    </w:rPr>
  </w:style>
  <w:style w:type="paragraph" w:customStyle="1" w:styleId="1461">
    <w:name w:val="样式－表"/>
    <w:basedOn w:val="1"/>
    <w:qFormat/>
    <w:uiPriority w:val="99"/>
    <w:pPr>
      <w:widowControl w:val="0"/>
      <w:adjustRightInd w:val="0"/>
      <w:snapToGrid w:val="0"/>
      <w:spacing w:before="62"/>
      <w:jc w:val="center"/>
    </w:pPr>
    <w:rPr>
      <w:rFonts w:ascii="Times New Roman" w:hAnsi="Times New Roman" w:cs="Times New Roman"/>
      <w:snapToGrid w:val="0"/>
      <w:color w:val="000000"/>
      <w:szCs w:val="20"/>
    </w:rPr>
  </w:style>
  <w:style w:type="paragraph" w:customStyle="1" w:styleId="1462">
    <w:name w:val="font1"/>
    <w:basedOn w:val="1"/>
    <w:qFormat/>
    <w:uiPriority w:val="99"/>
    <w:pPr>
      <w:spacing w:before="100" w:beforeAutospacing="1" w:after="100" w:afterAutospacing="1"/>
    </w:pPr>
    <w:rPr>
      <w:rFonts w:hint="eastAsia" w:cs="Times New Roman"/>
    </w:rPr>
  </w:style>
  <w:style w:type="paragraph" w:customStyle="1" w:styleId="1463">
    <w:name w:val="列表 2S"/>
    <w:basedOn w:val="37"/>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464">
    <w:name w:val="蒲表头"/>
    <w:basedOn w:val="1"/>
    <w:qFormat/>
    <w:uiPriority w:val="99"/>
    <w:pPr>
      <w:widowControl w:val="0"/>
      <w:adjustRightInd w:val="0"/>
      <w:snapToGrid w:val="0"/>
      <w:spacing w:beforeLines="20"/>
      <w:ind w:firstLine="480" w:firstLineChars="200"/>
      <w:jc w:val="both"/>
    </w:pPr>
    <w:rPr>
      <w:rFonts w:ascii="Times New Roman" w:hAnsi="Times New Roman" w:cs="Times New Roman"/>
      <w:b/>
      <w:kern w:val="2"/>
    </w:rPr>
  </w:style>
  <w:style w:type="paragraph" w:customStyle="1" w:styleId="1465">
    <w:name w:val="CM67"/>
    <w:basedOn w:val="103"/>
    <w:next w:val="103"/>
    <w:qFormat/>
    <w:uiPriority w:val="99"/>
    <w:pPr>
      <w:autoSpaceDE w:val="0"/>
      <w:autoSpaceDN w:val="0"/>
      <w:spacing w:after="142"/>
    </w:pPr>
    <w:rPr>
      <w:color w:val="auto"/>
    </w:rPr>
  </w:style>
  <w:style w:type="paragraph" w:customStyle="1" w:styleId="1466">
    <w:name w:val="样式 正文缩进正文缩进 Char + 首行缩进:  2 字符"/>
    <w:basedOn w:val="6"/>
    <w:qFormat/>
    <w:uiPriority w:val="99"/>
    <w:pPr>
      <w:widowControl w:val="0"/>
      <w:adjustRightInd w:val="0"/>
      <w:snapToGrid w:val="0"/>
      <w:spacing w:line="360" w:lineRule="auto"/>
      <w:ind w:firstLine="480" w:firstLineChars="200"/>
      <w:jc w:val="both"/>
    </w:pPr>
    <w:rPr>
      <w:rFonts w:ascii="Times New Roman" w:hAnsi="Times New Roman"/>
      <w:snapToGrid w:val="0"/>
      <w:sz w:val="24"/>
      <w:szCs w:val="24"/>
    </w:rPr>
  </w:style>
  <w:style w:type="paragraph" w:customStyle="1" w:styleId="1467">
    <w:name w:val="正文(a)"/>
    <w:basedOn w:val="32"/>
    <w:qFormat/>
    <w:uiPriority w:val="99"/>
    <w:pPr>
      <w:tabs>
        <w:tab w:val="left" w:pos="1139"/>
      </w:tabs>
      <w:spacing w:line="351" w:lineRule="atLeast"/>
      <w:ind w:left="-141" w:firstLine="566"/>
      <w:jc w:val="both"/>
      <w:textAlignment w:val="baseline"/>
    </w:pPr>
    <w:rPr>
      <w:rFonts w:ascii="宋体" w:hAnsi="Times New Roman" w:cs="宋体"/>
      <w:bCs/>
      <w:spacing w:val="5"/>
      <w:kern w:val="0"/>
      <w:sz w:val="20"/>
      <w:szCs w:val="21"/>
      <w:u w:color="000000"/>
    </w:rPr>
  </w:style>
  <w:style w:type="paragraph" w:customStyle="1" w:styleId="1468">
    <w:name w:val="尾注文本1"/>
    <w:basedOn w:val="117"/>
    <w:qFormat/>
    <w:uiPriority w:val="99"/>
    <w:rPr>
      <w:rFonts w:eastAsia="Times New Roman"/>
      <w:sz w:val="21"/>
      <w:szCs w:val="22"/>
    </w:rPr>
  </w:style>
  <w:style w:type="paragraph" w:customStyle="1" w:styleId="1469">
    <w:name w:val="列表 G"/>
    <w:basedOn w:val="3"/>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470">
    <w:name w:val="CM69"/>
    <w:basedOn w:val="103"/>
    <w:next w:val="103"/>
    <w:qFormat/>
    <w:uiPriority w:val="99"/>
    <w:pPr>
      <w:autoSpaceDE w:val="0"/>
      <w:autoSpaceDN w:val="0"/>
      <w:spacing w:after="67"/>
    </w:pPr>
    <w:rPr>
      <w:color w:val="auto"/>
    </w:rPr>
  </w:style>
  <w:style w:type="paragraph" w:customStyle="1" w:styleId="1471">
    <w:name w:val="样式 样式2 + 段前: 6 磅 行距: 单倍行距2"/>
    <w:basedOn w:val="1288"/>
    <w:qFormat/>
    <w:uiPriority w:val="99"/>
    <w:pPr>
      <w:keepNext w:val="0"/>
      <w:keepLines w:val="0"/>
      <w:autoSpaceDE w:val="0"/>
      <w:autoSpaceDN w:val="0"/>
      <w:adjustRightInd w:val="0"/>
      <w:snapToGrid w:val="0"/>
      <w:spacing w:before="120" w:line="240" w:lineRule="auto"/>
      <w:jc w:val="center"/>
      <w:textAlignment w:val="baseline"/>
      <w:outlineLvl w:val="9"/>
    </w:pPr>
    <w:rPr>
      <w:rFonts w:ascii="Times New Roman" w:hAnsi="Times New Roman" w:eastAsia="宋体"/>
      <w:bCs w:val="0"/>
      <w:spacing w:val="-16"/>
      <w:sz w:val="21"/>
      <w:szCs w:val="21"/>
    </w:rPr>
  </w:style>
  <w:style w:type="paragraph" w:customStyle="1" w:styleId="1472">
    <w:name w:val="列表 4F"/>
    <w:basedOn w:val="71"/>
    <w:qFormat/>
    <w:uiPriority w:val="99"/>
    <w:pPr>
      <w:tabs>
        <w:tab w:val="left" w:pos="980"/>
      </w:tabs>
      <w:topLinePunct w:val="0"/>
      <w:spacing w:beforeLines="50" w:afterLines="30" w:line="288" w:lineRule="auto"/>
      <w:ind w:left="980" w:leftChars="0" w:hanging="420" w:firstLineChars="0"/>
      <w:jc w:val="both"/>
    </w:pPr>
    <w:rPr>
      <w:rFonts w:ascii="Arial" w:hAnsi="Arial" w:eastAsia="宋体"/>
      <w:color w:val="CCFFFF"/>
      <w:sz w:val="24"/>
    </w:rPr>
  </w:style>
  <w:style w:type="paragraph" w:customStyle="1" w:styleId="1473">
    <w:name w:val="Table Body"/>
    <w:basedOn w:val="1"/>
    <w:qFormat/>
    <w:uiPriority w:val="99"/>
    <w:pPr>
      <w:spacing w:before="80" w:after="80"/>
    </w:pPr>
    <w:rPr>
      <w:rFonts w:ascii="Arial" w:hAnsi="Arial" w:eastAsia="Batang" w:cs="Times New Roman"/>
      <w:sz w:val="18"/>
      <w:szCs w:val="20"/>
      <w:lang w:eastAsia="ko-KR"/>
    </w:rPr>
  </w:style>
  <w:style w:type="paragraph" w:customStyle="1" w:styleId="1474">
    <w:name w:val="CM6"/>
    <w:basedOn w:val="103"/>
    <w:next w:val="103"/>
    <w:qFormat/>
    <w:uiPriority w:val="99"/>
    <w:pPr>
      <w:autoSpaceDE w:val="0"/>
      <w:autoSpaceDN w:val="0"/>
    </w:pPr>
    <w:rPr>
      <w:color w:val="auto"/>
    </w:rPr>
  </w:style>
  <w:style w:type="paragraph" w:customStyle="1" w:styleId="1475">
    <w:name w:val="Body Text First Indent3"/>
    <w:basedOn w:val="32"/>
    <w:qFormat/>
    <w:uiPriority w:val="99"/>
    <w:pPr>
      <w:widowControl w:val="0"/>
      <w:adjustRightInd w:val="0"/>
      <w:spacing w:line="312" w:lineRule="auto"/>
      <w:ind w:firstLine="567"/>
      <w:jc w:val="both"/>
      <w:textAlignment w:val="baseline"/>
    </w:pPr>
    <w:rPr>
      <w:rFonts w:ascii="Times New Roman" w:hAnsi="Times New Roman"/>
      <w:color w:val="auto"/>
      <w:kern w:val="0"/>
      <w:sz w:val="28"/>
      <w:szCs w:val="20"/>
    </w:rPr>
  </w:style>
  <w:style w:type="paragraph" w:customStyle="1" w:styleId="1476">
    <w:name w:val="样式 题注 + 五号 加粗 居中"/>
    <w:basedOn w:val="1"/>
    <w:qFormat/>
    <w:uiPriority w:val="99"/>
    <w:pPr>
      <w:widowControl w:val="0"/>
      <w:spacing w:beforeLines="20" w:afterLines="20" w:line="360" w:lineRule="auto"/>
      <w:jc w:val="center"/>
    </w:pPr>
    <w:rPr>
      <w:rFonts w:ascii="Arial" w:hAnsi="Arial" w:eastAsia="黑体" w:cs="Times New Roman"/>
      <w:b/>
      <w:bCs/>
      <w:kern w:val="2"/>
      <w:szCs w:val="21"/>
    </w:rPr>
  </w:style>
  <w:style w:type="paragraph" w:customStyle="1" w:styleId="1477">
    <w:name w:val="列表 L"/>
    <w:basedOn w:val="3"/>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478">
    <w:name w:val="列表 K"/>
    <w:basedOn w:val="3"/>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479">
    <w:name w:val="Char Char Char Char Char Char Char Char Char Char Char Char1 Char Char Char Char Char Char Char Char Char Char Char Char1 Char"/>
    <w:basedOn w:val="1"/>
    <w:next w:val="1"/>
    <w:qFormat/>
    <w:uiPriority w:val="99"/>
    <w:pPr>
      <w:widowControl w:val="0"/>
      <w:spacing w:line="336" w:lineRule="auto"/>
      <w:ind w:firstLine="200" w:firstLineChars="200"/>
      <w:jc w:val="both"/>
    </w:pPr>
    <w:rPr>
      <w:rFonts w:eastAsia="汉鼎简书宋"/>
      <w:kern w:val="2"/>
    </w:rPr>
  </w:style>
  <w:style w:type="paragraph" w:customStyle="1" w:styleId="1480">
    <w:name w:val="列表 2Q"/>
    <w:basedOn w:val="37"/>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481">
    <w:name w:val="列表 5H"/>
    <w:basedOn w:val="65"/>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82">
    <w:name w:val="列表 2Y"/>
    <w:basedOn w:val="37"/>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483">
    <w:name w:val="Char Char Char Char2"/>
    <w:basedOn w:val="1"/>
    <w:qFormat/>
    <w:uiPriority w:val="99"/>
    <w:pPr>
      <w:spacing w:after="160" w:line="240" w:lineRule="exact"/>
    </w:pPr>
    <w:rPr>
      <w:rFonts w:ascii="Verdana" w:hAnsi="Verdana" w:cs="Times New Roman"/>
      <w:sz w:val="20"/>
      <w:szCs w:val="20"/>
      <w:lang w:eastAsia="en-US"/>
    </w:rPr>
  </w:style>
  <w:style w:type="paragraph" w:customStyle="1" w:styleId="1484">
    <w:name w:val="Char Char Char Char Char Char1"/>
    <w:basedOn w:val="1"/>
    <w:qFormat/>
    <w:uiPriority w:val="0"/>
    <w:pPr>
      <w:jc w:val="both"/>
    </w:pPr>
    <w:rPr>
      <w:rFonts w:ascii="Times New Roman" w:hAnsi="Times New Roman" w:cs="Times New Roman"/>
    </w:rPr>
  </w:style>
  <w:style w:type="paragraph" w:customStyle="1" w:styleId="1485">
    <w:name w:val="6"/>
    <w:basedOn w:val="1"/>
    <w:next w:val="35"/>
    <w:qFormat/>
    <w:uiPriority w:val="99"/>
    <w:pPr>
      <w:widowControl w:val="0"/>
      <w:spacing w:line="300" w:lineRule="auto"/>
      <w:ind w:firstLine="480" w:firstLineChars="200"/>
      <w:jc w:val="both"/>
    </w:pPr>
    <w:rPr>
      <w:rFonts w:ascii="Times New Roman" w:hAnsi="Times New Roman" w:cs="Times New Roman"/>
      <w:kern w:val="2"/>
    </w:rPr>
  </w:style>
  <w:style w:type="paragraph" w:customStyle="1" w:styleId="1486">
    <w:name w:val="标题 3 + Arial 小四 非加粗 段前: 0 磅 段后: 6 磅 行距: 固定值 22 磅"/>
    <w:basedOn w:val="7"/>
    <w:next w:val="1"/>
    <w:qFormat/>
    <w:uiPriority w:val="99"/>
    <w:pPr>
      <w:widowControl w:val="0"/>
      <w:adjustRightInd w:val="0"/>
      <w:snapToGrid w:val="0"/>
      <w:spacing w:line="360" w:lineRule="auto"/>
      <w:jc w:val="both"/>
    </w:pPr>
    <w:rPr>
      <w:rFonts w:ascii="黑体" w:hAnsi="Arial"/>
      <w:bCs w:val="0"/>
      <w:color w:val="000000"/>
      <w:sz w:val="24"/>
      <w:szCs w:val="20"/>
    </w:rPr>
  </w:style>
  <w:style w:type="paragraph" w:customStyle="1" w:styleId="1487">
    <w:name w:val="表内文字"/>
    <w:basedOn w:val="1"/>
    <w:qFormat/>
    <w:uiPriority w:val="99"/>
    <w:pPr>
      <w:ind w:left="57" w:right="57"/>
      <w:jc w:val="center"/>
    </w:pPr>
    <w:rPr>
      <w:rFonts w:ascii="Times" w:hAnsi="Times" w:cs="Times"/>
      <w:snapToGrid w:val="0"/>
      <w:spacing w:val="-20"/>
      <w:sz w:val="21"/>
      <w:szCs w:val="21"/>
    </w:rPr>
  </w:style>
  <w:style w:type="paragraph" w:customStyle="1" w:styleId="1488">
    <w:name w:val="正文文本 小4"/>
    <w:qFormat/>
    <w:uiPriority w:val="99"/>
    <w:pPr>
      <w:widowControl w:val="0"/>
      <w:autoSpaceDE w:val="0"/>
      <w:autoSpaceDN w:val="0"/>
      <w:adjustRightInd w:val="0"/>
      <w:snapToGrid w:val="0"/>
      <w:spacing w:line="360" w:lineRule="auto"/>
      <w:ind w:firstLine="480" w:firstLineChars="200"/>
      <w:jc w:val="both"/>
    </w:pPr>
    <w:rPr>
      <w:rFonts w:ascii="仿宋_GB2312" w:hAnsi="Arial" w:eastAsia="仿宋_GB2312" w:cs="Times New Roman"/>
      <w:snapToGrid w:val="0"/>
      <w:color w:val="000000"/>
      <w:sz w:val="24"/>
      <w:lang w:val="en-US" w:eastAsia="zh-CN" w:bidi="ar-SA"/>
    </w:rPr>
  </w:style>
  <w:style w:type="paragraph" w:customStyle="1" w:styleId="1489">
    <w:name w:val="Char Char Char Char Char Char Char Char Char Char2"/>
    <w:basedOn w:val="1"/>
    <w:qFormat/>
    <w:uiPriority w:val="99"/>
    <w:pPr>
      <w:widowControl w:val="0"/>
      <w:jc w:val="both"/>
    </w:pPr>
    <w:rPr>
      <w:color w:val="000000"/>
      <w:kern w:val="2"/>
      <w:sz w:val="21"/>
      <w:szCs w:val="21"/>
    </w:rPr>
  </w:style>
  <w:style w:type="paragraph" w:customStyle="1" w:styleId="1490">
    <w:name w:val="表标题16.8－1"/>
    <w:basedOn w:val="1"/>
    <w:qFormat/>
    <w:uiPriority w:val="99"/>
    <w:pPr>
      <w:tabs>
        <w:tab w:val="left" w:pos="1560"/>
        <w:tab w:val="left" w:pos="2160"/>
        <w:tab w:val="left" w:pos="3060"/>
      </w:tabs>
      <w:adjustRightInd w:val="0"/>
      <w:snapToGrid w:val="0"/>
      <w:spacing w:line="0" w:lineRule="atLeast"/>
      <w:ind w:left="2400" w:hanging="420"/>
      <w:jc w:val="center"/>
      <w:textAlignment w:val="baseline"/>
    </w:pPr>
    <w:rPr>
      <w:rFonts w:ascii="Times New Roman" w:hAnsi="Times New Roman" w:eastAsia="黑体" w:cs="Times New Roman"/>
      <w:b/>
      <w:color w:val="000000"/>
      <w:kern w:val="2"/>
    </w:rPr>
  </w:style>
  <w:style w:type="paragraph" w:customStyle="1" w:styleId="1491">
    <w:name w:val="p15"/>
    <w:basedOn w:val="1"/>
    <w:qFormat/>
    <w:uiPriority w:val="99"/>
    <w:pPr>
      <w:snapToGrid w:val="0"/>
    </w:pPr>
    <w:rPr>
      <w:rFonts w:ascii="Times New Roman" w:hAnsi="Times New Roman" w:cs="Times New Roman"/>
      <w:color w:val="0000FF"/>
      <w:sz w:val="21"/>
      <w:szCs w:val="20"/>
    </w:rPr>
  </w:style>
  <w:style w:type="paragraph" w:customStyle="1" w:styleId="1492">
    <w:name w:val="表左"/>
    <w:basedOn w:val="1052"/>
    <w:qFormat/>
    <w:uiPriority w:val="99"/>
    <w:pPr>
      <w:tabs>
        <w:tab w:val="clear" w:pos="2190"/>
      </w:tabs>
      <w:ind w:right="0" w:rightChars="0"/>
      <w:jc w:val="both"/>
    </w:pPr>
  </w:style>
  <w:style w:type="paragraph" w:customStyle="1" w:styleId="1493">
    <w:name w:val="样式 样式 样式 样式 正文 首行缩进 + 首行缩进:  2 字符 行距: 单倍行距 + 首行缩进:  2 字符 + 小四 首行...2"/>
    <w:basedOn w:val="1"/>
    <w:qFormat/>
    <w:uiPriority w:val="99"/>
    <w:pPr>
      <w:widowControl w:val="0"/>
      <w:spacing w:line="312" w:lineRule="auto"/>
      <w:ind w:firstLine="480" w:firstLineChars="200"/>
      <w:jc w:val="both"/>
    </w:pPr>
    <w:rPr>
      <w:rFonts w:ascii="Arial" w:hAnsi="Arial"/>
      <w:kern w:val="2"/>
      <w:szCs w:val="20"/>
    </w:rPr>
  </w:style>
  <w:style w:type="paragraph" w:customStyle="1" w:styleId="1494">
    <w:name w:val="Char Char Char Char Char Char Char Char Char Char Char Char Char Char Char1"/>
    <w:basedOn w:val="1"/>
    <w:qFormat/>
    <w:uiPriority w:val="0"/>
    <w:pPr>
      <w:widowControl w:val="0"/>
      <w:jc w:val="both"/>
    </w:pPr>
    <w:rPr>
      <w:rFonts w:ascii="Times New Roman" w:hAnsi="Times New Roman" w:cs="Times New Roman"/>
      <w:kern w:val="2"/>
      <w:sz w:val="21"/>
    </w:rPr>
  </w:style>
  <w:style w:type="paragraph" w:customStyle="1" w:styleId="1495">
    <w:name w:val="xl83"/>
    <w:basedOn w:val="1"/>
    <w:qFormat/>
    <w:uiPriority w:val="99"/>
    <w:pPr>
      <w:pBdr>
        <w:top w:val="single" w:color="auto" w:sz="4"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496">
    <w:name w:val="xl103"/>
    <w:basedOn w:val="1"/>
    <w:qFormat/>
    <w:uiPriority w:val="99"/>
    <w:pPr>
      <w:pBdr>
        <w:top w:val="single" w:color="auto" w:sz="4" w:space="0"/>
        <w:left w:val="single" w:color="auto" w:sz="8" w:space="0"/>
      </w:pBdr>
      <w:spacing w:before="100" w:beforeAutospacing="1" w:after="100" w:afterAutospacing="1"/>
      <w:textAlignment w:val="center"/>
    </w:pPr>
    <w:rPr>
      <w:rFonts w:ascii="Arial Unicode MS" w:hAnsi="Arial Unicode MS" w:eastAsia="Arial Unicode MS" w:cs="Arial Unicode MS"/>
      <w:sz w:val="16"/>
      <w:szCs w:val="16"/>
    </w:rPr>
  </w:style>
  <w:style w:type="paragraph" w:customStyle="1" w:styleId="1497">
    <w:name w:val="列表 I"/>
    <w:basedOn w:val="3"/>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498">
    <w:name w:val="样式 标题 2节标题2H2h2第一层条二级 标题 2标题 2 Char节标题1MVA21.1Headin..."/>
    <w:basedOn w:val="5"/>
    <w:qFormat/>
    <w:uiPriority w:val="99"/>
    <w:pPr>
      <w:keepNext w:val="0"/>
      <w:keepLines w:val="0"/>
      <w:widowControl w:val="0"/>
      <w:tabs>
        <w:tab w:val="left" w:pos="786"/>
      </w:tabs>
      <w:adjustRightInd w:val="0"/>
      <w:snapToGrid w:val="0"/>
      <w:spacing w:line="360" w:lineRule="auto"/>
      <w:ind w:left="786" w:hanging="786"/>
    </w:pPr>
    <w:rPr>
      <w:rFonts w:ascii="Times New Roman" w:hAnsi="宋体" w:eastAsia="宋体"/>
      <w:b/>
      <w:sz w:val="24"/>
      <w:szCs w:val="20"/>
    </w:rPr>
  </w:style>
  <w:style w:type="paragraph" w:customStyle="1" w:styleId="1499">
    <w:name w:val="xl110"/>
    <w:basedOn w:val="1"/>
    <w:qFormat/>
    <w:uiPriority w:val="99"/>
    <w:pPr>
      <w:pBdr>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500">
    <w:name w:val="列表 1A"/>
    <w:basedOn w:val="804"/>
    <w:qFormat/>
    <w:uiPriority w:val="99"/>
    <w:pPr>
      <w:tabs>
        <w:tab w:val="left" w:pos="907"/>
        <w:tab w:val="clear" w:pos="432"/>
      </w:tabs>
      <w:ind w:left="907" w:hanging="567"/>
    </w:pPr>
  </w:style>
  <w:style w:type="paragraph" w:customStyle="1" w:styleId="1501">
    <w:name w:val="公司名"/>
    <w:basedOn w:val="1"/>
    <w:qFormat/>
    <w:uiPriority w:val="99"/>
    <w:pPr>
      <w:keepNext/>
      <w:keepLines/>
      <w:spacing w:beforeLines="50" w:afterLines="50" w:line="320" w:lineRule="atLeast"/>
      <w:jc w:val="center"/>
    </w:pPr>
    <w:rPr>
      <w:rFonts w:ascii="Arial" w:hAnsi="Arial" w:eastAsia="楷体_GB2312" w:cs="Times New Roman"/>
      <w:b/>
      <w:bCs/>
      <w:color w:val="CCFFCC"/>
      <w:kern w:val="28"/>
      <w:sz w:val="32"/>
      <w:szCs w:val="20"/>
      <w:lang w:bidi="he-IL"/>
    </w:rPr>
  </w:style>
  <w:style w:type="paragraph" w:customStyle="1" w:styleId="1502">
    <w:name w:val="样式 标题 2 + Times New Roman 小三 居中"/>
    <w:basedOn w:val="5"/>
    <w:qFormat/>
    <w:uiPriority w:val="99"/>
    <w:pPr>
      <w:spacing w:before="260" w:after="260" w:line="415" w:lineRule="auto"/>
      <w:ind w:firstLine="538" w:firstLineChars="192"/>
    </w:pPr>
    <w:rPr>
      <w:rFonts w:ascii="Times New Roman" w:hAnsi="Times New Roman" w:cs="宋体"/>
      <w:b/>
      <w:bCs w:val="0"/>
      <w:sz w:val="30"/>
      <w:szCs w:val="20"/>
    </w:rPr>
  </w:style>
  <w:style w:type="paragraph" w:customStyle="1" w:styleId="1503">
    <w:name w:val="列表 F"/>
    <w:basedOn w:val="3"/>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504">
    <w:name w:val="样式 段前: 0.5 行 首行缩进:  2 字符"/>
    <w:basedOn w:val="1"/>
    <w:qFormat/>
    <w:uiPriority w:val="99"/>
    <w:pPr>
      <w:widowControl w:val="0"/>
      <w:adjustRightInd w:val="0"/>
      <w:snapToGrid w:val="0"/>
      <w:spacing w:before="156" w:line="360" w:lineRule="auto"/>
      <w:ind w:firstLine="480" w:firstLineChars="200"/>
      <w:jc w:val="both"/>
    </w:pPr>
    <w:rPr>
      <w:rFonts w:ascii="Times New Roman" w:hAnsi="Times New Roman"/>
      <w:kern w:val="2"/>
      <w:szCs w:val="20"/>
    </w:rPr>
  </w:style>
  <w:style w:type="paragraph" w:customStyle="1" w:styleId="1505">
    <w:name w:val="悬挂式正文"/>
    <w:basedOn w:val="1"/>
    <w:qFormat/>
    <w:uiPriority w:val="99"/>
    <w:pPr>
      <w:widowControl w:val="0"/>
      <w:tabs>
        <w:tab w:val="center" w:pos="6804"/>
        <w:tab w:val="right" w:pos="7371"/>
      </w:tabs>
      <w:overflowPunct w:val="0"/>
      <w:adjustRightInd w:val="0"/>
      <w:spacing w:line="360" w:lineRule="auto"/>
      <w:ind w:left="1701" w:hanging="1134"/>
      <w:jc w:val="both"/>
      <w:textAlignment w:val="baseline"/>
    </w:pPr>
    <w:rPr>
      <w:rFonts w:ascii="Times New Roman" w:hAnsi="Times New Roman" w:cs="Times New Roman"/>
      <w:sz w:val="28"/>
      <w:szCs w:val="20"/>
    </w:rPr>
  </w:style>
  <w:style w:type="paragraph" w:customStyle="1" w:styleId="1506">
    <w:name w:val="xl86"/>
    <w:basedOn w:val="1"/>
    <w:qFormat/>
    <w:uiPriority w:val="99"/>
    <w:pPr>
      <w:pBdr>
        <w:top w:val="single" w:color="auto" w:sz="8" w:space="0"/>
        <w:left w:val="single" w:color="auto" w:sz="8" w:space="0"/>
        <w:bottom w:val="single" w:color="auto" w:sz="4" w:space="0"/>
      </w:pBdr>
      <w:spacing w:before="100" w:beforeAutospacing="1" w:after="100" w:afterAutospacing="1"/>
    </w:pPr>
    <w:rPr>
      <w:rFonts w:ascii="Times New Roman" w:hAnsi="Times New Roman" w:eastAsia="Arial Unicode MS" w:cs="Times New Roman"/>
      <w:sz w:val="16"/>
      <w:szCs w:val="16"/>
    </w:rPr>
  </w:style>
  <w:style w:type="paragraph" w:customStyle="1" w:styleId="1507">
    <w:name w:val="样式1－表头"/>
    <w:basedOn w:val="1"/>
    <w:qFormat/>
    <w:uiPriority w:val="99"/>
    <w:pPr>
      <w:widowControl w:val="0"/>
      <w:adjustRightInd w:val="0"/>
      <w:snapToGrid w:val="0"/>
      <w:spacing w:beforeLines="50" w:afterLines="50" w:line="336" w:lineRule="auto"/>
      <w:jc w:val="center"/>
    </w:pPr>
    <w:rPr>
      <w:rFonts w:ascii="Times New Roman" w:hAnsi="Times New Roman" w:eastAsia="黑体" w:cs="Times New Roman"/>
      <w:spacing w:val="6"/>
      <w:kern w:val="2"/>
      <w:szCs w:val="20"/>
    </w:rPr>
  </w:style>
  <w:style w:type="paragraph" w:customStyle="1" w:styleId="1508">
    <w:name w:val="xl104"/>
    <w:basedOn w:val="1"/>
    <w:qFormat/>
    <w:uiPriority w:val="99"/>
    <w:pPr>
      <w:pBdr>
        <w:left w:val="single" w:color="auto" w:sz="8" w:space="0"/>
      </w:pBdr>
      <w:spacing w:before="100" w:beforeAutospacing="1" w:after="100" w:afterAutospacing="1"/>
      <w:textAlignment w:val="center"/>
    </w:pPr>
    <w:rPr>
      <w:rFonts w:ascii="Arial Unicode MS" w:hAnsi="Arial Unicode MS" w:eastAsia="Arial Unicode MS" w:cs="Arial Unicode MS"/>
      <w:sz w:val="16"/>
      <w:szCs w:val="16"/>
    </w:rPr>
  </w:style>
  <w:style w:type="paragraph" w:customStyle="1" w:styleId="1509">
    <w:name w:val="列表 A"/>
    <w:basedOn w:val="3"/>
    <w:qFormat/>
    <w:uiPriority w:val="99"/>
    <w:pPr>
      <w:tabs>
        <w:tab w:val="left" w:pos="1021"/>
      </w:tabs>
      <w:spacing w:beforeLines="100" w:afterLines="50" w:line="288" w:lineRule="auto"/>
      <w:ind w:left="1021" w:hanging="454"/>
    </w:pPr>
    <w:rPr>
      <w:rFonts w:hint="default" w:ascii="Arial" w:hAnsi="Arial" w:eastAsia="宋体"/>
      <w:b/>
      <w:bCs/>
      <w:color w:val="FF99CC"/>
      <w:kern w:val="0"/>
      <w:szCs w:val="20"/>
    </w:rPr>
  </w:style>
  <w:style w:type="paragraph" w:customStyle="1" w:styleId="1510">
    <w:name w:val="04"/>
    <w:basedOn w:val="1"/>
    <w:qFormat/>
    <w:uiPriority w:val="99"/>
    <w:pPr>
      <w:widowControl w:val="0"/>
      <w:spacing w:line="312" w:lineRule="auto"/>
      <w:jc w:val="both"/>
    </w:pPr>
    <w:rPr>
      <w:rFonts w:ascii="Times New Roman" w:hAnsi="Times New Roman" w:eastAsia="华文仿宋" w:cs="Times New Roman"/>
      <w:kern w:val="2"/>
      <w:szCs w:val="30"/>
    </w:rPr>
  </w:style>
  <w:style w:type="paragraph" w:customStyle="1" w:styleId="1511">
    <w:name w:val="列表 5K"/>
    <w:basedOn w:val="65"/>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512">
    <w:name w:val="正文文字进缩"/>
    <w:basedOn w:val="1"/>
    <w:qFormat/>
    <w:uiPriority w:val="0"/>
    <w:pPr>
      <w:widowControl w:val="0"/>
      <w:spacing w:line="360" w:lineRule="auto"/>
      <w:ind w:firstLine="539"/>
      <w:jc w:val="both"/>
    </w:pPr>
    <w:rPr>
      <w:rFonts w:hAnsi="Arial Black" w:cs="Times New Roman"/>
      <w:bCs/>
      <w:iCs/>
      <w:kern w:val="2"/>
      <w:sz w:val="28"/>
    </w:rPr>
  </w:style>
  <w:style w:type="paragraph" w:customStyle="1" w:styleId="1513">
    <w:name w:val="xl102"/>
    <w:basedOn w:val="1"/>
    <w:qFormat/>
    <w:uiPriority w:val="99"/>
    <w:pPr>
      <w:pBdr>
        <w:top w:val="single" w:color="auto" w:sz="4" w:space="0"/>
        <w:bottom w:val="single" w:color="auto" w:sz="4" w:space="0"/>
        <w:right w:val="single" w:color="auto" w:sz="8" w:space="0"/>
      </w:pBdr>
      <w:spacing w:before="100" w:beforeAutospacing="1" w:after="100" w:afterAutospacing="1"/>
    </w:pPr>
    <w:rPr>
      <w:rFonts w:ascii="Arial Unicode MS" w:hAnsi="Arial Unicode MS" w:eastAsia="Arial Unicode MS" w:cs="Arial Unicode MS"/>
    </w:rPr>
  </w:style>
  <w:style w:type="paragraph" w:customStyle="1" w:styleId="1514">
    <w:name w:val="列表 4J"/>
    <w:basedOn w:val="71"/>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515">
    <w:name w:val="奉读大示，心折殊深。"/>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516">
    <w:name w:val="16"/>
    <w:basedOn w:val="1"/>
    <w:qFormat/>
    <w:uiPriority w:val="0"/>
    <w:pPr>
      <w:spacing w:before="100" w:beforeAutospacing="1" w:after="100" w:afterAutospacing="1"/>
    </w:pPr>
  </w:style>
  <w:style w:type="paragraph" w:customStyle="1" w:styleId="1517">
    <w:name w:val="acee正文"/>
    <w:basedOn w:val="1"/>
    <w:qFormat/>
    <w:uiPriority w:val="99"/>
    <w:pPr>
      <w:widowControl w:val="0"/>
      <w:adjustRightInd w:val="0"/>
      <w:snapToGrid w:val="0"/>
      <w:spacing w:line="480" w:lineRule="exact"/>
      <w:ind w:firstLine="640" w:firstLineChars="200"/>
      <w:jc w:val="both"/>
    </w:pPr>
    <w:rPr>
      <w:rFonts w:ascii="仿宋_GB2312" w:eastAsia="仿宋_GB2312" w:cs="Times New Roman"/>
      <w:kern w:val="2"/>
      <w:sz w:val="32"/>
    </w:rPr>
  </w:style>
  <w:style w:type="paragraph" w:customStyle="1" w:styleId="1518">
    <w:name w:val="列表 2C"/>
    <w:basedOn w:val="37"/>
    <w:qFormat/>
    <w:uiPriority w:val="99"/>
    <w:pPr>
      <w:tabs>
        <w:tab w:val="left" w:pos="1275"/>
      </w:tabs>
      <w:snapToGrid/>
      <w:spacing w:before="100" w:beforeAutospacing="1" w:after="100" w:afterAutospacing="1" w:line="288" w:lineRule="auto"/>
      <w:ind w:left="1275" w:hanging="705"/>
      <w:jc w:val="both"/>
    </w:pPr>
    <w:rPr>
      <w:rFonts w:ascii="Arial" w:hAnsi="Arial"/>
      <w:color w:val="FFFF99"/>
      <w:sz w:val="24"/>
    </w:rPr>
  </w:style>
  <w:style w:type="paragraph" w:customStyle="1" w:styleId="1519">
    <w:name w:val="xl99"/>
    <w:basedOn w:val="1"/>
    <w:qFormat/>
    <w:uiPriority w:val="99"/>
    <w:pPr>
      <w:pBdr>
        <w:top w:val="single" w:color="auto" w:sz="8" w:space="0"/>
        <w:left w:val="single" w:color="auto" w:sz="8" w:space="0"/>
        <w:bottom w:val="single" w:color="auto" w:sz="4" w:space="0"/>
      </w:pBdr>
      <w:spacing w:before="100" w:beforeAutospacing="1" w:after="100" w:afterAutospacing="1"/>
      <w:jc w:val="center"/>
    </w:pPr>
    <w:rPr>
      <w:rFonts w:ascii="Arial Unicode MS" w:hAnsi="Arial Unicode MS" w:eastAsia="Arial Unicode MS" w:cs="Arial Unicode MS"/>
      <w:sz w:val="16"/>
      <w:szCs w:val="16"/>
    </w:rPr>
  </w:style>
  <w:style w:type="paragraph" w:customStyle="1" w:styleId="1520">
    <w:name w:val="图目"/>
    <w:basedOn w:val="1"/>
    <w:qFormat/>
    <w:uiPriority w:val="99"/>
    <w:pPr>
      <w:widowControl w:val="0"/>
      <w:adjustRightInd w:val="0"/>
      <w:spacing w:line="0" w:lineRule="atLeast"/>
      <w:jc w:val="center"/>
      <w:textAlignment w:val="baseline"/>
    </w:pPr>
    <w:rPr>
      <w:rFonts w:ascii="Arial" w:hAnsi="Arial" w:cs="Arial"/>
      <w:kern w:val="2"/>
      <w:sz w:val="21"/>
      <w:szCs w:val="20"/>
    </w:rPr>
  </w:style>
  <w:style w:type="paragraph" w:customStyle="1" w:styleId="1521">
    <w:name w:val="样式 黑体 居中 行距: 1.5 倍行距"/>
    <w:basedOn w:val="1"/>
    <w:qFormat/>
    <w:uiPriority w:val="0"/>
    <w:pPr>
      <w:widowControl w:val="0"/>
      <w:spacing w:line="360" w:lineRule="auto"/>
      <w:jc w:val="center"/>
    </w:pPr>
    <w:rPr>
      <w:rFonts w:ascii="黑体" w:hAnsi="黑体" w:eastAsia="黑体"/>
      <w:szCs w:val="20"/>
    </w:rPr>
  </w:style>
  <w:style w:type="paragraph" w:customStyle="1" w:styleId="1522">
    <w:name w:val="Char Char Char Char Char Char Char Char Char Char Char Char1 Char2"/>
    <w:basedOn w:val="1"/>
    <w:next w:val="1"/>
    <w:qFormat/>
    <w:uiPriority w:val="99"/>
    <w:pPr>
      <w:widowControl w:val="0"/>
      <w:spacing w:line="336" w:lineRule="auto"/>
      <w:ind w:firstLine="200" w:firstLineChars="200"/>
      <w:jc w:val="both"/>
    </w:pPr>
    <w:rPr>
      <w:rFonts w:eastAsia="汉鼎简书宋"/>
      <w:kern w:val="2"/>
    </w:rPr>
  </w:style>
  <w:style w:type="paragraph" w:customStyle="1" w:styleId="1523">
    <w:name w:val="内蒙3"/>
    <w:basedOn w:val="7"/>
    <w:qFormat/>
    <w:uiPriority w:val="99"/>
    <w:pPr>
      <w:widowControl w:val="0"/>
      <w:adjustRightInd w:val="0"/>
      <w:snapToGrid w:val="0"/>
      <w:spacing w:line="480" w:lineRule="exact"/>
      <w:jc w:val="both"/>
    </w:pPr>
    <w:rPr>
      <w:b/>
      <w:color w:val="FF0000"/>
      <w:spacing w:val="20"/>
      <w:sz w:val="24"/>
    </w:rPr>
  </w:style>
  <w:style w:type="paragraph" w:customStyle="1" w:styleId="1524">
    <w:name w:val="样式 标题 1 + (中文) 黑体 三号 居中 行距: 单倍行距"/>
    <w:basedOn w:val="4"/>
    <w:qFormat/>
    <w:uiPriority w:val="99"/>
    <w:pPr>
      <w:keepNext/>
      <w:keepLines/>
      <w:topLinePunct/>
      <w:autoSpaceDE w:val="0"/>
      <w:autoSpaceDN w:val="0"/>
      <w:adjustRightInd w:val="0"/>
      <w:snapToGrid w:val="0"/>
      <w:spacing w:before="340" w:after="330"/>
      <w:ind w:firstLine="538" w:firstLineChars="224"/>
    </w:pPr>
    <w:rPr>
      <w:rFonts w:ascii="宋体" w:hAnsi="Times New Roman" w:cs="宋体"/>
      <w:b/>
      <w:snapToGrid w:val="0"/>
      <w:kern w:val="44"/>
      <w:szCs w:val="20"/>
    </w:rPr>
  </w:style>
  <w:style w:type="paragraph" w:customStyle="1" w:styleId="1525">
    <w:name w:val="t12"/>
    <w:basedOn w:val="1"/>
    <w:qFormat/>
    <w:uiPriority w:val="99"/>
    <w:pPr>
      <w:spacing w:before="100" w:beforeAutospacing="1" w:after="100" w:afterAutospacing="1"/>
    </w:pPr>
  </w:style>
  <w:style w:type="paragraph" w:customStyle="1" w:styleId="1526">
    <w:name w:val="列表 2X"/>
    <w:basedOn w:val="37"/>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527">
    <w:name w:val="文字表格"/>
    <w:basedOn w:val="131"/>
    <w:qFormat/>
    <w:uiPriority w:val="99"/>
    <w:pPr>
      <w:widowControl w:val="0"/>
      <w:tabs>
        <w:tab w:val="clear" w:pos="146"/>
      </w:tabs>
      <w:autoSpaceDE w:val="0"/>
      <w:autoSpaceDN w:val="0"/>
      <w:adjustRightInd w:val="0"/>
      <w:snapToGrid w:val="0"/>
      <w:spacing w:line="360" w:lineRule="atLeast"/>
      <w:ind w:right="0" w:rightChars="0" w:firstLine="0"/>
    </w:pPr>
    <w:rPr>
      <w:rFonts w:ascii="Times New Roman" w:hAnsi="Times New Roman" w:cs="宋体"/>
      <w:snapToGrid w:val="0"/>
      <w:color w:val="000000"/>
      <w:spacing w:val="0"/>
      <w:sz w:val="20"/>
      <w:szCs w:val="21"/>
      <w:lang w:val="zh-CN"/>
    </w:rPr>
  </w:style>
  <w:style w:type="paragraph" w:customStyle="1" w:styleId="1528">
    <w:name w:val="xl77"/>
    <w:basedOn w:val="1"/>
    <w:qFormat/>
    <w:uiPriority w:val="99"/>
    <w:pPr>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529">
    <w:name w:val="s0"/>
    <w:qFormat/>
    <w:uiPriority w:val="99"/>
    <w:pPr>
      <w:widowControl w:val="0"/>
      <w:autoSpaceDE w:val="0"/>
      <w:autoSpaceDN w:val="0"/>
      <w:adjustRightInd w:val="0"/>
    </w:pPr>
    <w:rPr>
      <w:rFonts w:ascii="????" w:hAnsi="Times New Roman" w:eastAsia="????" w:cs="Times New Roman"/>
      <w:lang w:val="en-US" w:eastAsia="zh-CN" w:bidi="ar-SA"/>
    </w:rPr>
  </w:style>
  <w:style w:type="paragraph" w:customStyle="1" w:styleId="1530">
    <w:name w:val="xl108"/>
    <w:basedOn w:val="1"/>
    <w:qFormat/>
    <w:uiPriority w:val="99"/>
    <w:pPr>
      <w:pBdr>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531">
    <w:name w:val="列表 3M"/>
    <w:basedOn w:val="14"/>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532">
    <w:name w:val="正文文本缩进 31"/>
    <w:basedOn w:val="1"/>
    <w:qFormat/>
    <w:uiPriority w:val="99"/>
    <w:pPr>
      <w:widowControl w:val="0"/>
      <w:adjustRightInd w:val="0"/>
      <w:spacing w:line="360" w:lineRule="atLeast"/>
      <w:ind w:firstLine="480"/>
      <w:jc w:val="both"/>
      <w:textAlignment w:val="baseline"/>
    </w:pPr>
    <w:rPr>
      <w:rFonts w:hAnsi="Times New Roman" w:cs="Times New Roman"/>
      <w:szCs w:val="20"/>
    </w:rPr>
  </w:style>
  <w:style w:type="paragraph" w:customStyle="1" w:styleId="1533">
    <w:name w:val="列表 2M"/>
    <w:basedOn w:val="37"/>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534">
    <w:name w:val="表样式"/>
    <w:basedOn w:val="1031"/>
    <w:qFormat/>
    <w:uiPriority w:val="99"/>
    <w:pPr>
      <w:keepNext w:val="0"/>
      <w:widowControl w:val="0"/>
      <w:spacing w:beforeLines="0" w:line="240" w:lineRule="auto"/>
    </w:pPr>
    <w:rPr>
      <w:rFonts w:ascii="仿宋_GB2312" w:eastAsia="黑体"/>
      <w:sz w:val="21"/>
    </w:rPr>
  </w:style>
  <w:style w:type="paragraph" w:customStyle="1" w:styleId="1535">
    <w:name w:val="列表 3G"/>
    <w:basedOn w:val="14"/>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536">
    <w:name w:val="默认段落字体 Para Char Char Char Char Char Char Char"/>
    <w:basedOn w:val="1"/>
    <w:qFormat/>
    <w:uiPriority w:val="99"/>
    <w:pPr>
      <w:widowControl w:val="0"/>
      <w:jc w:val="both"/>
    </w:pPr>
    <w:rPr>
      <w:rFonts w:ascii="Times New Roman" w:hAnsi="Times New Roman" w:cs="Times New Roman"/>
      <w:kern w:val="2"/>
      <w:sz w:val="21"/>
    </w:rPr>
  </w:style>
  <w:style w:type="paragraph" w:customStyle="1" w:styleId="1537">
    <w:name w:val="Char Char Char Char Char Char Char Char Char Char Char Char Char Char Char Char Char Char Char"/>
    <w:basedOn w:val="1"/>
    <w:qFormat/>
    <w:uiPriority w:val="99"/>
    <w:pPr>
      <w:widowControl w:val="0"/>
      <w:jc w:val="both"/>
    </w:pPr>
    <w:rPr>
      <w:rFonts w:ascii="Times New Roman" w:hAnsi="Times New Roman" w:eastAsia="仿宋_GB2312" w:cs="Times New Roman"/>
      <w:kern w:val="2"/>
      <w:sz w:val="21"/>
      <w:szCs w:val="21"/>
    </w:rPr>
  </w:style>
  <w:style w:type="paragraph" w:customStyle="1" w:styleId="1538">
    <w:name w:val="样式 标题 1 + 黑体 三号 居中 行距: 固定值 20 磅"/>
    <w:basedOn w:val="4"/>
    <w:qFormat/>
    <w:uiPriority w:val="99"/>
    <w:pPr>
      <w:keepNext/>
      <w:keepLines/>
      <w:topLinePunct/>
      <w:autoSpaceDE w:val="0"/>
      <w:autoSpaceDN w:val="0"/>
      <w:adjustRightInd w:val="0"/>
      <w:snapToGrid w:val="0"/>
      <w:spacing w:before="340" w:after="330" w:line="400" w:lineRule="exact"/>
      <w:ind w:firstLine="538" w:firstLineChars="224"/>
    </w:pPr>
    <w:rPr>
      <w:rFonts w:ascii="黑体" w:hAnsi="黑体" w:cs="宋体"/>
      <w:b/>
      <w:snapToGrid w:val="0"/>
      <w:kern w:val="44"/>
      <w:szCs w:val="20"/>
    </w:rPr>
  </w:style>
  <w:style w:type="paragraph" w:customStyle="1" w:styleId="1539">
    <w:name w:val="论文正文"/>
    <w:basedOn w:val="1"/>
    <w:qFormat/>
    <w:uiPriority w:val="0"/>
    <w:pPr>
      <w:widowControl w:val="0"/>
      <w:ind w:firstLine="567"/>
      <w:jc w:val="both"/>
    </w:pPr>
    <w:rPr>
      <w:rFonts w:ascii="Times New Roman" w:hAnsi="Times New Roman" w:cs="Times New Roman"/>
      <w:kern w:val="2"/>
      <w:sz w:val="28"/>
      <w:szCs w:val="20"/>
    </w:rPr>
  </w:style>
  <w:style w:type="paragraph" w:customStyle="1" w:styleId="1540">
    <w:name w:val="样式 标题2　自动设置"/>
    <w:basedOn w:val="5"/>
    <w:qFormat/>
    <w:uiPriority w:val="99"/>
    <w:pPr>
      <w:widowControl w:val="0"/>
      <w:tabs>
        <w:tab w:val="left" w:pos="576"/>
      </w:tabs>
      <w:spacing w:beforeLines="50" w:afterLines="50" w:line="240" w:lineRule="auto"/>
      <w:ind w:left="576" w:hanging="576"/>
      <w:jc w:val="both"/>
    </w:pPr>
    <w:rPr>
      <w:rFonts w:ascii="宋体" w:hAnsi="宋体" w:eastAsia="宋体" w:cs="宋体"/>
      <w:b/>
      <w:szCs w:val="20"/>
    </w:rPr>
  </w:style>
  <w:style w:type="paragraph" w:customStyle="1" w:styleId="1541">
    <w:name w:val="标题样式4"/>
    <w:basedOn w:val="8"/>
    <w:qFormat/>
    <w:uiPriority w:val="99"/>
    <w:pPr>
      <w:keepNext w:val="0"/>
      <w:keepLines w:val="0"/>
      <w:widowControl w:val="0"/>
      <w:tabs>
        <w:tab w:val="left" w:pos="360"/>
      </w:tabs>
      <w:spacing w:line="360" w:lineRule="auto"/>
      <w:jc w:val="both"/>
    </w:pPr>
    <w:rPr>
      <w:rFonts w:ascii="黑体" w:eastAsia="黑体" w:cs="Times New Roman"/>
      <w:b/>
      <w:bCs/>
      <w:sz w:val="28"/>
      <w:szCs w:val="24"/>
    </w:rPr>
  </w:style>
  <w:style w:type="paragraph" w:customStyle="1" w:styleId="1542">
    <w:name w:val="列表 3D"/>
    <w:basedOn w:val="14"/>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543">
    <w:name w:val="font14"/>
    <w:basedOn w:val="1"/>
    <w:qFormat/>
    <w:uiPriority w:val="99"/>
    <w:pPr>
      <w:spacing w:before="100" w:beforeAutospacing="1" w:after="100" w:afterAutospacing="1"/>
    </w:pPr>
    <w:rPr>
      <w:rFonts w:hint="eastAsia" w:cs="Arial Unicode MS"/>
      <w:b/>
      <w:bCs/>
      <w:sz w:val="16"/>
      <w:szCs w:val="16"/>
    </w:rPr>
  </w:style>
  <w:style w:type="paragraph" w:customStyle="1" w:styleId="1544">
    <w:name w:val="正文文本最新 Char Char Char1 Char Char Char Char Char"/>
    <w:qFormat/>
    <w:uiPriority w:val="99"/>
    <w:pPr>
      <w:spacing w:line="360" w:lineRule="auto"/>
      <w:ind w:firstLine="200" w:firstLineChars="200"/>
      <w:jc w:val="both"/>
    </w:pPr>
    <w:rPr>
      <w:rFonts w:ascii="Times New Roman" w:hAnsi="Times New Roman" w:eastAsia="宋体" w:cs="Times New Roman"/>
      <w:bCs/>
      <w:kern w:val="2"/>
      <w:sz w:val="28"/>
      <w:szCs w:val="24"/>
      <w:lang w:val="en-US" w:eastAsia="zh-CN" w:bidi="ar-SA"/>
    </w:rPr>
  </w:style>
  <w:style w:type="paragraph" w:customStyle="1" w:styleId="1545">
    <w:name w:val="正文文本缩进 21"/>
    <w:basedOn w:val="1"/>
    <w:qFormat/>
    <w:uiPriority w:val="99"/>
    <w:pPr>
      <w:widowControl w:val="0"/>
      <w:adjustRightInd w:val="0"/>
      <w:spacing w:line="360" w:lineRule="auto"/>
      <w:ind w:firstLine="510"/>
      <w:jc w:val="both"/>
      <w:textAlignment w:val="baseline"/>
    </w:pPr>
    <w:rPr>
      <w:rFonts w:cs="Times New Roman"/>
      <w:kern w:val="2"/>
      <w:sz w:val="28"/>
      <w:szCs w:val="20"/>
    </w:rPr>
  </w:style>
  <w:style w:type="paragraph" w:customStyle="1" w:styleId="1546">
    <w:name w:val="列表 5P"/>
    <w:basedOn w:val="65"/>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547">
    <w:name w:val="Char22"/>
    <w:basedOn w:val="1"/>
    <w:qFormat/>
    <w:uiPriority w:val="99"/>
    <w:pPr>
      <w:widowControl w:val="0"/>
      <w:spacing w:line="360" w:lineRule="auto"/>
      <w:ind w:firstLine="200" w:firstLineChars="200"/>
      <w:jc w:val="both"/>
    </w:pPr>
    <w:rPr>
      <w:kern w:val="2"/>
    </w:rPr>
  </w:style>
  <w:style w:type="paragraph" w:customStyle="1" w:styleId="1548">
    <w:name w:val="列表 4E"/>
    <w:basedOn w:val="71"/>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549">
    <w:name w:val="样式 标题 1章1.标题 1章节H1一、标题标题 1PartHeading 1pHeading 1p1Hea..."/>
    <w:basedOn w:val="4"/>
    <w:qFormat/>
    <w:uiPriority w:val="99"/>
    <w:pPr>
      <w:keepNext/>
      <w:keepLines/>
      <w:tabs>
        <w:tab w:val="left" w:pos="0"/>
        <w:tab w:val="left" w:pos="1260"/>
      </w:tabs>
      <w:adjustRightInd w:val="0"/>
      <w:spacing w:line="240" w:lineRule="atLeast"/>
      <w:ind w:left="896" w:hanging="420"/>
      <w:textAlignment w:val="baseline"/>
    </w:pPr>
    <w:rPr>
      <w:rFonts w:ascii="Times New Roman" w:hAnsi="Times New Roman"/>
      <w:bCs/>
      <w:color w:val="000000"/>
      <w:kern w:val="44"/>
      <w:sz w:val="30"/>
      <w:szCs w:val="30"/>
    </w:rPr>
  </w:style>
  <w:style w:type="paragraph" w:customStyle="1" w:styleId="1550">
    <w:name w:val="Char3"/>
    <w:basedOn w:val="1"/>
    <w:qFormat/>
    <w:uiPriority w:val="99"/>
    <w:pPr>
      <w:widowControl w:val="0"/>
      <w:jc w:val="both"/>
    </w:pPr>
    <w:rPr>
      <w:rFonts w:ascii="Times New Roman" w:hAnsi="Times New Roman" w:cs="Times New Roman"/>
      <w:kern w:val="2"/>
      <w:sz w:val="21"/>
    </w:rPr>
  </w:style>
  <w:style w:type="paragraph" w:customStyle="1" w:styleId="1551">
    <w:name w:val="列表 2A"/>
    <w:basedOn w:val="37"/>
    <w:qFormat/>
    <w:uiPriority w:val="99"/>
    <w:pPr>
      <w:tabs>
        <w:tab w:val="left" w:pos="1335"/>
      </w:tabs>
      <w:snapToGrid/>
      <w:spacing w:before="100" w:beforeAutospacing="1" w:after="100" w:afterAutospacing="1" w:line="288" w:lineRule="auto"/>
      <w:ind w:left="1335" w:hanging="705"/>
      <w:jc w:val="both"/>
    </w:pPr>
    <w:rPr>
      <w:rFonts w:ascii="Arial" w:hAnsi="Arial"/>
      <w:color w:val="FFFF99"/>
      <w:sz w:val="24"/>
    </w:rPr>
  </w:style>
  <w:style w:type="paragraph" w:customStyle="1" w:styleId="1552">
    <w:name w:val="hb3"/>
    <w:basedOn w:val="7"/>
    <w:qFormat/>
    <w:uiPriority w:val="99"/>
    <w:pPr>
      <w:widowControl w:val="0"/>
      <w:adjustRightInd w:val="0"/>
      <w:spacing w:before="260" w:after="260"/>
      <w:textAlignment w:val="baseline"/>
    </w:pPr>
    <w:rPr>
      <w:rFonts w:eastAsia="宋体"/>
      <w:b/>
      <w:bCs w:val="0"/>
      <w:sz w:val="28"/>
      <w:szCs w:val="28"/>
    </w:rPr>
  </w:style>
  <w:style w:type="paragraph" w:customStyle="1" w:styleId="1553">
    <w:name w:val="列表 4Y"/>
    <w:basedOn w:val="71"/>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554">
    <w:name w:val="列表 2P"/>
    <w:basedOn w:val="37"/>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555">
    <w:name w:val="样式 标题 1一、1.标题 1标题 1 Char标1章节标题-*+章标题 1文章标题h11st level..."/>
    <w:basedOn w:val="4"/>
    <w:qFormat/>
    <w:uiPriority w:val="99"/>
    <w:pPr>
      <w:widowControl w:val="0"/>
      <w:tabs>
        <w:tab w:val="left" w:pos="57"/>
      </w:tabs>
      <w:adjustRightInd w:val="0"/>
      <w:snapToGrid w:val="0"/>
      <w:spacing w:before="240" w:afterLines="50" w:line="312" w:lineRule="auto"/>
      <w:ind w:right="227"/>
      <w:jc w:val="both"/>
      <w:textAlignment w:val="baseline"/>
    </w:pPr>
    <w:rPr>
      <w:rFonts w:ascii="Times New Roman" w:hAnsi="Times New Roman"/>
      <w:bCs/>
      <w:snapToGrid w:val="0"/>
      <w:kern w:val="0"/>
      <w:sz w:val="36"/>
      <w:szCs w:val="20"/>
    </w:rPr>
  </w:style>
  <w:style w:type="paragraph" w:customStyle="1" w:styleId="1556">
    <w:name w:val="环保表内字（五号）"/>
    <w:basedOn w:val="1"/>
    <w:qFormat/>
    <w:uiPriority w:val="0"/>
    <w:pPr>
      <w:widowControl w:val="0"/>
      <w:jc w:val="both"/>
    </w:pPr>
    <w:rPr>
      <w:rFonts w:ascii="Times New Roman" w:hAnsi="Times New Roman"/>
      <w:kern w:val="2"/>
      <w:sz w:val="21"/>
      <w:szCs w:val="21"/>
    </w:rPr>
  </w:style>
  <w:style w:type="paragraph" w:customStyle="1" w:styleId="1557">
    <w:name w:val="目录"/>
    <w:basedOn w:val="57"/>
    <w:qFormat/>
    <w:uiPriority w:val="99"/>
    <w:pPr>
      <w:widowControl w:val="0"/>
      <w:tabs>
        <w:tab w:val="right" w:leader="dot" w:pos="9060"/>
      </w:tabs>
      <w:spacing w:line="420" w:lineRule="atLeast"/>
      <w:jc w:val="center"/>
    </w:pPr>
    <w:rPr>
      <w:rFonts w:ascii="黑体" w:hAnsi="Times New Roman"/>
      <w:b w:val="0"/>
      <w:caps w:val="0"/>
      <w:spacing w:val="12"/>
      <w:kern w:val="44"/>
      <w:sz w:val="44"/>
    </w:rPr>
  </w:style>
  <w:style w:type="paragraph" w:customStyle="1" w:styleId="1558">
    <w:name w:val="赵文本"/>
    <w:basedOn w:val="1"/>
    <w:qFormat/>
    <w:uiPriority w:val="0"/>
    <w:pPr>
      <w:widowControl w:val="0"/>
      <w:ind w:firstLine="480" w:firstLineChars="200"/>
    </w:pPr>
    <w:rPr>
      <w:rFonts w:ascii="Times New Roman" w:hAnsi="Times New Roman" w:eastAsia="仿宋_GB2312" w:cs="Times New Roman"/>
      <w:kern w:val="2"/>
      <w:szCs w:val="32"/>
    </w:rPr>
  </w:style>
  <w:style w:type="paragraph" w:customStyle="1" w:styleId="1559">
    <w:name w:val="正文11 Char Char"/>
    <w:basedOn w:val="1"/>
    <w:qFormat/>
    <w:uiPriority w:val="99"/>
    <w:pPr>
      <w:widowControl w:val="0"/>
      <w:adjustRightInd w:val="0"/>
      <w:spacing w:line="360" w:lineRule="auto"/>
      <w:ind w:left="6" w:firstLine="474"/>
      <w:textAlignment w:val="baseline"/>
    </w:pPr>
    <w:rPr>
      <w:rFonts w:eastAsia="仿宋_GB2312" w:cs="Times New Roman"/>
      <w:snapToGrid w:val="0"/>
    </w:rPr>
  </w:style>
  <w:style w:type="paragraph" w:customStyle="1" w:styleId="1560">
    <w:name w:val="列表 5F"/>
    <w:basedOn w:val="65"/>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561">
    <w:name w:val="样式 黑色 首行缩进:  2 字符"/>
    <w:basedOn w:val="1"/>
    <w:qFormat/>
    <w:uiPriority w:val="99"/>
    <w:pPr>
      <w:widowControl w:val="0"/>
      <w:spacing w:line="360" w:lineRule="auto"/>
      <w:ind w:firstLine="560" w:firstLineChars="200"/>
      <w:jc w:val="both"/>
    </w:pPr>
    <w:rPr>
      <w:rFonts w:hAnsi="Times New Roman"/>
      <w:color w:val="000000"/>
      <w:kern w:val="2"/>
      <w:sz w:val="28"/>
      <w:szCs w:val="28"/>
    </w:rPr>
  </w:style>
  <w:style w:type="paragraph" w:customStyle="1" w:styleId="1562">
    <w:name w:val="列出段落1"/>
    <w:basedOn w:val="1"/>
    <w:qFormat/>
    <w:uiPriority w:val="0"/>
    <w:pPr>
      <w:widowControl w:val="0"/>
      <w:ind w:firstLine="420" w:firstLineChars="200"/>
      <w:jc w:val="both"/>
    </w:pPr>
    <w:rPr>
      <w:rFonts w:ascii="Calibri" w:hAnsi="Calibri" w:cs="Times New Roman"/>
      <w:kern w:val="2"/>
      <w:sz w:val="21"/>
      <w:szCs w:val="20"/>
    </w:rPr>
  </w:style>
  <w:style w:type="paragraph" w:customStyle="1" w:styleId="1563">
    <w:name w:val="列表 4H"/>
    <w:basedOn w:val="71"/>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564">
    <w:name w:val="表头1"/>
    <w:basedOn w:val="1"/>
    <w:qFormat/>
    <w:uiPriority w:val="0"/>
    <w:pPr>
      <w:widowControl w:val="0"/>
      <w:jc w:val="center"/>
    </w:pPr>
    <w:rPr>
      <w:rFonts w:ascii="Times New Roman" w:hAnsi="Times New Roman" w:cs="Times New Roman"/>
      <w:bCs/>
      <w:kern w:val="2"/>
      <w:sz w:val="18"/>
    </w:rPr>
  </w:style>
  <w:style w:type="paragraph" w:customStyle="1" w:styleId="1565">
    <w:name w:val="列表 2F"/>
    <w:basedOn w:val="37"/>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566">
    <w:name w:val="基准页眉样式"/>
    <w:basedOn w:val="32"/>
    <w:qFormat/>
    <w:uiPriority w:val="99"/>
    <w:pPr>
      <w:keepLines/>
      <w:tabs>
        <w:tab w:val="center" w:pos="4320"/>
        <w:tab w:val="right" w:pos="8640"/>
      </w:tabs>
      <w:spacing w:line="280" w:lineRule="exact"/>
      <w:jc w:val="center"/>
    </w:pPr>
    <w:rPr>
      <w:rFonts w:ascii="Times New Roman" w:hAnsi="Times New Roman"/>
      <w:color w:val="auto"/>
      <w:kern w:val="0"/>
      <w:sz w:val="30"/>
      <w:szCs w:val="20"/>
    </w:rPr>
  </w:style>
  <w:style w:type="paragraph" w:customStyle="1" w:styleId="1567">
    <w:name w:val="Char Char Char Char Char Char1 Char2"/>
    <w:basedOn w:val="1"/>
    <w:qFormat/>
    <w:uiPriority w:val="99"/>
    <w:pPr>
      <w:widowControl w:val="0"/>
      <w:jc w:val="both"/>
    </w:pPr>
    <w:rPr>
      <w:rFonts w:ascii="Times New Roman" w:hAnsi="Times New Roman" w:cs="Times New Roman"/>
      <w:kern w:val="2"/>
      <w:sz w:val="21"/>
    </w:rPr>
  </w:style>
  <w:style w:type="paragraph" w:customStyle="1" w:styleId="1568">
    <w:name w:val="正文文本 21"/>
    <w:basedOn w:val="1"/>
    <w:qFormat/>
    <w:uiPriority w:val="0"/>
    <w:pPr>
      <w:widowControl w:val="0"/>
      <w:adjustRightInd w:val="0"/>
      <w:ind w:left="425"/>
      <w:textAlignment w:val="baseline"/>
    </w:pPr>
    <w:rPr>
      <w:rFonts w:hAnsi="Times New Roman" w:cs="Times New Roman"/>
      <w:szCs w:val="20"/>
    </w:rPr>
  </w:style>
  <w:style w:type="paragraph" w:customStyle="1" w:styleId="1569">
    <w:name w:val="Pa0"/>
    <w:basedOn w:val="1"/>
    <w:next w:val="1"/>
    <w:qFormat/>
    <w:uiPriority w:val="99"/>
    <w:pPr>
      <w:widowControl w:val="0"/>
      <w:autoSpaceDE w:val="0"/>
      <w:autoSpaceDN w:val="0"/>
      <w:adjustRightInd w:val="0"/>
      <w:spacing w:line="241" w:lineRule="atLeast"/>
    </w:pPr>
    <w:rPr>
      <w:rFonts w:ascii="黑体" w:hAnsi="Times New Roman" w:eastAsia="黑体" w:cs="Times New Roman"/>
    </w:rPr>
  </w:style>
  <w:style w:type="paragraph" w:customStyle="1" w:styleId="1570">
    <w:name w:val="列表 2I"/>
    <w:basedOn w:val="37"/>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571">
    <w:name w:val="图表目录2"/>
    <w:basedOn w:val="264"/>
    <w:next w:val="264"/>
    <w:qFormat/>
    <w:uiPriority w:val="99"/>
    <w:pPr>
      <w:tabs>
        <w:tab w:val="right" w:leader="dot" w:pos="8051"/>
      </w:tabs>
      <w:ind w:left="840" w:hanging="840"/>
    </w:pPr>
    <w:rPr>
      <w:sz w:val="24"/>
    </w:rPr>
  </w:style>
  <w:style w:type="paragraph" w:customStyle="1" w:styleId="1572">
    <w:name w:val="sec（1）"/>
    <w:basedOn w:val="1"/>
    <w:qFormat/>
    <w:uiPriority w:val="99"/>
    <w:pPr>
      <w:widowControl w:val="0"/>
      <w:tabs>
        <w:tab w:val="left" w:pos="1134"/>
      </w:tabs>
      <w:spacing w:beforeLines="20" w:afterLines="20"/>
      <w:ind w:left="1134" w:hanging="964"/>
      <w:jc w:val="both"/>
    </w:pPr>
    <w:rPr>
      <w:rFonts w:cs="Times New Roman"/>
      <w:color w:val="000000"/>
      <w:kern w:val="2"/>
      <w:szCs w:val="20"/>
    </w:rPr>
  </w:style>
  <w:style w:type="paragraph" w:customStyle="1" w:styleId="1573">
    <w:name w:val="列表 3I"/>
    <w:basedOn w:val="14"/>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574">
    <w:name w:val="样式 行距: 1.5 倍行距"/>
    <w:basedOn w:val="1"/>
    <w:qFormat/>
    <w:uiPriority w:val="99"/>
    <w:pPr>
      <w:widowControl w:val="0"/>
      <w:spacing w:line="360" w:lineRule="auto"/>
      <w:ind w:firstLine="200" w:firstLineChars="200"/>
      <w:jc w:val="both"/>
    </w:pPr>
    <w:rPr>
      <w:rFonts w:ascii="Times New Roman" w:hAnsi="Times New Roman"/>
      <w:kern w:val="2"/>
    </w:rPr>
  </w:style>
  <w:style w:type="paragraph" w:customStyle="1" w:styleId="1575">
    <w:name w:val="图1-1"/>
    <w:basedOn w:val="291"/>
    <w:qFormat/>
    <w:uiPriority w:val="99"/>
    <w:pPr>
      <w:keepLines/>
      <w:tabs>
        <w:tab w:val="clear" w:pos="0"/>
      </w:tabs>
      <w:spacing w:line="240" w:lineRule="auto"/>
      <w:ind w:firstLine="0" w:firstLineChars="0"/>
      <w:jc w:val="center"/>
    </w:pPr>
    <w:rPr>
      <w:rFonts w:ascii="Times New Roman"/>
      <w:b w:val="0"/>
      <w:sz w:val="21"/>
      <w:szCs w:val="24"/>
    </w:rPr>
  </w:style>
  <w:style w:type="paragraph" w:customStyle="1" w:styleId="1576">
    <w:name w:val="列表 3N"/>
    <w:basedOn w:val="14"/>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577">
    <w:name w:val="列表 4T"/>
    <w:basedOn w:val="71"/>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578">
    <w:name w:val="列表 3C"/>
    <w:basedOn w:val="14"/>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579">
    <w:name w:val="正文5"/>
    <w:qFormat/>
    <w:uiPriority w:val="99"/>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1580">
    <w:name w:val="样式 样式 标题 3H3H31H32H33u3条标题1.1.1Heading 3 - oldBold Headbh... + 非..."/>
    <w:basedOn w:val="1228"/>
    <w:next w:val="1228"/>
    <w:qFormat/>
    <w:uiPriority w:val="99"/>
    <w:rPr>
      <w:b w:val="0"/>
      <w:bCs w:val="0"/>
    </w:rPr>
  </w:style>
  <w:style w:type="paragraph" w:customStyle="1" w:styleId="1581">
    <w:name w:val="列表 N"/>
    <w:basedOn w:val="3"/>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582">
    <w:name w:val="样式 湛江钢铁正文 +"/>
    <w:basedOn w:val="1"/>
    <w:qFormat/>
    <w:uiPriority w:val="99"/>
    <w:pPr>
      <w:widowControl w:val="0"/>
      <w:adjustRightInd w:val="0"/>
      <w:spacing w:afterLines="25" w:line="360" w:lineRule="auto"/>
      <w:ind w:firstLine="480" w:firstLineChars="200"/>
      <w:textAlignment w:val="baseline"/>
    </w:pPr>
    <w:rPr>
      <w:rFonts w:ascii="Times New Roman" w:hAnsi="Times New Roman" w:eastAsia="仿宋_GB2312" w:cs="Times New Roman"/>
      <w:color w:val="000000"/>
    </w:rPr>
  </w:style>
  <w:style w:type="paragraph" w:customStyle="1" w:styleId="1583">
    <w:name w:val="列表 2O"/>
    <w:basedOn w:val="37"/>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584">
    <w:name w:val="a4"/>
    <w:basedOn w:val="1"/>
    <w:qFormat/>
    <w:uiPriority w:val="99"/>
    <w:pPr>
      <w:spacing w:before="100" w:beforeAutospacing="1" w:after="100" w:afterAutospacing="1"/>
    </w:pPr>
    <w:rPr>
      <w:rFonts w:ascii="Arial Unicode MS" w:hAnsi="Arial Unicode MS" w:eastAsia="Arial Unicode MS" w:cs="Arial Unicode MS"/>
    </w:rPr>
  </w:style>
  <w:style w:type="paragraph" w:customStyle="1" w:styleId="1585">
    <w:name w:val="日期11"/>
    <w:basedOn w:val="1"/>
    <w:next w:val="1"/>
    <w:qFormat/>
    <w:uiPriority w:val="99"/>
    <w:pPr>
      <w:widowControl w:val="0"/>
      <w:adjustRightInd w:val="0"/>
      <w:spacing w:line="360" w:lineRule="atLeast"/>
      <w:jc w:val="both"/>
      <w:textAlignment w:val="baseline"/>
    </w:pPr>
    <w:rPr>
      <w:rFonts w:hAnsi="Times New Roman" w:cs="Times New Roman"/>
      <w:spacing w:val="20"/>
      <w:sz w:val="28"/>
      <w:szCs w:val="20"/>
    </w:rPr>
  </w:style>
  <w:style w:type="paragraph" w:customStyle="1" w:styleId="1586">
    <w:name w:val="Char Char Char1 Char2"/>
    <w:basedOn w:val="1"/>
    <w:qFormat/>
    <w:uiPriority w:val="99"/>
    <w:pPr>
      <w:widowControl w:val="0"/>
      <w:jc w:val="both"/>
    </w:pPr>
    <w:rPr>
      <w:rFonts w:ascii="Times New Roman" w:hAnsi="Times New Roman" w:cs="Times New Roman"/>
      <w:kern w:val="2"/>
      <w:sz w:val="21"/>
    </w:rPr>
  </w:style>
  <w:style w:type="paragraph" w:customStyle="1" w:styleId="1587">
    <w:name w:val="表体"/>
    <w:basedOn w:val="1"/>
    <w:qFormat/>
    <w:uiPriority w:val="99"/>
    <w:pPr>
      <w:widowControl w:val="0"/>
      <w:adjustRightInd w:val="0"/>
      <w:snapToGrid w:val="0"/>
      <w:spacing w:beforeLines="20" w:afterLines="20"/>
      <w:jc w:val="center"/>
    </w:pPr>
    <w:rPr>
      <w:rFonts w:ascii="Times New Roman" w:hAnsi="Times New Roman" w:cs="Times New Roman"/>
      <w:kern w:val="2"/>
      <w:sz w:val="21"/>
    </w:rPr>
  </w:style>
  <w:style w:type="paragraph" w:customStyle="1" w:styleId="1588">
    <w:name w:val="reader-word-layer reader-word-s1-2"/>
    <w:basedOn w:val="1"/>
    <w:qFormat/>
    <w:uiPriority w:val="99"/>
    <w:pPr>
      <w:spacing w:before="100" w:beforeAutospacing="1" w:after="100" w:afterAutospacing="1"/>
    </w:pPr>
  </w:style>
  <w:style w:type="paragraph" w:customStyle="1" w:styleId="1589">
    <w:name w:val="样式 标题 2H2节标题 1.1节标题 1.1 Char1.1  标题 2  节标题 1.1第一章 标题 2Head..."/>
    <w:basedOn w:val="5"/>
    <w:qFormat/>
    <w:uiPriority w:val="99"/>
    <w:pPr>
      <w:widowControl w:val="0"/>
      <w:spacing w:line="360" w:lineRule="auto"/>
      <w:jc w:val="both"/>
    </w:pPr>
    <w:rPr>
      <w:rFonts w:ascii="Times New Roman" w:hAnsi="Times New Roman" w:eastAsia="宋体" w:cs="宋体"/>
      <w:b/>
      <w:sz w:val="24"/>
      <w:szCs w:val="20"/>
    </w:rPr>
  </w:style>
  <w:style w:type="paragraph" w:customStyle="1" w:styleId="1590">
    <w:name w:val="a"/>
    <w:basedOn w:val="1"/>
    <w:qFormat/>
    <w:uiPriority w:val="99"/>
    <w:pPr>
      <w:spacing w:before="100" w:beforeAutospacing="1" w:after="100" w:afterAutospacing="1"/>
    </w:pPr>
    <w:rPr>
      <w:rFonts w:ascii="Arial Unicode MS" w:hAnsi="Arial Unicode MS" w:eastAsia="Arial Unicode MS" w:cs="Arial Unicode MS"/>
    </w:rPr>
  </w:style>
  <w:style w:type="paragraph" w:customStyle="1" w:styleId="1591">
    <w:name w:val="样式 目录 2 + 左侧:  2 字符 首行缩进:  2 字符"/>
    <w:basedOn w:val="68"/>
    <w:qFormat/>
    <w:uiPriority w:val="99"/>
    <w:pPr>
      <w:tabs>
        <w:tab w:val="right" w:leader="dot" w:pos="8296"/>
        <w:tab w:val="right" w:leader="dot" w:pos="9060"/>
      </w:tabs>
      <w:snapToGrid w:val="0"/>
      <w:spacing w:after="40" w:line="360" w:lineRule="auto"/>
      <w:ind w:left="0" w:firstLine="476"/>
      <w:jc w:val="both"/>
    </w:pPr>
    <w:rPr>
      <w:rFonts w:ascii="Times New Roman" w:eastAsia="黑体" w:cs="宋体"/>
      <w:spacing w:val="20"/>
      <w:sz w:val="24"/>
    </w:rPr>
  </w:style>
  <w:style w:type="paragraph" w:customStyle="1" w:styleId="1592">
    <w:name w:val="样式 标题 2H2H21b2h2l22nd levelTitre22Header 2sect 1.2DO ..."/>
    <w:basedOn w:val="5"/>
    <w:qFormat/>
    <w:uiPriority w:val="99"/>
    <w:pPr>
      <w:widowControl w:val="0"/>
      <w:spacing w:before="240" w:after="240" w:line="240" w:lineRule="auto"/>
      <w:jc w:val="both"/>
    </w:pPr>
    <w:rPr>
      <w:rFonts w:ascii="Times New Roman" w:hAnsi="Times New Roman"/>
      <w:color w:val="FF0000"/>
      <w:spacing w:val="20"/>
      <w:szCs w:val="20"/>
    </w:rPr>
  </w:style>
  <w:style w:type="paragraph" w:customStyle="1" w:styleId="1593">
    <w:name w:val="Char Char Char Char Char Char1 Char Char Char Char1"/>
    <w:basedOn w:val="1"/>
    <w:qFormat/>
    <w:uiPriority w:val="99"/>
    <w:pPr>
      <w:widowControl w:val="0"/>
      <w:jc w:val="both"/>
    </w:pPr>
    <w:rPr>
      <w:rFonts w:ascii="Times New Roman" w:hAnsi="Times New Roman" w:cs="Times New Roman"/>
      <w:kern w:val="2"/>
      <w:sz w:val="21"/>
    </w:rPr>
  </w:style>
  <w:style w:type="paragraph" w:customStyle="1" w:styleId="1594">
    <w:name w:val="报告书"/>
    <w:basedOn w:val="1"/>
    <w:qFormat/>
    <w:uiPriority w:val="99"/>
    <w:pPr>
      <w:widowControl w:val="0"/>
      <w:autoSpaceDE w:val="0"/>
      <w:autoSpaceDN w:val="0"/>
      <w:adjustRightInd w:val="0"/>
      <w:spacing w:line="360" w:lineRule="auto"/>
      <w:ind w:firstLine="505"/>
      <w:textAlignment w:val="bottom"/>
    </w:pPr>
    <w:rPr>
      <w:rFonts w:ascii="Times New Roman" w:hAnsi="Times New Roman" w:cs="Times New Roman"/>
      <w:szCs w:val="20"/>
    </w:rPr>
  </w:style>
  <w:style w:type="paragraph" w:customStyle="1" w:styleId="1595">
    <w:name w:val="lyh 0.0.0.0"/>
    <w:next w:val="1"/>
    <w:qFormat/>
    <w:uiPriority w:val="0"/>
    <w:pPr>
      <w:adjustRightInd w:val="0"/>
      <w:snapToGrid w:val="0"/>
      <w:spacing w:line="360" w:lineRule="auto"/>
      <w:outlineLvl w:val="3"/>
    </w:pPr>
    <w:rPr>
      <w:rFonts w:ascii="宋体" w:hAnsi="宋体" w:eastAsia="宋体" w:cs="Times New Roman"/>
      <w:sz w:val="28"/>
      <w:szCs w:val="24"/>
      <w:lang w:val="en-US" w:eastAsia="zh-CN" w:bidi="ar-SA"/>
    </w:rPr>
  </w:style>
  <w:style w:type="paragraph" w:customStyle="1" w:styleId="1596">
    <w:name w:val="样式 (符号) 宋体 首行缩进:  0.93 厘米 段前: 6 磅 段后: 6 磅 行距: 固定值 18 磅1"/>
    <w:basedOn w:val="1"/>
    <w:qFormat/>
    <w:uiPriority w:val="0"/>
    <w:pPr>
      <w:widowControl w:val="0"/>
      <w:spacing w:before="160" w:after="160" w:line="320" w:lineRule="exact"/>
      <w:ind w:firstLine="527"/>
      <w:jc w:val="both"/>
    </w:pPr>
    <w:rPr>
      <w:rFonts w:ascii="Times New Roman" w:cs="Times New Roman"/>
      <w:kern w:val="2"/>
      <w:szCs w:val="20"/>
    </w:rPr>
  </w:style>
  <w:style w:type="paragraph" w:customStyle="1" w:styleId="1597">
    <w:name w:val="二级标题"/>
    <w:basedOn w:val="1"/>
    <w:next w:val="1"/>
    <w:qFormat/>
    <w:uiPriority w:val="0"/>
    <w:pPr>
      <w:keepNext/>
      <w:widowControl w:val="0"/>
      <w:adjustRightInd w:val="0"/>
      <w:spacing w:before="240" w:after="240" w:line="312" w:lineRule="atLeast"/>
      <w:jc w:val="center"/>
    </w:pPr>
    <w:rPr>
      <w:rFonts w:ascii="Times New Roman" w:hAnsi="Times New Roman" w:cs="Times New Roman"/>
      <w:sz w:val="28"/>
      <w:szCs w:val="20"/>
    </w:rPr>
  </w:style>
  <w:style w:type="paragraph" w:customStyle="1" w:styleId="1598">
    <w:name w:val="尾注文本11"/>
    <w:basedOn w:val="213"/>
    <w:qFormat/>
    <w:uiPriority w:val="99"/>
    <w:rPr>
      <w:sz w:val="21"/>
    </w:rPr>
  </w:style>
  <w:style w:type="paragraph" w:customStyle="1" w:styleId="1599">
    <w:name w:val="Char Char Char Char Char Char Char Char Char Char Char Char1 Char Char Char Char Char Char Char Char Char Char Char Char1 Char2"/>
    <w:basedOn w:val="1"/>
    <w:next w:val="1"/>
    <w:qFormat/>
    <w:uiPriority w:val="0"/>
    <w:pPr>
      <w:widowControl w:val="0"/>
      <w:spacing w:line="336" w:lineRule="auto"/>
      <w:ind w:firstLine="200" w:firstLineChars="200"/>
      <w:jc w:val="both"/>
    </w:pPr>
    <w:rPr>
      <w:rFonts w:eastAsia="汉鼎简书宋"/>
      <w:kern w:val="2"/>
    </w:rPr>
  </w:style>
  <w:style w:type="paragraph" w:customStyle="1" w:styleId="1600">
    <w:name w:val="正文文本缩进 32"/>
    <w:basedOn w:val="1"/>
    <w:qFormat/>
    <w:uiPriority w:val="99"/>
    <w:pPr>
      <w:widowControl w:val="0"/>
      <w:adjustRightInd w:val="0"/>
      <w:spacing w:line="360" w:lineRule="atLeast"/>
      <w:ind w:firstLine="480"/>
      <w:jc w:val="both"/>
      <w:textAlignment w:val="baseline"/>
    </w:pPr>
    <w:rPr>
      <w:rFonts w:hAnsi="Times New Roman" w:cs="Times New Roman"/>
      <w:szCs w:val="20"/>
    </w:rPr>
  </w:style>
  <w:style w:type="paragraph" w:customStyle="1" w:styleId="1601">
    <w:name w:val="正文文本缩进 211"/>
    <w:basedOn w:val="1"/>
    <w:qFormat/>
    <w:uiPriority w:val="99"/>
    <w:pPr>
      <w:widowControl w:val="0"/>
      <w:adjustRightInd w:val="0"/>
      <w:spacing w:line="360" w:lineRule="auto"/>
      <w:ind w:firstLine="510"/>
      <w:jc w:val="both"/>
      <w:textAlignment w:val="baseline"/>
    </w:pPr>
    <w:rPr>
      <w:rFonts w:cs="Times New Roman"/>
      <w:kern w:val="2"/>
      <w:sz w:val="28"/>
      <w:szCs w:val="20"/>
    </w:rPr>
  </w:style>
  <w:style w:type="paragraph" w:customStyle="1" w:styleId="1602">
    <w:name w:val="内蒙图"/>
    <w:basedOn w:val="1145"/>
    <w:qFormat/>
    <w:uiPriority w:val="99"/>
    <w:pPr>
      <w:jc w:val="center"/>
    </w:pPr>
    <w:rPr>
      <w:rFonts w:eastAsia="黑体"/>
    </w:rPr>
  </w:style>
  <w:style w:type="paragraph" w:customStyle="1" w:styleId="1603">
    <w:name w:val="Char4 Char Char Char Char Char Char11"/>
    <w:basedOn w:val="1"/>
    <w:qFormat/>
    <w:uiPriority w:val="99"/>
    <w:pPr>
      <w:widowControl w:val="0"/>
      <w:spacing w:line="360" w:lineRule="auto"/>
      <w:ind w:firstLine="200" w:firstLineChars="200"/>
      <w:jc w:val="both"/>
    </w:pPr>
    <w:rPr>
      <w:kern w:val="2"/>
    </w:rPr>
  </w:style>
  <w:style w:type="paragraph" w:customStyle="1" w:styleId="1604">
    <w:name w:val="xl123"/>
    <w:basedOn w:val="1"/>
    <w:qFormat/>
    <w:uiPriority w:val="99"/>
    <w:pPr>
      <w:pBdr>
        <w:left w:val="single" w:color="auto" w:sz="4" w:space="0"/>
        <w:bottom w:val="single" w:color="auto" w:sz="4" w:space="0"/>
        <w:right w:val="single" w:color="auto" w:sz="8" w:space="0"/>
      </w:pBdr>
      <w:spacing w:before="100" w:beforeAutospacing="1" w:after="100" w:afterAutospacing="1"/>
      <w:jc w:val="right"/>
    </w:pPr>
    <w:rPr>
      <w:rFonts w:ascii="Arial Unicode MS" w:hAnsi="Arial Unicode MS" w:eastAsia="Arial Unicode MS" w:cs="Arial Unicode MS"/>
    </w:rPr>
  </w:style>
  <w:style w:type="paragraph" w:customStyle="1" w:styleId="1605">
    <w:name w:val="表的格式（小四）"/>
    <w:basedOn w:val="1"/>
    <w:qFormat/>
    <w:uiPriority w:val="99"/>
    <w:pPr>
      <w:widowControl w:val="0"/>
      <w:adjustRightInd w:val="0"/>
      <w:spacing w:line="360" w:lineRule="atLeast"/>
      <w:jc w:val="center"/>
    </w:pPr>
    <w:rPr>
      <w:rFonts w:ascii="Times New Roman" w:hAnsi="Times New Roman" w:cs="Times New Roman"/>
      <w:szCs w:val="20"/>
    </w:rPr>
  </w:style>
  <w:style w:type="paragraph" w:customStyle="1" w:styleId="1606">
    <w:name w:val="项目符号2"/>
    <w:basedOn w:val="1607"/>
    <w:qFormat/>
    <w:uiPriority w:val="0"/>
    <w:pPr>
      <w:tabs>
        <w:tab w:val="left" w:pos="1146"/>
      </w:tabs>
      <w:spacing w:line="312" w:lineRule="auto"/>
      <w:ind w:left="850" w:hanging="720"/>
    </w:pPr>
    <w:rPr>
      <w:b/>
    </w:rPr>
  </w:style>
  <w:style w:type="paragraph" w:customStyle="1" w:styleId="1607">
    <w:name w:val="项目符号1"/>
    <w:basedOn w:val="1"/>
    <w:qFormat/>
    <w:uiPriority w:val="0"/>
    <w:pPr>
      <w:widowControl w:val="0"/>
      <w:spacing w:line="336" w:lineRule="auto"/>
      <w:jc w:val="both"/>
    </w:pPr>
    <w:rPr>
      <w:rFonts w:ascii="Times New Roman" w:hAnsi="Times New Roman" w:cs="Times New Roman"/>
      <w:kern w:val="2"/>
      <w:szCs w:val="20"/>
    </w:rPr>
  </w:style>
  <w:style w:type="paragraph" w:customStyle="1" w:styleId="1608">
    <w:name w:val="正文4"/>
    <w:qFormat/>
    <w:uiPriority w:val="99"/>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1609">
    <w:name w:val="公式样式1"/>
    <w:basedOn w:val="1"/>
    <w:qFormat/>
    <w:uiPriority w:val="99"/>
    <w:pPr>
      <w:widowControl w:val="0"/>
      <w:jc w:val="center"/>
    </w:pPr>
    <w:rPr>
      <w:rFonts w:ascii="Times New Roman" w:hAnsi="Times New Roman" w:cs="Times New Roman"/>
      <w:kern w:val="2"/>
      <w:sz w:val="21"/>
      <w:szCs w:val="21"/>
    </w:rPr>
  </w:style>
  <w:style w:type="paragraph" w:customStyle="1" w:styleId="1610">
    <w:name w:val="列出段落2"/>
    <w:basedOn w:val="1"/>
    <w:qFormat/>
    <w:uiPriority w:val="99"/>
    <w:pPr>
      <w:widowControl w:val="0"/>
      <w:ind w:firstLine="420" w:firstLineChars="200"/>
      <w:jc w:val="both"/>
    </w:pPr>
    <w:rPr>
      <w:rFonts w:ascii="Calibri" w:hAnsi="Calibri" w:cs="Times New Roman"/>
      <w:kern w:val="2"/>
      <w:sz w:val="21"/>
      <w:szCs w:val="20"/>
    </w:rPr>
  </w:style>
  <w:style w:type="paragraph" w:customStyle="1" w:styleId="1611">
    <w:name w:val="页脚3"/>
    <w:basedOn w:val="264"/>
    <w:qFormat/>
    <w:uiPriority w:val="99"/>
    <w:pPr>
      <w:tabs>
        <w:tab w:val="center" w:pos="4153"/>
        <w:tab w:val="right" w:pos="8306"/>
      </w:tabs>
      <w:spacing w:line="240" w:lineRule="atLeast"/>
    </w:pPr>
    <w:rPr>
      <w:sz w:val="18"/>
    </w:rPr>
  </w:style>
  <w:style w:type="paragraph" w:customStyle="1" w:styleId="1612">
    <w:name w:val="尾注文本2"/>
    <w:basedOn w:val="264"/>
    <w:qFormat/>
    <w:uiPriority w:val="99"/>
    <w:rPr>
      <w:sz w:val="21"/>
    </w:rPr>
  </w:style>
  <w:style w:type="paragraph" w:customStyle="1" w:styleId="1613">
    <w:name w:val="正文文本缩进 22"/>
    <w:basedOn w:val="1"/>
    <w:qFormat/>
    <w:uiPriority w:val="99"/>
    <w:pPr>
      <w:widowControl w:val="0"/>
      <w:adjustRightInd w:val="0"/>
      <w:spacing w:line="360" w:lineRule="auto"/>
      <w:ind w:firstLine="510"/>
      <w:jc w:val="both"/>
      <w:textAlignment w:val="baseline"/>
    </w:pPr>
    <w:rPr>
      <w:rFonts w:cs="Times New Roman"/>
      <w:kern w:val="2"/>
      <w:sz w:val="28"/>
      <w:szCs w:val="20"/>
    </w:rPr>
  </w:style>
  <w:style w:type="paragraph" w:customStyle="1" w:styleId="1614">
    <w:name w:val="Char Char Char Char Char Char Char Char Char Char Char11"/>
    <w:basedOn w:val="1"/>
    <w:qFormat/>
    <w:uiPriority w:val="0"/>
    <w:pPr>
      <w:widowControl w:val="0"/>
      <w:jc w:val="both"/>
    </w:pPr>
    <w:rPr>
      <w:rFonts w:ascii="Times New Roman" w:hAnsi="Times New Roman" w:cs="Times New Roman"/>
      <w:kern w:val="2"/>
      <w:sz w:val="21"/>
    </w:rPr>
  </w:style>
  <w:style w:type="paragraph" w:customStyle="1" w:styleId="1615">
    <w:name w:val="样式 样式 标题 4款标题1.1.1.1 南陵标题 4标题 4 CharH4PIM 4h4First Subheadin... ..."/>
    <w:basedOn w:val="1038"/>
    <w:qFormat/>
    <w:uiPriority w:val="0"/>
    <w:pPr>
      <w:jc w:val="left"/>
    </w:pPr>
    <w:rPr>
      <w:kern w:val="2"/>
    </w:rPr>
  </w:style>
  <w:style w:type="paragraph" w:customStyle="1" w:styleId="1616">
    <w:name w:val="reader-word-layer reader-word-s33-6"/>
    <w:basedOn w:val="1"/>
    <w:qFormat/>
    <w:uiPriority w:val="99"/>
    <w:pPr>
      <w:spacing w:before="100" w:beforeAutospacing="1" w:after="100" w:afterAutospacing="1"/>
    </w:pPr>
  </w:style>
  <w:style w:type="paragraph" w:customStyle="1" w:styleId="1617">
    <w:name w:val="CSI  Body 2"/>
    <w:basedOn w:val="1"/>
    <w:qFormat/>
    <w:uiPriority w:val="99"/>
    <w:pPr>
      <w:spacing w:after="240"/>
      <w:ind w:left="1440"/>
    </w:pPr>
    <w:rPr>
      <w:rFonts w:ascii="Arial" w:hAnsi="Arial" w:eastAsia="Batang" w:cs="Times New Roman"/>
      <w:lang w:eastAsia="ko-KR"/>
    </w:rPr>
  </w:style>
  <w:style w:type="paragraph" w:customStyle="1" w:styleId="1618">
    <w:name w:val="表格文字2wj"/>
    <w:qFormat/>
    <w:uiPriority w:val="99"/>
    <w:pPr>
      <w:adjustRightInd w:val="0"/>
      <w:snapToGrid w:val="0"/>
      <w:jc w:val="center"/>
    </w:pPr>
    <w:rPr>
      <w:rFonts w:ascii="Times New Roman" w:hAnsi="Times New Roman" w:eastAsia="宋体" w:cs="Times New Roman"/>
      <w:sz w:val="21"/>
      <w:szCs w:val="21"/>
      <w:lang w:val="en-US" w:eastAsia="zh-CN" w:bidi="ar-SA"/>
    </w:rPr>
  </w:style>
  <w:style w:type="paragraph" w:customStyle="1" w:styleId="1619">
    <w:name w:val="正文编号"/>
    <w:basedOn w:val="1"/>
    <w:qFormat/>
    <w:uiPriority w:val="99"/>
    <w:pPr>
      <w:widowControl w:val="0"/>
      <w:tabs>
        <w:tab w:val="left" w:pos="726"/>
      </w:tabs>
      <w:adjustRightInd w:val="0"/>
      <w:spacing w:line="300" w:lineRule="auto"/>
      <w:ind w:left="2" w:firstLine="4"/>
      <w:textAlignment w:val="baseline"/>
    </w:pPr>
    <w:rPr>
      <w:rFonts w:eastAsia="仿宋_GB2312" w:cs="Times New Roman"/>
      <w:snapToGrid w:val="0"/>
    </w:rPr>
  </w:style>
  <w:style w:type="paragraph" w:customStyle="1" w:styleId="1620">
    <w:name w:val="样式 样式 标题 3 + 段前: 1 行 段后: 1 行 + 段前: 0.5 行1"/>
    <w:basedOn w:val="1"/>
    <w:qFormat/>
    <w:uiPriority w:val="99"/>
    <w:pPr>
      <w:keepNext/>
      <w:tabs>
        <w:tab w:val="left" w:pos="1931"/>
      </w:tabs>
      <w:overflowPunct w:val="0"/>
      <w:autoSpaceDE w:val="0"/>
      <w:autoSpaceDN w:val="0"/>
      <w:adjustRightInd w:val="0"/>
      <w:snapToGrid w:val="0"/>
      <w:spacing w:beforeLines="50" w:after="240"/>
      <w:ind w:left="1418" w:hanging="567"/>
      <w:textAlignment w:val="baseline"/>
      <w:outlineLvl w:val="2"/>
    </w:pPr>
    <w:rPr>
      <w:rFonts w:ascii="Times New Roman" w:hAnsi="Times New Roman" w:eastAsia="黑体"/>
      <w:bCs/>
      <w:color w:val="000000"/>
      <w:kern w:val="10"/>
      <w:sz w:val="28"/>
      <w:szCs w:val="28"/>
    </w:rPr>
  </w:style>
  <w:style w:type="paragraph" w:customStyle="1" w:styleId="1621">
    <w:name w:val="修订1"/>
    <w:semiHidden/>
    <w:qFormat/>
    <w:uiPriority w:val="99"/>
    <w:rPr>
      <w:rFonts w:ascii="Calibri" w:hAnsi="Calibri" w:eastAsia="宋体" w:cs="Times New Roman"/>
      <w:kern w:val="2"/>
      <w:sz w:val="21"/>
      <w:szCs w:val="22"/>
      <w:lang w:val="en-US" w:eastAsia="zh-CN" w:bidi="ar-SA"/>
    </w:rPr>
  </w:style>
  <w:style w:type="paragraph" w:customStyle="1" w:styleId="1622">
    <w:name w:val="正文（英）"/>
    <w:basedOn w:val="1"/>
    <w:qFormat/>
    <w:uiPriority w:val="99"/>
    <w:pPr>
      <w:widowControl w:val="0"/>
      <w:adjustRightInd w:val="0"/>
      <w:jc w:val="both"/>
      <w:textAlignment w:val="baseline"/>
    </w:pPr>
    <w:rPr>
      <w:rFonts w:ascii="Arial" w:hAnsi="Arial" w:eastAsia="仿宋_GB2312" w:cs="Times New Roman"/>
      <w:color w:val="FF0000"/>
    </w:rPr>
  </w:style>
  <w:style w:type="paragraph" w:customStyle="1" w:styleId="1623">
    <w:name w:val="样式 楷体_GB2312 居中"/>
    <w:basedOn w:val="1"/>
    <w:qFormat/>
    <w:uiPriority w:val="99"/>
    <w:pPr>
      <w:widowControl w:val="0"/>
      <w:spacing w:line="360" w:lineRule="auto"/>
      <w:jc w:val="center"/>
    </w:pPr>
    <w:rPr>
      <w:rFonts w:ascii="楷体_GB2312" w:hAnsi="Times New Roman" w:eastAsia="楷体_GB2312" w:cs="Times New Roman"/>
      <w:kern w:val="2"/>
      <w:sz w:val="21"/>
      <w:szCs w:val="20"/>
    </w:rPr>
  </w:style>
  <w:style w:type="paragraph" w:customStyle="1" w:styleId="1624">
    <w:name w:val="表格单位"/>
    <w:basedOn w:val="1"/>
    <w:qFormat/>
    <w:uiPriority w:val="99"/>
    <w:pPr>
      <w:widowControl w:val="0"/>
      <w:spacing w:line="240" w:lineRule="atLeast"/>
      <w:jc w:val="right"/>
    </w:pPr>
    <w:rPr>
      <w:rFonts w:ascii="Times New Roman" w:hAnsi="Times New Roman" w:eastAsia="仿宋_GB2312" w:cs="Times New Roman"/>
      <w:kern w:val="2"/>
      <w:sz w:val="18"/>
    </w:rPr>
  </w:style>
  <w:style w:type="paragraph" w:customStyle="1" w:styleId="1625">
    <w:name w:val="SCIDI章标题"/>
    <w:basedOn w:val="5"/>
    <w:next w:val="1"/>
    <w:qFormat/>
    <w:uiPriority w:val="99"/>
    <w:pPr>
      <w:widowControl w:val="0"/>
      <w:adjustRightInd w:val="0"/>
      <w:snapToGrid w:val="0"/>
      <w:spacing w:after="260" w:line="360" w:lineRule="auto"/>
      <w:jc w:val="center"/>
    </w:pPr>
    <w:rPr>
      <w:rFonts w:ascii="Times New Roman" w:hAnsi="Times New Roman" w:eastAsia="宋体"/>
      <w:sz w:val="32"/>
    </w:rPr>
  </w:style>
  <w:style w:type="paragraph" w:customStyle="1" w:styleId="1626">
    <w:name w:val="style3"/>
    <w:basedOn w:val="1"/>
    <w:qFormat/>
    <w:uiPriority w:val="99"/>
    <w:pPr>
      <w:spacing w:before="100" w:beforeAutospacing="1" w:after="100" w:afterAutospacing="1"/>
    </w:pPr>
    <w:rPr>
      <w:rFonts w:eastAsia="仿宋_GB2312"/>
    </w:rPr>
  </w:style>
  <w:style w:type="paragraph" w:customStyle="1" w:styleId="1627">
    <w:name w:val="Char1 Char Char"/>
    <w:basedOn w:val="1"/>
    <w:qFormat/>
    <w:uiPriority w:val="99"/>
    <w:pPr>
      <w:widowControl w:val="0"/>
      <w:jc w:val="both"/>
    </w:pPr>
    <w:rPr>
      <w:rFonts w:ascii="Times New Roman" w:hAnsi="Times New Roman" w:eastAsia="仿宋_GB2312" w:cs="Times New Roman"/>
      <w:kern w:val="2"/>
      <w:sz w:val="21"/>
      <w:szCs w:val="21"/>
    </w:rPr>
  </w:style>
  <w:style w:type="paragraph" w:customStyle="1" w:styleId="1628">
    <w:name w:val="style4"/>
    <w:basedOn w:val="1"/>
    <w:qFormat/>
    <w:uiPriority w:val="99"/>
    <w:pPr>
      <w:spacing w:before="100" w:beforeAutospacing="1" w:after="100" w:afterAutospacing="1"/>
    </w:pPr>
    <w:rPr>
      <w:rFonts w:cs="Times New Roman"/>
      <w:szCs w:val="20"/>
    </w:rPr>
  </w:style>
  <w:style w:type="paragraph" w:customStyle="1" w:styleId="1629">
    <w:name w:val="Char Char Char Char Char Char Char Char Char1 Char Char Char Char Char Char Char Char Char Char Char Char Char Char Char Char Char"/>
    <w:basedOn w:val="1"/>
    <w:qFormat/>
    <w:uiPriority w:val="99"/>
    <w:pPr>
      <w:widowControl w:val="0"/>
      <w:jc w:val="both"/>
    </w:pPr>
    <w:rPr>
      <w:rFonts w:ascii="Times New Roman" w:hAnsi="Times New Roman" w:eastAsia="仿宋_GB2312" w:cs="Times New Roman"/>
      <w:kern w:val="2"/>
      <w:sz w:val="21"/>
      <w:szCs w:val="21"/>
    </w:rPr>
  </w:style>
  <w:style w:type="paragraph" w:customStyle="1" w:styleId="1630">
    <w:name w:val="Char Char Char2"/>
    <w:basedOn w:val="1"/>
    <w:qFormat/>
    <w:uiPriority w:val="0"/>
    <w:pPr>
      <w:widowControl w:val="0"/>
      <w:jc w:val="both"/>
    </w:pPr>
    <w:rPr>
      <w:rFonts w:ascii="Tahoma" w:hAnsi="Tahoma" w:eastAsia="黑体" w:cs="Times New Roman"/>
      <w:kern w:val="2"/>
      <w:sz w:val="28"/>
      <w:szCs w:val="28"/>
    </w:rPr>
  </w:style>
  <w:style w:type="paragraph" w:customStyle="1" w:styleId="1631">
    <w:name w:val="字元 字元 Char Char 字元 字元1 Char Char Char1"/>
    <w:basedOn w:val="1"/>
    <w:qFormat/>
    <w:uiPriority w:val="99"/>
    <w:pPr>
      <w:widowControl w:val="0"/>
      <w:jc w:val="both"/>
    </w:pPr>
    <w:rPr>
      <w:rFonts w:ascii="Times New Roman" w:hAnsi="Times New Roman" w:cs="Times New Roman"/>
      <w:kern w:val="2"/>
    </w:rPr>
  </w:style>
  <w:style w:type="paragraph" w:customStyle="1" w:styleId="1632">
    <w:name w:val="Char1 Char Char Char Char Char Char2 Char Char Char Char Char Char Char Char Char Char Char Char Char Char Char Char Char Char1"/>
    <w:basedOn w:val="1"/>
    <w:qFormat/>
    <w:uiPriority w:val="99"/>
    <w:pPr>
      <w:widowControl w:val="0"/>
      <w:jc w:val="both"/>
    </w:pPr>
    <w:rPr>
      <w:rFonts w:ascii="Times New Roman" w:hAnsi="Times New Roman" w:cs="Times New Roman"/>
      <w:kern w:val="2"/>
      <w:sz w:val="21"/>
    </w:rPr>
  </w:style>
  <w:style w:type="paragraph" w:customStyle="1" w:styleId="1633">
    <w:name w:val="Char Char Char Char Char Char Char Char Char Char Char1 Char Char Char Char1"/>
    <w:basedOn w:val="1"/>
    <w:qFormat/>
    <w:uiPriority w:val="0"/>
    <w:pPr>
      <w:widowControl w:val="0"/>
      <w:jc w:val="both"/>
    </w:pPr>
    <w:rPr>
      <w:rFonts w:ascii="Times New Roman" w:hAnsi="Times New Roman" w:cs="Times New Roman"/>
      <w:kern w:val="2"/>
      <w:sz w:val="21"/>
    </w:rPr>
  </w:style>
  <w:style w:type="paragraph" w:customStyle="1" w:styleId="1634">
    <w:name w:val="lyh 0.0.0"/>
    <w:next w:val="1"/>
    <w:qFormat/>
    <w:uiPriority w:val="0"/>
    <w:pPr>
      <w:adjustRightInd w:val="0"/>
      <w:snapToGrid w:val="0"/>
      <w:spacing w:line="360" w:lineRule="auto"/>
      <w:outlineLvl w:val="2"/>
    </w:pPr>
    <w:rPr>
      <w:rFonts w:ascii="宋体" w:hAnsi="宋体" w:eastAsia="宋体" w:cs="Times New Roman"/>
      <w:b/>
      <w:sz w:val="28"/>
      <w:szCs w:val="24"/>
      <w:lang w:val="en-US" w:eastAsia="zh-CN" w:bidi="ar-SA"/>
    </w:rPr>
  </w:style>
  <w:style w:type="paragraph" w:customStyle="1" w:styleId="1635">
    <w:name w:val="Char Char Char Char Char Char Char Char Char Char Char"/>
    <w:basedOn w:val="1"/>
    <w:qFormat/>
    <w:uiPriority w:val="0"/>
    <w:pPr>
      <w:widowControl w:val="0"/>
      <w:jc w:val="both"/>
    </w:pPr>
    <w:rPr>
      <w:rFonts w:ascii="Times New Roman" w:hAnsi="Times New Roman" w:cs="Times New Roman"/>
      <w:kern w:val="2"/>
      <w:sz w:val="21"/>
    </w:rPr>
  </w:style>
  <w:style w:type="paragraph" w:customStyle="1" w:styleId="1636">
    <w:name w:val="小标题@"/>
    <w:basedOn w:val="1"/>
    <w:qFormat/>
    <w:uiPriority w:val="0"/>
    <w:pPr>
      <w:widowControl w:val="0"/>
      <w:tabs>
        <w:tab w:val="left" w:pos="840"/>
      </w:tabs>
      <w:adjustRightInd w:val="0"/>
      <w:spacing w:before="60" w:after="60"/>
      <w:ind w:left="828" w:hanging="348"/>
      <w:jc w:val="both"/>
      <w:textAlignment w:val="baseline"/>
    </w:pPr>
    <w:rPr>
      <w:rFonts w:ascii="Times New Roman" w:hAnsi="Times New Roman" w:cs="Times New Roman"/>
      <w:kern w:val="2"/>
      <w:szCs w:val="20"/>
    </w:rPr>
  </w:style>
  <w:style w:type="paragraph" w:customStyle="1" w:styleId="1637">
    <w:name w:val="4"/>
    <w:basedOn w:val="1"/>
    <w:next w:val="1"/>
    <w:qFormat/>
    <w:uiPriority w:val="0"/>
    <w:pPr>
      <w:widowControl w:val="0"/>
      <w:jc w:val="both"/>
    </w:pPr>
    <w:rPr>
      <w:rFonts w:hAnsi="Courier New" w:cs="Times New Roman"/>
      <w:kern w:val="2"/>
      <w:sz w:val="21"/>
      <w:szCs w:val="20"/>
    </w:rPr>
  </w:style>
  <w:style w:type="paragraph" w:customStyle="1" w:styleId="1638">
    <w:name w:val="样式 标题 1 + 左侧:  0 厘米 首行缩进:  0 厘米"/>
    <w:basedOn w:val="4"/>
    <w:qFormat/>
    <w:uiPriority w:val="0"/>
    <w:pPr>
      <w:keepNext/>
      <w:keepLines/>
      <w:widowControl w:val="0"/>
      <w:tabs>
        <w:tab w:val="left" w:pos="425"/>
        <w:tab w:val="left" w:pos="720"/>
        <w:tab w:val="left" w:pos="1200"/>
      </w:tabs>
      <w:spacing w:before="120" w:after="120"/>
      <w:ind w:left="720"/>
    </w:pPr>
    <w:rPr>
      <w:rFonts w:ascii="Times New Roman" w:hAnsi="Times New Roman"/>
      <w:b/>
      <w:bCs/>
      <w:color w:val="000000"/>
      <w:kern w:val="44"/>
      <w:sz w:val="28"/>
      <w:szCs w:val="28"/>
    </w:rPr>
  </w:style>
  <w:style w:type="paragraph" w:customStyle="1" w:styleId="1639">
    <w:name w:val="Char Char Char Char Char Char Char Char Char Char Char2"/>
    <w:basedOn w:val="1"/>
    <w:qFormat/>
    <w:uiPriority w:val="0"/>
    <w:pPr>
      <w:widowControl w:val="0"/>
      <w:jc w:val="both"/>
    </w:pPr>
    <w:rPr>
      <w:rFonts w:ascii="Times New Roman" w:hAnsi="Times New Roman" w:cs="Times New Roman"/>
      <w:kern w:val="2"/>
      <w:sz w:val="21"/>
    </w:rPr>
  </w:style>
  <w:style w:type="paragraph" w:customStyle="1" w:styleId="1640">
    <w:name w:val="副标题4"/>
    <w:basedOn w:val="1437"/>
    <w:qFormat/>
    <w:uiPriority w:val="0"/>
    <w:pPr>
      <w:tabs>
        <w:tab w:val="left" w:pos="1275"/>
        <w:tab w:val="left" w:pos="1575"/>
        <w:tab w:val="left" w:pos="2100"/>
        <w:tab w:val="clear" w:pos="672"/>
        <w:tab w:val="clear" w:pos="720"/>
      </w:tabs>
      <w:ind w:left="1275" w:hanging="705"/>
      <w:outlineLvl w:val="4"/>
    </w:pPr>
  </w:style>
  <w:style w:type="paragraph" w:customStyle="1" w:styleId="1641">
    <w:name w:val="样式 标题 1 + 首行缩进:  2 字符"/>
    <w:basedOn w:val="4"/>
    <w:next w:val="1150"/>
    <w:qFormat/>
    <w:uiPriority w:val="0"/>
    <w:pPr>
      <w:keepNext/>
      <w:widowControl w:val="0"/>
      <w:spacing w:line="720" w:lineRule="auto"/>
      <w:ind w:firstLine="200" w:firstLineChars="200"/>
      <w:jc w:val="center"/>
    </w:pPr>
    <w:rPr>
      <w:rFonts w:ascii="黑体" w:hAnsi="Times New Roman" w:cs="宋体"/>
      <w:b/>
      <w:sz w:val="36"/>
      <w:szCs w:val="20"/>
    </w:rPr>
  </w:style>
  <w:style w:type="paragraph" w:customStyle="1" w:styleId="1642">
    <w:name w:val="样式 Times New Roman 五号 居中"/>
    <w:basedOn w:val="1"/>
    <w:qFormat/>
    <w:uiPriority w:val="0"/>
    <w:pPr>
      <w:widowControl w:val="0"/>
      <w:jc w:val="center"/>
    </w:pPr>
    <w:rPr>
      <w:rFonts w:ascii="Times New Roman" w:hAnsi="Times New Roman"/>
      <w:kern w:val="2"/>
      <w:sz w:val="21"/>
      <w:szCs w:val="20"/>
    </w:rPr>
  </w:style>
  <w:style w:type="paragraph" w:customStyle="1" w:styleId="1643">
    <w:name w:val="Char Char Char Char Char Char Char Char Char Char Char1 Char Char Char Char Char Char Char1"/>
    <w:basedOn w:val="1"/>
    <w:qFormat/>
    <w:uiPriority w:val="0"/>
    <w:pPr>
      <w:widowControl w:val="0"/>
      <w:jc w:val="both"/>
    </w:pPr>
    <w:rPr>
      <w:rFonts w:ascii="Times New Roman" w:hAnsi="Times New Roman" w:cs="Times New Roman"/>
      <w:kern w:val="2"/>
      <w:sz w:val="21"/>
    </w:rPr>
  </w:style>
  <w:style w:type="paragraph" w:customStyle="1" w:styleId="1644">
    <w:name w:val="Char2 Char Char Char Char Char Char Char Char Char1"/>
    <w:basedOn w:val="1"/>
    <w:qFormat/>
    <w:uiPriority w:val="0"/>
    <w:pPr>
      <w:widowControl w:val="0"/>
      <w:spacing w:line="360" w:lineRule="auto"/>
      <w:ind w:firstLine="200" w:firstLineChars="200"/>
      <w:jc w:val="both"/>
    </w:pPr>
    <w:rPr>
      <w:kern w:val="2"/>
    </w:rPr>
  </w:style>
  <w:style w:type="paragraph" w:customStyle="1" w:styleId="1645">
    <w:name w:val="Char Char Char Char Char Char Char Char Char Char Char Char Char Char Char Char Char Char Char Char Char Char Char Char1"/>
    <w:basedOn w:val="1"/>
    <w:qFormat/>
    <w:uiPriority w:val="0"/>
    <w:pPr>
      <w:widowControl w:val="0"/>
      <w:jc w:val="both"/>
    </w:pPr>
    <w:rPr>
      <w:rFonts w:ascii="Times New Roman" w:hAnsi="Times New Roman" w:cs="Times New Roman"/>
      <w:kern w:val="2"/>
      <w:sz w:val="21"/>
    </w:rPr>
  </w:style>
  <w:style w:type="table" w:customStyle="1" w:styleId="1646">
    <w:name w:val="Table Normal"/>
    <w:unhideWhenUsed/>
    <w:qFormat/>
    <w:uiPriority w:val="0"/>
    <w:pPr>
      <w:widowControl w:val="0"/>
    </w:pPr>
    <w:rPr>
      <w:sz w:val="22"/>
      <w:szCs w:val="22"/>
      <w:lang w:eastAsia="en-US"/>
    </w:rPr>
    <w:tblPr>
      <w:tblCellMar>
        <w:top w:w="0" w:type="dxa"/>
        <w:left w:w="0" w:type="dxa"/>
        <w:bottom w:w="0" w:type="dxa"/>
        <w:right w:w="0" w:type="dxa"/>
      </w:tblCellMar>
    </w:tblPr>
  </w:style>
  <w:style w:type="table" w:customStyle="1" w:styleId="1647">
    <w:name w:val="HIT-EIA"/>
    <w:basedOn w:val="84"/>
    <w:qFormat/>
    <w:uiPriority w:val="0"/>
    <w:pPr>
      <w:jc w:val="center"/>
    </w:pPr>
    <w:rPr>
      <w:sz w:val="21"/>
      <w:szCs w:val="21"/>
    </w:rPr>
    <w:tblPr>
      <w:tblBorders>
        <w:insideH w:val="single" w:color="auto" w:sz="4" w:space="0"/>
        <w:insideV w:val="single" w:color="auto" w:sz="4" w:space="0"/>
      </w:tblBorders>
      <w:tblCellMar>
        <w:top w:w="0" w:type="dxa"/>
        <w:left w:w="108" w:type="dxa"/>
        <w:bottom w:w="0" w:type="dxa"/>
        <w:right w:w="108" w:type="dxa"/>
      </w:tblCellMar>
    </w:tblPr>
    <w:tcPr>
      <w:vAlign w:val="center"/>
    </w:tcPr>
    <w:tblStylePr w:type="firstRow">
      <w:rPr>
        <w:i/>
        <w:i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paragraph" w:customStyle="1" w:styleId="1648">
    <w:name w:val="Char Char Char Char Char Char Char9"/>
    <w:basedOn w:val="1"/>
    <w:qFormat/>
    <w:uiPriority w:val="0"/>
    <w:pPr>
      <w:widowControl w:val="0"/>
      <w:spacing w:line="360" w:lineRule="auto"/>
      <w:ind w:firstLine="200" w:firstLineChars="200"/>
      <w:jc w:val="both"/>
    </w:pPr>
    <w:rPr>
      <w:kern w:val="2"/>
      <w:szCs w:val="21"/>
    </w:rPr>
  </w:style>
  <w:style w:type="paragraph" w:customStyle="1" w:styleId="1649">
    <w:name w:val="环保表内字（小五）"/>
    <w:basedOn w:val="1556"/>
    <w:qFormat/>
    <w:uiPriority w:val="0"/>
    <w:pPr>
      <w:tabs>
        <w:tab w:val="left" w:pos="540"/>
        <w:tab w:val="left" w:pos="4095"/>
      </w:tabs>
      <w:topLinePunct/>
      <w:spacing w:line="240" w:lineRule="atLeast"/>
    </w:pPr>
    <w:rPr>
      <w:snapToGrid w:val="0"/>
      <w:sz w:val="18"/>
      <w:szCs w:val="20"/>
    </w:rPr>
  </w:style>
  <w:style w:type="paragraph" w:customStyle="1" w:styleId="1650">
    <w:name w:val="R-表中文字"/>
    <w:basedOn w:val="1"/>
    <w:qFormat/>
    <w:uiPriority w:val="6"/>
    <w:pPr>
      <w:jc w:val="center"/>
    </w:pPr>
  </w:style>
  <w:style w:type="paragraph" w:customStyle="1" w:styleId="1651">
    <w:name w:val="正文缩进2"/>
    <w:basedOn w:val="1"/>
    <w:qFormat/>
    <w:uiPriority w:val="0"/>
    <w:pPr>
      <w:widowControl w:val="0"/>
      <w:spacing w:line="520" w:lineRule="exact"/>
      <w:ind w:firstLine="624"/>
      <w:jc w:val="both"/>
    </w:pPr>
    <w:rPr>
      <w:rFonts w:ascii="Times New Roman" w:hAnsi="Times New Roman" w:cs="Times New Roman"/>
      <w:kern w:val="2"/>
      <w:sz w:val="28"/>
      <w:szCs w:val="20"/>
    </w:rPr>
  </w:style>
  <w:style w:type="paragraph" w:customStyle="1" w:styleId="1652">
    <w:name w:val="列出段落3"/>
    <w:basedOn w:val="1"/>
    <w:qFormat/>
    <w:uiPriority w:val="34"/>
    <w:pPr>
      <w:adjustRightInd w:val="0"/>
      <w:snapToGrid w:val="0"/>
      <w:spacing w:after="200"/>
      <w:ind w:firstLine="420" w:firstLineChars="200"/>
    </w:pPr>
    <w:rPr>
      <w:rFonts w:ascii="Tahoma" w:hAnsi="Tahoma" w:eastAsia="微软雅黑" w:cs="Times New Roman"/>
      <w:sz w:val="22"/>
      <w:szCs w:val="22"/>
    </w:rPr>
  </w:style>
  <w:style w:type="character" w:customStyle="1" w:styleId="1653">
    <w:name w:val="summary"/>
    <w:qFormat/>
    <w:uiPriority w:val="0"/>
    <w:rPr>
      <w:color w:val="999999"/>
      <w:sz w:val="18"/>
      <w:szCs w:val="18"/>
    </w:rPr>
  </w:style>
  <w:style w:type="character" w:customStyle="1" w:styleId="1654">
    <w:name w:val="answer-title2"/>
    <w:basedOn w:val="85"/>
    <w:qFormat/>
    <w:uiPriority w:val="0"/>
  </w:style>
  <w:style w:type="character" w:customStyle="1" w:styleId="1655">
    <w:name w:val="field-label10"/>
    <w:qFormat/>
    <w:uiPriority w:val="0"/>
    <w:rPr>
      <w:b/>
    </w:rPr>
  </w:style>
  <w:style w:type="character" w:customStyle="1" w:styleId="1656">
    <w:name w:val="bg"/>
    <w:qFormat/>
    <w:uiPriority w:val="0"/>
    <w:rPr>
      <w:shd w:val="clear" w:color="auto" w:fill="000000"/>
    </w:rPr>
  </w:style>
  <w:style w:type="character" w:customStyle="1" w:styleId="1657">
    <w:name w:val="bsharetext"/>
    <w:basedOn w:val="85"/>
    <w:qFormat/>
    <w:uiPriority w:val="0"/>
  </w:style>
  <w:style w:type="character" w:customStyle="1" w:styleId="1658">
    <w:name w:val="fontstyle01"/>
    <w:qFormat/>
    <w:uiPriority w:val="0"/>
    <w:rPr>
      <w:rFonts w:hint="eastAsia" w:ascii="宋体" w:hAnsi="宋体" w:eastAsia="宋体"/>
      <w:color w:val="000000"/>
      <w:sz w:val="24"/>
      <w:szCs w:val="24"/>
    </w:rPr>
  </w:style>
  <w:style w:type="character" w:customStyle="1" w:styleId="1659">
    <w:name w:val="hover27"/>
    <w:basedOn w:val="85"/>
    <w:qFormat/>
    <w:uiPriority w:val="0"/>
  </w:style>
  <w:style w:type="character" w:customStyle="1" w:styleId="1660">
    <w:name w:val="fontstyle21"/>
    <w:qFormat/>
    <w:uiPriority w:val="0"/>
    <w:rPr>
      <w:rFonts w:hint="default" w:ascii="TimesNewRomanPSMT" w:hAnsi="TimesNewRomanPSMT"/>
      <w:color w:val="000000"/>
      <w:sz w:val="18"/>
      <w:szCs w:val="18"/>
    </w:rPr>
  </w:style>
  <w:style w:type="character" w:customStyle="1" w:styleId="1661">
    <w:name w:val="del-btn1"/>
    <w:qFormat/>
    <w:uiPriority w:val="0"/>
    <w:rPr>
      <w:shd w:val="clear" w:color="auto" w:fill="000000"/>
    </w:rPr>
  </w:style>
  <w:style w:type="character" w:customStyle="1" w:styleId="1662">
    <w:name w:val="环保-正文内容 Char"/>
    <w:link w:val="1663"/>
    <w:qFormat/>
    <w:uiPriority w:val="0"/>
    <w:rPr>
      <w:sz w:val="24"/>
    </w:rPr>
  </w:style>
  <w:style w:type="paragraph" w:customStyle="1" w:styleId="1663">
    <w:name w:val="环保-正文内容"/>
    <w:basedOn w:val="1"/>
    <w:link w:val="1662"/>
    <w:qFormat/>
    <w:uiPriority w:val="0"/>
    <w:pPr>
      <w:adjustRightInd w:val="0"/>
      <w:snapToGrid w:val="0"/>
      <w:spacing w:after="200"/>
      <w:ind w:firstLine="200" w:firstLineChars="200"/>
    </w:pPr>
    <w:rPr>
      <w:rFonts w:ascii="Times New Roman" w:hAnsi="Times New Roman" w:cs="Times New Roman"/>
      <w:szCs w:val="20"/>
    </w:rPr>
  </w:style>
  <w:style w:type="character" w:customStyle="1" w:styleId="1664">
    <w:name w:val="del-btn"/>
    <w:basedOn w:val="85"/>
    <w:qFormat/>
    <w:uiPriority w:val="0"/>
  </w:style>
  <w:style w:type="character" w:customStyle="1" w:styleId="1665">
    <w:name w:val="标题 2 Char11"/>
    <w:qFormat/>
    <w:uiPriority w:val="0"/>
    <w:rPr>
      <w:kern w:val="2"/>
      <w:sz w:val="24"/>
    </w:rPr>
  </w:style>
  <w:style w:type="paragraph" w:customStyle="1" w:styleId="1666">
    <w:name w:val="LY-表头"/>
    <w:next w:val="1"/>
    <w:qFormat/>
    <w:uiPriority w:val="0"/>
    <w:pPr>
      <w:jc w:val="center"/>
    </w:pPr>
    <w:rPr>
      <w:rFonts w:ascii="Times New Roman" w:hAnsi="Times New Roman" w:eastAsia="黑体" w:cs="Times New Roman"/>
      <w:b/>
      <w:sz w:val="24"/>
      <w:lang w:val="en-US" w:eastAsia="zh-CN" w:bidi="ar-SA"/>
    </w:rPr>
  </w:style>
  <w:style w:type="paragraph" w:customStyle="1" w:styleId="1667">
    <w:name w:val="副标题2"/>
    <w:basedOn w:val="1"/>
    <w:qFormat/>
    <w:uiPriority w:val="0"/>
    <w:pPr>
      <w:adjustRightInd w:val="0"/>
      <w:snapToGrid w:val="0"/>
      <w:spacing w:after="200"/>
      <w:ind w:firstLine="200" w:firstLineChars="200"/>
    </w:pPr>
    <w:rPr>
      <w:rFonts w:ascii="Tahoma" w:hAnsi="Tahoma" w:eastAsia="微软雅黑" w:cs="Times New Roman"/>
      <w:b/>
      <w:sz w:val="22"/>
    </w:rPr>
  </w:style>
  <w:style w:type="paragraph" w:customStyle="1" w:styleId="1668">
    <w:name w:val="列出段落4"/>
    <w:basedOn w:val="1"/>
    <w:qFormat/>
    <w:uiPriority w:val="34"/>
    <w:pPr>
      <w:adjustRightInd w:val="0"/>
      <w:snapToGrid w:val="0"/>
      <w:spacing w:after="200"/>
      <w:ind w:firstLine="420" w:firstLineChars="200"/>
    </w:pPr>
    <w:rPr>
      <w:rFonts w:ascii="Tahoma" w:hAnsi="Tahoma" w:eastAsia="微软雅黑" w:cs="Times New Roman"/>
      <w:sz w:val="22"/>
      <w:szCs w:val="22"/>
    </w:rPr>
  </w:style>
  <w:style w:type="paragraph" w:customStyle="1" w:styleId="1669">
    <w:name w:val="正文文本 22"/>
    <w:basedOn w:val="1"/>
    <w:qFormat/>
    <w:uiPriority w:val="0"/>
    <w:pPr>
      <w:widowControl w:val="0"/>
      <w:adjustRightInd w:val="0"/>
      <w:snapToGrid w:val="0"/>
      <w:spacing w:after="200"/>
      <w:jc w:val="center"/>
      <w:textAlignment w:val="baseline"/>
    </w:pPr>
    <w:rPr>
      <w:rFonts w:ascii="Arial" w:hAnsi="Arial" w:eastAsia="微软雅黑" w:cs="Times New Roman"/>
      <w:kern w:val="2"/>
      <w:sz w:val="21"/>
      <w:szCs w:val="22"/>
    </w:rPr>
  </w:style>
  <w:style w:type="paragraph" w:customStyle="1" w:styleId="1670">
    <w:name w:val="OK 1.1.1"/>
    <w:basedOn w:val="1671"/>
    <w:link w:val="1696"/>
    <w:qFormat/>
    <w:uiPriority w:val="0"/>
    <w:pPr>
      <w:spacing w:line="360" w:lineRule="auto"/>
      <w:outlineLvl w:val="2"/>
    </w:pPr>
  </w:style>
  <w:style w:type="paragraph" w:customStyle="1" w:styleId="1671">
    <w:name w:val="OK 1.1"/>
    <w:basedOn w:val="1"/>
    <w:next w:val="75"/>
    <w:qFormat/>
    <w:uiPriority w:val="0"/>
    <w:pPr>
      <w:adjustRightInd w:val="0"/>
      <w:snapToGrid w:val="0"/>
      <w:spacing w:after="200"/>
      <w:outlineLvl w:val="1"/>
    </w:pPr>
    <w:rPr>
      <w:rFonts w:ascii="Calibri" w:hAnsi="Calibri" w:eastAsia="微软雅黑" w:cs="Times New Roman"/>
      <w:b/>
      <w:sz w:val="22"/>
      <w:lang w:val="zh-CN"/>
    </w:rPr>
  </w:style>
  <w:style w:type="paragraph" w:customStyle="1" w:styleId="1672">
    <w:name w:val="正文-报告表"/>
    <w:basedOn w:val="1"/>
    <w:qFormat/>
    <w:uiPriority w:val="0"/>
    <w:pPr>
      <w:adjustRightInd w:val="0"/>
      <w:snapToGrid w:val="0"/>
      <w:spacing w:after="200"/>
      <w:ind w:firstLine="482"/>
    </w:pPr>
    <w:rPr>
      <w:rFonts w:ascii="Tahoma" w:hAnsi="Tahoma" w:eastAsia="微软雅黑" w:cs="Times New Roman"/>
      <w:szCs w:val="20"/>
    </w:rPr>
  </w:style>
  <w:style w:type="paragraph" w:customStyle="1" w:styleId="1673">
    <w:name w:val="副标题1"/>
    <w:basedOn w:val="4"/>
    <w:next w:val="1672"/>
    <w:qFormat/>
    <w:uiPriority w:val="0"/>
    <w:pPr>
      <w:keepNext/>
      <w:keepLines/>
      <w:widowControl w:val="0"/>
      <w:wordWrap w:val="0"/>
      <w:adjustRightInd w:val="0"/>
      <w:snapToGrid w:val="0"/>
      <w:spacing w:before="340" w:after="330" w:line="360" w:lineRule="auto"/>
      <w:ind w:firstLine="482" w:firstLineChars="200"/>
      <w:outlineLvl w:val="1"/>
    </w:pPr>
    <w:rPr>
      <w:rFonts w:ascii="Times New Roman" w:hAnsi="Times New Roman" w:eastAsia="宋体"/>
      <w:b/>
      <w:bCs/>
      <w:snapToGrid w:val="0"/>
      <w:kern w:val="44"/>
      <w:sz w:val="24"/>
      <w:szCs w:val="44"/>
    </w:rPr>
  </w:style>
  <w:style w:type="paragraph" w:customStyle="1" w:styleId="1674">
    <w:name w:val="Char"/>
    <w:basedOn w:val="1"/>
    <w:qFormat/>
    <w:uiPriority w:val="0"/>
    <w:pPr>
      <w:adjustRightInd w:val="0"/>
      <w:snapToGrid w:val="0"/>
      <w:spacing w:after="200"/>
    </w:pPr>
    <w:rPr>
      <w:rFonts w:ascii="Tahoma" w:hAnsi="Tahoma" w:eastAsia="微软雅黑" w:cs="Times New Roman"/>
      <w:sz w:val="22"/>
      <w:szCs w:val="22"/>
    </w:rPr>
  </w:style>
  <w:style w:type="paragraph" w:customStyle="1" w:styleId="1675">
    <w:name w:val="正文内容"/>
    <w:basedOn w:val="1"/>
    <w:qFormat/>
    <w:uiPriority w:val="0"/>
    <w:pPr>
      <w:adjustRightInd w:val="0"/>
      <w:snapToGrid w:val="0"/>
      <w:spacing w:after="200"/>
      <w:ind w:firstLine="200" w:firstLineChars="200"/>
    </w:pPr>
    <w:rPr>
      <w:rFonts w:ascii="Tahoma" w:hAnsi="Tahoma" w:eastAsia="微软雅黑" w:cs="Times New Roman"/>
      <w:szCs w:val="20"/>
    </w:rPr>
  </w:style>
  <w:style w:type="paragraph" w:customStyle="1" w:styleId="1676">
    <w:name w:val="WPSOffice手动目录 1"/>
    <w:qFormat/>
    <w:uiPriority w:val="0"/>
    <w:rPr>
      <w:rFonts w:ascii="Times New Roman" w:hAnsi="Times New Roman" w:eastAsia="宋体" w:cs="Times New Roman"/>
      <w:lang w:val="en-US" w:eastAsia="zh-CN" w:bidi="ar-SA"/>
    </w:rPr>
  </w:style>
  <w:style w:type="paragraph" w:customStyle="1" w:styleId="1677">
    <w:name w:val="Char4"/>
    <w:basedOn w:val="1"/>
    <w:qFormat/>
    <w:uiPriority w:val="0"/>
    <w:pPr>
      <w:widowControl w:val="0"/>
      <w:adjustRightInd w:val="0"/>
      <w:snapToGrid w:val="0"/>
      <w:spacing w:line="480" w:lineRule="exact"/>
      <w:ind w:firstLine="200" w:firstLineChars="200"/>
      <w:jc w:val="both"/>
    </w:pPr>
    <w:rPr>
      <w:rFonts w:ascii="Times New Roman" w:hAnsi="Times New Roman" w:cs="Times New Roman"/>
      <w:snapToGrid w:val="0"/>
      <w:sz w:val="28"/>
    </w:rPr>
  </w:style>
  <w:style w:type="paragraph" w:customStyle="1" w:styleId="1678">
    <w:name w:val="L表格文字"/>
    <w:basedOn w:val="80"/>
    <w:qFormat/>
    <w:uiPriority w:val="0"/>
    <w:pPr>
      <w:adjustRightInd w:val="0"/>
      <w:snapToGrid w:val="0"/>
      <w:spacing w:line="0" w:lineRule="atLeast"/>
      <w:ind w:firstLine="0" w:firstLineChars="0"/>
      <w:jc w:val="center"/>
    </w:pPr>
    <w:rPr>
      <w:rFonts w:ascii="Tahoma" w:hAnsi="Tahoma" w:eastAsia="微软雅黑"/>
      <w:sz w:val="21"/>
      <w:szCs w:val="22"/>
    </w:rPr>
  </w:style>
  <w:style w:type="paragraph" w:customStyle="1" w:styleId="1679">
    <w:name w:val="OK 表头"/>
    <w:basedOn w:val="6"/>
    <w:qFormat/>
    <w:uiPriority w:val="0"/>
    <w:pPr>
      <w:widowControl w:val="0"/>
      <w:adjustRightInd w:val="0"/>
      <w:snapToGrid w:val="0"/>
      <w:spacing w:after="200" w:line="240" w:lineRule="auto"/>
      <w:ind w:firstLine="0"/>
      <w:jc w:val="center"/>
      <w:textAlignment w:val="baseline"/>
    </w:pPr>
    <w:rPr>
      <w:rFonts w:ascii="Times New Roman" w:hAnsi="Times New Roman" w:eastAsia="微软雅黑"/>
      <w:b/>
      <w:spacing w:val="-10"/>
      <w:kern w:val="2"/>
      <w:sz w:val="21"/>
      <w:szCs w:val="21"/>
    </w:rPr>
  </w:style>
  <w:style w:type="paragraph" w:customStyle="1" w:styleId="1680">
    <w:name w:val="标题 3环保 + 段前: 0.5 行"/>
    <w:basedOn w:val="7"/>
    <w:next w:val="1"/>
    <w:qFormat/>
    <w:uiPriority w:val="0"/>
    <w:pPr>
      <w:keepNext w:val="0"/>
      <w:keepLines w:val="0"/>
      <w:adjustRightInd w:val="0"/>
      <w:snapToGrid w:val="0"/>
      <w:spacing w:before="156" w:beforeAutospacing="1" w:after="100" w:afterAutospacing="1" w:line="240" w:lineRule="auto"/>
    </w:pPr>
    <w:rPr>
      <w:rFonts w:hint="eastAsia" w:eastAsia="宋体" w:cs="宋体"/>
      <w:b/>
      <w:bCs w:val="0"/>
      <w:sz w:val="27"/>
      <w:szCs w:val="27"/>
    </w:rPr>
  </w:style>
  <w:style w:type="paragraph" w:customStyle="1" w:styleId="1681">
    <w:name w:val="11111表头"/>
    <w:basedOn w:val="1679"/>
    <w:qFormat/>
    <w:uiPriority w:val="0"/>
    <w:rPr>
      <w:rFonts w:eastAsia="黑体" w:cs="Calibri"/>
      <w:bCs/>
      <w:kern w:val="0"/>
      <w:sz w:val="24"/>
      <w:szCs w:val="24"/>
    </w:rPr>
  </w:style>
  <w:style w:type="paragraph" w:customStyle="1" w:styleId="1682">
    <w:name w:val="0报告书正文"/>
    <w:basedOn w:val="1"/>
    <w:qFormat/>
    <w:uiPriority w:val="0"/>
    <w:pPr>
      <w:adjustRightInd w:val="0"/>
      <w:snapToGrid w:val="0"/>
      <w:spacing w:after="200"/>
      <w:ind w:firstLine="480" w:firstLineChars="200"/>
    </w:pPr>
    <w:rPr>
      <w:rFonts w:ascii="Tahoma" w:hAnsi="Tahoma" w:eastAsia="微软雅黑" w:cs="Times New Roman"/>
      <w:szCs w:val="20"/>
    </w:rPr>
  </w:style>
  <w:style w:type="paragraph" w:customStyle="1" w:styleId="1683">
    <w:name w:val="标题 2环保 + 段前: 0.5 行"/>
    <w:basedOn w:val="5"/>
    <w:next w:val="1"/>
    <w:qFormat/>
    <w:uiPriority w:val="0"/>
    <w:pPr>
      <w:keepLines w:val="0"/>
      <w:numPr>
        <w:ilvl w:val="0"/>
        <w:numId w:val="1"/>
      </w:numPr>
      <w:adjustRightInd w:val="0"/>
      <w:snapToGrid w:val="0"/>
      <w:spacing w:after="200" w:line="240" w:lineRule="auto"/>
      <w:ind w:firstLine="200" w:firstLineChars="200"/>
    </w:pPr>
    <w:rPr>
      <w:rFonts w:ascii="Times New Roman" w:hAnsi="Times New Roman" w:cs="宋体"/>
      <w:b/>
      <w:szCs w:val="28"/>
    </w:rPr>
  </w:style>
  <w:style w:type="paragraph" w:customStyle="1" w:styleId="1684">
    <w:name w:val="正文内容（环科院）"/>
    <w:basedOn w:val="1"/>
    <w:qFormat/>
    <w:uiPriority w:val="0"/>
    <w:pPr>
      <w:adjustRightInd w:val="0"/>
      <w:snapToGrid w:val="0"/>
      <w:spacing w:after="200"/>
      <w:ind w:firstLine="200" w:firstLineChars="200"/>
    </w:pPr>
    <w:rPr>
      <w:rFonts w:ascii="Tahoma" w:hAnsi="Tahoma" w:eastAsia="微软雅黑" w:cs="Times New Roman"/>
      <w:szCs w:val="20"/>
    </w:rPr>
  </w:style>
  <w:style w:type="paragraph" w:customStyle="1" w:styleId="1685">
    <w:name w:val="样式45"/>
    <w:basedOn w:val="2"/>
    <w:qFormat/>
    <w:uiPriority w:val="0"/>
    <w:pPr>
      <w:widowControl/>
      <w:adjustRightInd w:val="0"/>
      <w:spacing w:after="200"/>
    </w:pPr>
    <w:rPr>
      <w:rFonts w:ascii="Tahoma" w:hAnsi="Tahoma" w:eastAsia="微软雅黑"/>
      <w:kern w:val="0"/>
    </w:rPr>
  </w:style>
  <w:style w:type="paragraph" w:customStyle="1" w:styleId="1686">
    <w:name w:val="图片-报告表"/>
    <w:basedOn w:val="1672"/>
    <w:qFormat/>
    <w:uiPriority w:val="0"/>
    <w:pPr>
      <w:ind w:firstLine="0"/>
      <w:jc w:val="center"/>
    </w:pPr>
  </w:style>
  <w:style w:type="paragraph" w:customStyle="1" w:styleId="1687">
    <w:name w:val="正文内容（环科院报告书）"/>
    <w:basedOn w:val="1"/>
    <w:qFormat/>
    <w:uiPriority w:val="0"/>
    <w:pPr>
      <w:adjustRightInd w:val="0"/>
      <w:snapToGrid w:val="0"/>
      <w:spacing w:after="200"/>
      <w:ind w:firstLine="480" w:firstLineChars="200"/>
    </w:pPr>
    <w:rPr>
      <w:rFonts w:ascii="Tahoma" w:hAnsi="Tahoma" w:eastAsia="微软雅黑" w:cs="Times New Roman"/>
      <w:szCs w:val="20"/>
    </w:rPr>
  </w:style>
  <w:style w:type="paragraph" w:customStyle="1" w:styleId="1688">
    <w:name w:val="表格格式"/>
    <w:basedOn w:val="1"/>
    <w:qFormat/>
    <w:uiPriority w:val="0"/>
    <w:pPr>
      <w:adjustRightInd w:val="0"/>
      <w:snapToGrid w:val="0"/>
      <w:spacing w:after="200" w:line="280" w:lineRule="exact"/>
      <w:jc w:val="center"/>
    </w:pPr>
    <w:rPr>
      <w:rFonts w:ascii="Tahoma" w:hAnsi="Tahoma" w:eastAsia="微软雅黑" w:cs="Times New Roman"/>
      <w:sz w:val="18"/>
      <w:szCs w:val="22"/>
    </w:rPr>
  </w:style>
  <w:style w:type="paragraph" w:customStyle="1" w:styleId="1689">
    <w:name w:val="AP-正文无级"/>
    <w:basedOn w:val="1"/>
    <w:qFormat/>
    <w:uiPriority w:val="0"/>
    <w:pPr>
      <w:adjustRightInd w:val="0"/>
      <w:snapToGrid w:val="0"/>
      <w:spacing w:after="200" w:line="360" w:lineRule="auto"/>
      <w:ind w:firstLine="480" w:firstLineChars="200"/>
    </w:pPr>
    <w:rPr>
      <w:rFonts w:ascii="Tahoma" w:hAnsi="Tahoma" w:eastAsia="微软雅黑" w:cs="Times New Roman"/>
      <w:szCs w:val="20"/>
    </w:rPr>
  </w:style>
  <w:style w:type="paragraph" w:customStyle="1" w:styleId="1690">
    <w:name w:val="O.K.表格内容"/>
    <w:basedOn w:val="1"/>
    <w:qFormat/>
    <w:uiPriority w:val="0"/>
    <w:pPr>
      <w:adjustRightInd w:val="0"/>
      <w:snapToGrid w:val="0"/>
      <w:spacing w:after="200"/>
    </w:pPr>
    <w:rPr>
      <w:rFonts w:ascii="Tahoma" w:hAnsi="Tahoma" w:eastAsia="微软雅黑" w:cs="Times New Roman"/>
    </w:rPr>
  </w:style>
  <w:style w:type="paragraph" w:customStyle="1" w:styleId="1691">
    <w:name w:val="R-正文文本"/>
    <w:basedOn w:val="1"/>
    <w:qFormat/>
    <w:uiPriority w:val="4"/>
    <w:pPr>
      <w:spacing w:line="360" w:lineRule="auto"/>
      <w:ind w:firstLine="200" w:firstLineChars="200"/>
      <w:jc w:val="both"/>
    </w:pPr>
    <w:rPr>
      <w:rFonts w:ascii="Times New Roman" w:hAnsi="Times New Roman" w:cs="Times New Roman"/>
      <w:szCs w:val="20"/>
    </w:rPr>
  </w:style>
  <w:style w:type="table" w:customStyle="1" w:styleId="1692">
    <w:name w:val="网格型1"/>
    <w:basedOn w:val="8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693">
    <w:name w:val="List Paragraph1"/>
    <w:basedOn w:val="1"/>
    <w:qFormat/>
    <w:uiPriority w:val="34"/>
    <w:pPr>
      <w:adjustRightInd w:val="0"/>
      <w:snapToGrid w:val="0"/>
      <w:spacing w:after="200"/>
      <w:ind w:firstLine="420" w:firstLineChars="200"/>
    </w:pPr>
    <w:rPr>
      <w:rFonts w:ascii="Tahoma" w:hAnsi="Tahoma" w:eastAsia="微软雅黑" w:cs="Times New Roman"/>
      <w:sz w:val="22"/>
      <w:szCs w:val="22"/>
    </w:rPr>
  </w:style>
  <w:style w:type="paragraph" w:customStyle="1" w:styleId="1694">
    <w:name w:val="正文文本 23"/>
    <w:basedOn w:val="1"/>
    <w:qFormat/>
    <w:uiPriority w:val="0"/>
    <w:pPr>
      <w:widowControl w:val="0"/>
      <w:adjustRightInd w:val="0"/>
      <w:snapToGrid w:val="0"/>
      <w:spacing w:after="200"/>
      <w:jc w:val="center"/>
      <w:textAlignment w:val="baseline"/>
    </w:pPr>
    <w:rPr>
      <w:rFonts w:ascii="Arial" w:hAnsi="Arial" w:eastAsia="微软雅黑" w:cs="Times New Roman"/>
      <w:kern w:val="2"/>
      <w:sz w:val="21"/>
      <w:szCs w:val="22"/>
    </w:rPr>
  </w:style>
  <w:style w:type="paragraph" w:customStyle="1" w:styleId="1695">
    <w:name w:val="Char5"/>
    <w:basedOn w:val="1"/>
    <w:qFormat/>
    <w:uiPriority w:val="0"/>
    <w:pPr>
      <w:adjustRightInd w:val="0"/>
      <w:snapToGrid w:val="0"/>
      <w:spacing w:after="200"/>
    </w:pPr>
    <w:rPr>
      <w:rFonts w:ascii="Tahoma" w:hAnsi="Tahoma" w:eastAsia="微软雅黑" w:cs="Times New Roman"/>
      <w:sz w:val="22"/>
      <w:szCs w:val="22"/>
    </w:rPr>
  </w:style>
  <w:style w:type="character" w:customStyle="1" w:styleId="1696">
    <w:name w:val="OK 1.1.1 Char"/>
    <w:basedOn w:val="85"/>
    <w:link w:val="1670"/>
    <w:qFormat/>
    <w:uiPriority w:val="0"/>
    <w:rPr>
      <w:rFonts w:ascii="Calibri" w:hAnsi="Calibri" w:eastAsia="微软雅黑"/>
      <w:b/>
      <w:sz w:val="22"/>
      <w:szCs w:val="24"/>
      <w:lang w:val="zh-CN"/>
    </w:rPr>
  </w:style>
  <w:style w:type="paragraph" w:customStyle="1" w:styleId="1697">
    <w:name w:val="环保表头"/>
    <w:link w:val="1700"/>
    <w:qFormat/>
    <w:uiPriority w:val="0"/>
    <w:pPr>
      <w:spacing w:before="50" w:beforeLines="50"/>
      <w:jc w:val="center"/>
    </w:pPr>
    <w:rPr>
      <w:rFonts w:ascii="宋体" w:hAnsi="宋体" w:eastAsia="黑体" w:cs="Times New Roman"/>
      <w:sz w:val="24"/>
      <w:lang w:val="en-US" w:eastAsia="zh-CN" w:bidi="ar-SA"/>
    </w:rPr>
  </w:style>
  <w:style w:type="character" w:customStyle="1" w:styleId="1698">
    <w:name w:val="正文格式 Char"/>
    <w:qFormat/>
    <w:locked/>
    <w:uiPriority w:val="0"/>
    <w:rPr>
      <w:rFonts w:eastAsia="宋体"/>
      <w:kern w:val="2"/>
      <w:sz w:val="24"/>
      <w:szCs w:val="24"/>
      <w:lang w:bidi="ar-SA"/>
    </w:rPr>
  </w:style>
  <w:style w:type="paragraph" w:customStyle="1" w:styleId="1699">
    <w:name w:val="671正文"/>
    <w:basedOn w:val="1"/>
    <w:qFormat/>
    <w:uiPriority w:val="0"/>
    <w:pPr>
      <w:spacing w:line="360" w:lineRule="auto"/>
      <w:ind w:firstLine="200" w:firstLineChars="200"/>
    </w:pPr>
    <w:rPr>
      <w:color w:val="000000"/>
      <w:szCs w:val="18"/>
    </w:rPr>
  </w:style>
  <w:style w:type="character" w:customStyle="1" w:styleId="1700">
    <w:name w:val="环保表头 Char"/>
    <w:link w:val="1697"/>
    <w:qFormat/>
    <w:uiPriority w:val="0"/>
    <w:rPr>
      <w:rFonts w:ascii="宋体" w:hAnsi="宋体" w:eastAsia="黑体"/>
      <w:sz w:val="24"/>
    </w:rPr>
  </w:style>
  <w:style w:type="paragraph" w:customStyle="1" w:styleId="1701">
    <w:name w:val="Char Char Char Char Char Char Char Char Char Char Char Char Char Char Char Char Char2"/>
    <w:basedOn w:val="1"/>
    <w:qFormat/>
    <w:uiPriority w:val="0"/>
    <w:pPr>
      <w:widowControl w:val="0"/>
      <w:jc w:val="both"/>
    </w:pPr>
    <w:rPr>
      <w:rFonts w:ascii="Times New Roman" w:hAnsi="Times New Roman" w:cs="Times New Roman"/>
      <w:kern w:val="2"/>
    </w:rPr>
  </w:style>
  <w:style w:type="paragraph" w:customStyle="1" w:styleId="1702">
    <w:name w:val="Char Char252"/>
    <w:basedOn w:val="1"/>
    <w:qFormat/>
    <w:uiPriority w:val="0"/>
    <w:pPr>
      <w:widowControl w:val="0"/>
      <w:jc w:val="both"/>
    </w:pPr>
    <w:rPr>
      <w:rFonts w:ascii="Times New Roman" w:hAnsi="Times New Roman" w:cs="Times New Roman"/>
      <w:kern w:val="2"/>
      <w:sz w:val="21"/>
    </w:rPr>
  </w:style>
  <w:style w:type="paragraph" w:customStyle="1" w:styleId="1703">
    <w:name w:val="Char Char253"/>
    <w:basedOn w:val="1"/>
    <w:qFormat/>
    <w:uiPriority w:val="0"/>
    <w:pPr>
      <w:widowControl w:val="0"/>
      <w:jc w:val="both"/>
    </w:pPr>
    <w:rPr>
      <w:rFonts w:ascii="Times New Roman" w:hAnsi="Times New Roman" w:cs="Times New Roman"/>
      <w:kern w:val="2"/>
      <w:sz w:val="21"/>
    </w:rPr>
  </w:style>
  <w:style w:type="paragraph" w:customStyle="1" w:styleId="1704">
    <w:name w:val="正文文本 24"/>
    <w:basedOn w:val="1"/>
    <w:qFormat/>
    <w:uiPriority w:val="0"/>
    <w:pPr>
      <w:widowControl w:val="0"/>
      <w:adjustRightInd w:val="0"/>
      <w:snapToGrid w:val="0"/>
      <w:spacing w:after="200"/>
      <w:jc w:val="center"/>
      <w:textAlignment w:val="baseline"/>
    </w:pPr>
    <w:rPr>
      <w:rFonts w:ascii="Arial" w:hAnsi="Arial" w:eastAsia="微软雅黑" w:cs="Times New Roman"/>
      <w:kern w:val="2"/>
      <w:sz w:val="21"/>
      <w:szCs w:val="22"/>
    </w:rPr>
  </w:style>
  <w:style w:type="character" w:customStyle="1" w:styleId="1705">
    <w:name w:val="表格内 Char Char"/>
    <w:link w:val="2"/>
    <w:qFormat/>
    <w:uiPriority w:val="0"/>
    <w:rPr>
      <w:rFonts w:ascii="Calibri" w:hAnsi="Calibri" w:eastAsia="黑体" w:cs="Times New Roman"/>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footer" Target="footer2.xml"/><Relationship Id="rId49" Type="http://schemas.openxmlformats.org/officeDocument/2006/relationships/customXml" Target="../customXml/item1.xml"/><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wmf"/><Relationship Id="rId37" Type="http://schemas.openxmlformats.org/officeDocument/2006/relationships/image" Target="media/image25.png"/><Relationship Id="rId36" Type="http://schemas.openxmlformats.org/officeDocument/2006/relationships/image" Target="media/image24.wmf"/><Relationship Id="rId35" Type="http://schemas.openxmlformats.org/officeDocument/2006/relationships/oleObject" Target="embeddings/oleObject2.bin"/><Relationship Id="rId34" Type="http://schemas.openxmlformats.org/officeDocument/2006/relationships/image" Target="media/image23.wmf"/><Relationship Id="rId33" Type="http://schemas.openxmlformats.org/officeDocument/2006/relationships/oleObject" Target="embeddings/oleObject1.bin"/><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png"/><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png"/><Relationship Id="rId23" Type="http://schemas.openxmlformats.org/officeDocument/2006/relationships/image" Target="media/image13.jpe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jpe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C38CED-36C4-4B79-AC11-5910F265B02C}">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258</Pages>
  <Words>33908</Words>
  <Characters>193278</Characters>
  <Lines>1610</Lines>
  <Paragraphs>453</Paragraphs>
  <TotalTime>37</TotalTime>
  <ScaleCrop>false</ScaleCrop>
  <LinksUpToDate>false</LinksUpToDate>
  <CharactersWithSpaces>226733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2021-01-18T01:23:00Z</dcterms:created>
  <dc:creator>木兰珊珊</dc:creator>
  <cp:lastModifiedBy>1231323</cp:lastModifiedBy>
  <cp:lastPrinted>2021-09-27T10:43:00Z</cp:lastPrinted>
  <dcterms:modified xsi:type="dcterms:W3CDTF">2022-03-14T00:36:53Z</dcterms:modified>
  <cp:revision>506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FBA3DC5BAAE14957ADE55009FF71D824</vt:lpwstr>
  </property>
</Properties>
</file>